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D20A6" w14:textId="77777777" w:rsidR="00F515DA" w:rsidRPr="00B12AEC" w:rsidRDefault="005D716A"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Myanmar</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58AD20A7" w14:textId="77777777" w:rsidR="00F515DA" w:rsidRDefault="00F515DA"/>
    <w:p w14:paraId="03C8144F" w14:textId="77777777" w:rsidR="00CD2A59" w:rsidRDefault="005D716A">
      <w:pPr>
        <w:pStyle w:val="TOC1"/>
        <w:rPr>
          <w:rFonts w:asciiTheme="minorHAnsi" w:eastAsiaTheme="minorEastAsia" w:hAnsiTheme="minorHAnsi" w:cstheme="minorBidi"/>
          <w:b w:val="0"/>
          <w:noProof/>
          <w:color w:val="auto"/>
          <w:sz w:val="22"/>
          <w:lang w:eastAsia="en-GB"/>
        </w:rPr>
      </w:pPr>
      <w:r w:rsidRPr="00927125">
        <w:rPr>
          <w:rFonts w:cs="Arial"/>
          <w:b w:val="0"/>
        </w:rPr>
        <w:fldChar w:fldCharType="begin"/>
      </w:r>
      <w:r w:rsidRPr="00927125">
        <w:rPr>
          <w:rFonts w:cs="Arial"/>
          <w:b w:val="0"/>
        </w:rPr>
        <w:instrText xml:space="preserve"> TOC \o "1-2" \t "Table Heading,3,Figure Heading,3" </w:instrText>
      </w:r>
      <w:r w:rsidRPr="00927125">
        <w:rPr>
          <w:rFonts w:cs="Arial"/>
          <w:b w:val="0"/>
        </w:rPr>
        <w:fldChar w:fldCharType="separate"/>
      </w:r>
      <w:r w:rsidR="00CD2A59">
        <w:rPr>
          <w:noProof/>
        </w:rPr>
        <w:t>Economic structures</w:t>
      </w:r>
      <w:r w:rsidR="00CD2A59">
        <w:rPr>
          <w:noProof/>
        </w:rPr>
        <w:tab/>
      </w:r>
      <w:r w:rsidR="00CD2A59">
        <w:rPr>
          <w:noProof/>
        </w:rPr>
        <w:fldChar w:fldCharType="begin"/>
      </w:r>
      <w:r w:rsidR="00CD2A59">
        <w:rPr>
          <w:noProof/>
        </w:rPr>
        <w:instrText xml:space="preserve"> PAGEREF _Toc427857725 \h </w:instrText>
      </w:r>
      <w:r w:rsidR="00CD2A59">
        <w:rPr>
          <w:noProof/>
        </w:rPr>
      </w:r>
      <w:r w:rsidR="00CD2A59">
        <w:rPr>
          <w:noProof/>
        </w:rPr>
        <w:fldChar w:fldCharType="separate"/>
      </w:r>
      <w:r w:rsidR="00BD0A62">
        <w:rPr>
          <w:noProof/>
        </w:rPr>
        <w:t>3</w:t>
      </w:r>
      <w:r w:rsidR="00CD2A59">
        <w:rPr>
          <w:noProof/>
        </w:rPr>
        <w:fldChar w:fldCharType="end"/>
      </w:r>
    </w:p>
    <w:p w14:paraId="2DBFC662" w14:textId="77777777" w:rsidR="00CD2A59" w:rsidRDefault="00CD2A59">
      <w:pPr>
        <w:pStyle w:val="TOC3"/>
        <w:rPr>
          <w:rFonts w:asciiTheme="minorHAnsi" w:eastAsiaTheme="minorEastAsia" w:hAnsiTheme="minorHAnsi" w:cstheme="minorBidi"/>
          <w:noProof/>
          <w:sz w:val="22"/>
          <w:lang w:eastAsia="en-GB"/>
        </w:rPr>
      </w:pPr>
      <w:r>
        <w:rPr>
          <w:noProof/>
        </w:rPr>
        <w:t>Table 1. Value added (% of GDP), Myanmar</w:t>
      </w:r>
      <w:r>
        <w:rPr>
          <w:noProof/>
        </w:rPr>
        <w:tab/>
      </w:r>
      <w:r>
        <w:rPr>
          <w:noProof/>
        </w:rPr>
        <w:fldChar w:fldCharType="begin"/>
      </w:r>
      <w:r>
        <w:rPr>
          <w:noProof/>
        </w:rPr>
        <w:instrText xml:space="preserve"> PAGEREF _Toc427857726 \h </w:instrText>
      </w:r>
      <w:r>
        <w:rPr>
          <w:noProof/>
        </w:rPr>
      </w:r>
      <w:r>
        <w:rPr>
          <w:noProof/>
        </w:rPr>
        <w:fldChar w:fldCharType="separate"/>
      </w:r>
      <w:r w:rsidR="00BD0A62">
        <w:rPr>
          <w:noProof/>
        </w:rPr>
        <w:t>3</w:t>
      </w:r>
      <w:r>
        <w:rPr>
          <w:noProof/>
        </w:rPr>
        <w:fldChar w:fldCharType="end"/>
      </w:r>
    </w:p>
    <w:p w14:paraId="312A7378" w14:textId="77777777" w:rsidR="00CD2A59" w:rsidRDefault="00CD2A59">
      <w:pPr>
        <w:pStyle w:val="TOC3"/>
        <w:tabs>
          <w:tab w:val="left" w:pos="7412"/>
        </w:tabs>
        <w:rPr>
          <w:rFonts w:asciiTheme="minorHAnsi" w:eastAsiaTheme="minorEastAsia" w:hAnsiTheme="minorHAnsi" w:cstheme="minorBidi"/>
          <w:noProof/>
          <w:sz w:val="22"/>
          <w:lang w:eastAsia="en-GB"/>
        </w:rPr>
      </w:pPr>
      <w:r>
        <w:rPr>
          <w:noProof/>
        </w:rPr>
        <w:t>Table 2. GDP, employment and relative productivity levels, Myanmar, 1991–2013</w:t>
      </w:r>
      <w:r>
        <w:rPr>
          <w:rFonts w:asciiTheme="minorHAnsi" w:eastAsiaTheme="minorEastAsia" w:hAnsiTheme="minorHAnsi" w:cstheme="minorBidi"/>
          <w:noProof/>
          <w:sz w:val="22"/>
          <w:lang w:eastAsia="en-GB"/>
        </w:rPr>
        <w:tab/>
      </w:r>
      <w:r>
        <w:rPr>
          <w:noProof/>
        </w:rPr>
        <w:t xml:space="preserve"> </w:t>
      </w:r>
      <w:r w:rsidRPr="00BD757D">
        <w:rPr>
          <w:noProof/>
          <w:color w:val="FF0000"/>
        </w:rPr>
        <w:t>NEW</w:t>
      </w:r>
      <w:r>
        <w:rPr>
          <w:noProof/>
        </w:rPr>
        <w:tab/>
      </w:r>
      <w:r>
        <w:rPr>
          <w:noProof/>
        </w:rPr>
        <w:fldChar w:fldCharType="begin"/>
      </w:r>
      <w:r>
        <w:rPr>
          <w:noProof/>
        </w:rPr>
        <w:instrText xml:space="preserve"> PAGEREF _Toc427857727 \h </w:instrText>
      </w:r>
      <w:r>
        <w:rPr>
          <w:noProof/>
        </w:rPr>
      </w:r>
      <w:r>
        <w:rPr>
          <w:noProof/>
        </w:rPr>
        <w:fldChar w:fldCharType="separate"/>
      </w:r>
      <w:r w:rsidR="00BD0A62">
        <w:rPr>
          <w:noProof/>
        </w:rPr>
        <w:t>4</w:t>
      </w:r>
      <w:r>
        <w:rPr>
          <w:noProof/>
        </w:rPr>
        <w:fldChar w:fldCharType="end"/>
      </w:r>
    </w:p>
    <w:p w14:paraId="449CA294" w14:textId="77777777" w:rsidR="00CD2A59" w:rsidRDefault="00CD2A59">
      <w:pPr>
        <w:pStyle w:val="TOC3"/>
        <w:tabs>
          <w:tab w:val="left" w:pos="6568"/>
        </w:tabs>
        <w:rPr>
          <w:rFonts w:asciiTheme="minorHAnsi" w:eastAsiaTheme="minorEastAsia" w:hAnsiTheme="minorHAnsi" w:cstheme="minorBidi"/>
          <w:noProof/>
          <w:sz w:val="22"/>
          <w:lang w:eastAsia="en-GB"/>
        </w:rPr>
      </w:pPr>
      <w:r>
        <w:rPr>
          <w:noProof/>
        </w:rPr>
        <w:t xml:space="preserve">Table 3. Labour productivity levels and changes, Myanmar, 1991–2013 </w:t>
      </w:r>
      <w:r>
        <w:rPr>
          <w:rFonts w:asciiTheme="minorHAnsi" w:eastAsiaTheme="minorEastAsia" w:hAnsiTheme="minorHAnsi" w:cstheme="minorBidi"/>
          <w:noProof/>
          <w:sz w:val="22"/>
          <w:lang w:eastAsia="en-GB"/>
        </w:rPr>
        <w:tab/>
      </w:r>
      <w:r>
        <w:rPr>
          <w:noProof/>
        </w:rPr>
        <w:t xml:space="preserve">  </w:t>
      </w:r>
      <w:r w:rsidRPr="00BD757D">
        <w:rPr>
          <w:noProof/>
          <w:color w:val="FF0000"/>
        </w:rPr>
        <w:t>NEW</w:t>
      </w:r>
      <w:r>
        <w:rPr>
          <w:noProof/>
        </w:rPr>
        <w:tab/>
      </w:r>
      <w:r>
        <w:rPr>
          <w:noProof/>
        </w:rPr>
        <w:fldChar w:fldCharType="begin"/>
      </w:r>
      <w:r>
        <w:rPr>
          <w:noProof/>
        </w:rPr>
        <w:instrText xml:space="preserve"> PAGEREF _Toc427857728 \h </w:instrText>
      </w:r>
      <w:r>
        <w:rPr>
          <w:noProof/>
        </w:rPr>
      </w:r>
      <w:r>
        <w:rPr>
          <w:noProof/>
        </w:rPr>
        <w:fldChar w:fldCharType="separate"/>
      </w:r>
      <w:r w:rsidR="00BD0A62">
        <w:rPr>
          <w:noProof/>
        </w:rPr>
        <w:t>5</w:t>
      </w:r>
      <w:r>
        <w:rPr>
          <w:noProof/>
        </w:rPr>
        <w:fldChar w:fldCharType="end"/>
      </w:r>
    </w:p>
    <w:p w14:paraId="4815D564" w14:textId="77777777" w:rsidR="00CD2A59" w:rsidRDefault="00CD2A59">
      <w:pPr>
        <w:pStyle w:val="TOC3"/>
        <w:tabs>
          <w:tab w:val="left" w:pos="7879"/>
        </w:tabs>
        <w:rPr>
          <w:rFonts w:asciiTheme="minorHAnsi" w:eastAsiaTheme="minorEastAsia" w:hAnsiTheme="minorHAnsi" w:cstheme="minorBidi"/>
          <w:noProof/>
          <w:sz w:val="22"/>
          <w:lang w:eastAsia="en-GB"/>
        </w:rPr>
      </w:pPr>
      <w:r>
        <w:rPr>
          <w:noProof/>
        </w:rPr>
        <w:t>Figure 1. Relative productivity and changes in employment shares by sector, Myanmar</w:t>
      </w:r>
      <w:r>
        <w:rPr>
          <w:rFonts w:asciiTheme="minorHAnsi" w:eastAsiaTheme="minorEastAsia" w:hAnsiTheme="minorHAnsi" w:cstheme="minorBidi"/>
          <w:noProof/>
          <w:sz w:val="22"/>
          <w:lang w:eastAsia="en-GB"/>
        </w:rPr>
        <w:tab/>
      </w:r>
      <w:r w:rsidRPr="00BD757D">
        <w:rPr>
          <w:noProof/>
          <w:color w:val="FF0000"/>
        </w:rPr>
        <w:t>NEW</w:t>
      </w:r>
      <w:r>
        <w:rPr>
          <w:noProof/>
        </w:rPr>
        <w:tab/>
      </w:r>
      <w:r>
        <w:rPr>
          <w:noProof/>
        </w:rPr>
        <w:fldChar w:fldCharType="begin"/>
      </w:r>
      <w:r>
        <w:rPr>
          <w:noProof/>
        </w:rPr>
        <w:instrText xml:space="preserve"> PAGEREF _Toc427857729 \h </w:instrText>
      </w:r>
      <w:r>
        <w:rPr>
          <w:noProof/>
        </w:rPr>
      </w:r>
      <w:r>
        <w:rPr>
          <w:noProof/>
        </w:rPr>
        <w:fldChar w:fldCharType="separate"/>
      </w:r>
      <w:r w:rsidR="00BD0A62">
        <w:rPr>
          <w:noProof/>
        </w:rPr>
        <w:t>6</w:t>
      </w:r>
      <w:r>
        <w:rPr>
          <w:noProof/>
        </w:rPr>
        <w:fldChar w:fldCharType="end"/>
      </w:r>
    </w:p>
    <w:p w14:paraId="08A83E10" w14:textId="77777777" w:rsidR="00CD2A59" w:rsidRDefault="00CD2A59">
      <w:pPr>
        <w:pStyle w:val="TOC3"/>
        <w:tabs>
          <w:tab w:val="left" w:pos="7057"/>
        </w:tabs>
        <w:rPr>
          <w:rFonts w:asciiTheme="minorHAnsi" w:eastAsiaTheme="minorEastAsia" w:hAnsiTheme="minorHAnsi" w:cstheme="minorBidi"/>
          <w:noProof/>
          <w:sz w:val="22"/>
          <w:lang w:eastAsia="en-GB"/>
        </w:rPr>
      </w:pPr>
      <w:r>
        <w:rPr>
          <w:noProof/>
        </w:rPr>
        <w:t>Figure 2. Decomposition of labour productivity change, Myanmar, 1991–2013</w:t>
      </w:r>
      <w:r>
        <w:rPr>
          <w:rFonts w:asciiTheme="minorHAnsi" w:eastAsiaTheme="minorEastAsia" w:hAnsiTheme="minorHAnsi" w:cstheme="minorBidi"/>
          <w:noProof/>
          <w:sz w:val="22"/>
          <w:lang w:eastAsia="en-GB"/>
        </w:rPr>
        <w:tab/>
      </w:r>
      <w:r w:rsidRPr="00BD757D">
        <w:rPr>
          <w:noProof/>
          <w:color w:val="FF0000"/>
        </w:rPr>
        <w:t>NEW</w:t>
      </w:r>
      <w:r>
        <w:rPr>
          <w:noProof/>
        </w:rPr>
        <w:tab/>
      </w:r>
      <w:r>
        <w:rPr>
          <w:noProof/>
        </w:rPr>
        <w:fldChar w:fldCharType="begin"/>
      </w:r>
      <w:r>
        <w:rPr>
          <w:noProof/>
        </w:rPr>
        <w:instrText xml:space="preserve"> PAGEREF _Toc427857730 \h </w:instrText>
      </w:r>
      <w:r>
        <w:rPr>
          <w:noProof/>
        </w:rPr>
      </w:r>
      <w:r>
        <w:rPr>
          <w:noProof/>
        </w:rPr>
        <w:fldChar w:fldCharType="separate"/>
      </w:r>
      <w:r w:rsidR="00BD0A62">
        <w:rPr>
          <w:noProof/>
        </w:rPr>
        <w:t>7</w:t>
      </w:r>
      <w:r>
        <w:rPr>
          <w:noProof/>
        </w:rPr>
        <w:fldChar w:fldCharType="end"/>
      </w:r>
    </w:p>
    <w:p w14:paraId="3961B265" w14:textId="77777777" w:rsidR="00CD2A59" w:rsidRDefault="00CD2A59">
      <w:pPr>
        <w:pStyle w:val="TOC3"/>
        <w:tabs>
          <w:tab w:val="left" w:pos="4244"/>
        </w:tabs>
        <w:rPr>
          <w:rFonts w:asciiTheme="minorHAnsi" w:eastAsiaTheme="minorEastAsia" w:hAnsiTheme="minorHAnsi" w:cstheme="minorBidi"/>
          <w:noProof/>
          <w:sz w:val="22"/>
          <w:lang w:eastAsia="en-GB"/>
        </w:rPr>
      </w:pPr>
      <w:r>
        <w:rPr>
          <w:noProof/>
        </w:rPr>
        <w:t>Figure 3. Productivity gaps in Myanmar, 2013</w:t>
      </w:r>
      <w:r>
        <w:rPr>
          <w:rFonts w:asciiTheme="minorHAnsi" w:eastAsiaTheme="minorEastAsia" w:hAnsiTheme="minorHAnsi" w:cstheme="minorBidi"/>
          <w:noProof/>
          <w:sz w:val="22"/>
          <w:lang w:eastAsia="en-GB"/>
        </w:rPr>
        <w:tab/>
      </w:r>
      <w:r w:rsidRPr="00BD757D">
        <w:rPr>
          <w:noProof/>
          <w:color w:val="FF0000"/>
        </w:rPr>
        <w:t>NEW</w:t>
      </w:r>
      <w:r>
        <w:rPr>
          <w:noProof/>
        </w:rPr>
        <w:tab/>
      </w:r>
      <w:r>
        <w:rPr>
          <w:noProof/>
        </w:rPr>
        <w:fldChar w:fldCharType="begin"/>
      </w:r>
      <w:r>
        <w:rPr>
          <w:noProof/>
        </w:rPr>
        <w:instrText xml:space="preserve"> PAGEREF _Toc427857731 \h </w:instrText>
      </w:r>
      <w:r>
        <w:rPr>
          <w:noProof/>
        </w:rPr>
      </w:r>
      <w:r>
        <w:rPr>
          <w:noProof/>
        </w:rPr>
        <w:fldChar w:fldCharType="separate"/>
      </w:r>
      <w:r w:rsidR="00BD0A62">
        <w:rPr>
          <w:noProof/>
        </w:rPr>
        <w:t>8</w:t>
      </w:r>
      <w:r>
        <w:rPr>
          <w:noProof/>
        </w:rPr>
        <w:fldChar w:fldCharType="end"/>
      </w:r>
    </w:p>
    <w:p w14:paraId="7405AA93" w14:textId="77777777" w:rsidR="00CD2A59" w:rsidRDefault="00CD2A59">
      <w:pPr>
        <w:pStyle w:val="TOC3"/>
        <w:rPr>
          <w:rFonts w:asciiTheme="minorHAnsi" w:eastAsiaTheme="minorEastAsia" w:hAnsiTheme="minorHAnsi" w:cstheme="minorBidi"/>
          <w:noProof/>
          <w:sz w:val="22"/>
          <w:lang w:eastAsia="en-GB"/>
        </w:rPr>
      </w:pPr>
      <w:r>
        <w:rPr>
          <w:noProof/>
        </w:rPr>
        <w:t>Figure 4. Total employment by sex and broad sector, Myanmar</w:t>
      </w:r>
      <w:r>
        <w:rPr>
          <w:noProof/>
        </w:rPr>
        <w:tab/>
      </w:r>
      <w:r>
        <w:rPr>
          <w:noProof/>
        </w:rPr>
        <w:fldChar w:fldCharType="begin"/>
      </w:r>
      <w:r>
        <w:rPr>
          <w:noProof/>
        </w:rPr>
        <w:instrText xml:space="preserve"> PAGEREF _Toc427857732 \h </w:instrText>
      </w:r>
      <w:r>
        <w:rPr>
          <w:noProof/>
        </w:rPr>
      </w:r>
      <w:r>
        <w:rPr>
          <w:noProof/>
        </w:rPr>
        <w:fldChar w:fldCharType="separate"/>
      </w:r>
      <w:r w:rsidR="00BD0A62">
        <w:rPr>
          <w:noProof/>
        </w:rPr>
        <w:t>8</w:t>
      </w:r>
      <w:r>
        <w:rPr>
          <w:noProof/>
        </w:rPr>
        <w:fldChar w:fldCharType="end"/>
      </w:r>
    </w:p>
    <w:p w14:paraId="186DBA19" w14:textId="77777777" w:rsidR="00CD2A59" w:rsidRDefault="00CD2A59">
      <w:pPr>
        <w:pStyle w:val="TOC3"/>
        <w:rPr>
          <w:rFonts w:asciiTheme="minorHAnsi" w:eastAsiaTheme="minorEastAsia" w:hAnsiTheme="minorHAnsi" w:cstheme="minorBidi"/>
          <w:noProof/>
          <w:sz w:val="22"/>
          <w:lang w:eastAsia="en-GB"/>
        </w:rPr>
      </w:pPr>
      <w:r>
        <w:rPr>
          <w:noProof/>
        </w:rPr>
        <w:t>Figure 5. Broad sectoral employment by sex, Myanmar</w:t>
      </w:r>
      <w:r>
        <w:rPr>
          <w:noProof/>
        </w:rPr>
        <w:tab/>
      </w:r>
      <w:r>
        <w:rPr>
          <w:noProof/>
        </w:rPr>
        <w:fldChar w:fldCharType="begin"/>
      </w:r>
      <w:r>
        <w:rPr>
          <w:noProof/>
        </w:rPr>
        <w:instrText xml:space="preserve"> PAGEREF _Toc427857733 \h </w:instrText>
      </w:r>
      <w:r>
        <w:rPr>
          <w:noProof/>
        </w:rPr>
      </w:r>
      <w:r>
        <w:rPr>
          <w:noProof/>
        </w:rPr>
        <w:fldChar w:fldCharType="separate"/>
      </w:r>
      <w:r w:rsidR="00BD0A62">
        <w:rPr>
          <w:noProof/>
        </w:rPr>
        <w:t>9</w:t>
      </w:r>
      <w:r>
        <w:rPr>
          <w:noProof/>
        </w:rPr>
        <w:fldChar w:fldCharType="end"/>
      </w:r>
    </w:p>
    <w:p w14:paraId="44890BC0" w14:textId="625ADF31" w:rsidR="00CD2A59" w:rsidRDefault="00CD2A59" w:rsidP="00CD2A59">
      <w:pPr>
        <w:pStyle w:val="TOC3"/>
        <w:tabs>
          <w:tab w:val="left" w:pos="4860"/>
        </w:tabs>
        <w:rPr>
          <w:rFonts w:asciiTheme="minorHAnsi" w:eastAsiaTheme="minorEastAsia" w:hAnsiTheme="minorHAnsi" w:cstheme="minorBidi"/>
          <w:noProof/>
          <w:sz w:val="22"/>
          <w:lang w:eastAsia="en-GB"/>
        </w:rPr>
      </w:pPr>
      <w:r>
        <w:rPr>
          <w:noProof/>
        </w:rPr>
        <w:t>Figure 6. Sectoral employment by sex, Myanmar</w:t>
      </w:r>
      <w:r>
        <w:rPr>
          <w:rFonts w:asciiTheme="minorHAnsi" w:eastAsiaTheme="minorEastAsia" w:hAnsiTheme="minorHAnsi" w:cstheme="minorBidi"/>
          <w:noProof/>
          <w:sz w:val="22"/>
          <w:lang w:eastAsia="en-GB"/>
        </w:rPr>
        <w:tab/>
      </w:r>
      <w:r w:rsidRPr="00BD757D">
        <w:rPr>
          <w:noProof/>
          <w:color w:val="FF0000"/>
        </w:rPr>
        <w:t>NEW</w:t>
      </w:r>
      <w:r>
        <w:rPr>
          <w:noProof/>
        </w:rPr>
        <w:tab/>
      </w:r>
      <w:r>
        <w:rPr>
          <w:noProof/>
        </w:rPr>
        <w:fldChar w:fldCharType="begin"/>
      </w:r>
      <w:r>
        <w:rPr>
          <w:noProof/>
        </w:rPr>
        <w:instrText xml:space="preserve"> PAGEREF _Toc427857734 \h </w:instrText>
      </w:r>
      <w:r>
        <w:rPr>
          <w:noProof/>
        </w:rPr>
      </w:r>
      <w:r>
        <w:rPr>
          <w:noProof/>
        </w:rPr>
        <w:fldChar w:fldCharType="separate"/>
      </w:r>
      <w:r w:rsidR="00BD0A62">
        <w:rPr>
          <w:noProof/>
        </w:rPr>
        <w:t>9</w:t>
      </w:r>
      <w:r>
        <w:rPr>
          <w:noProof/>
        </w:rPr>
        <w:fldChar w:fldCharType="end"/>
      </w:r>
    </w:p>
    <w:p w14:paraId="5894A734" w14:textId="77777777" w:rsidR="00CD2A59" w:rsidRDefault="00CD2A59">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_Toc427857735 \h </w:instrText>
      </w:r>
      <w:r>
        <w:rPr>
          <w:noProof/>
        </w:rPr>
      </w:r>
      <w:r>
        <w:rPr>
          <w:noProof/>
        </w:rPr>
        <w:fldChar w:fldCharType="separate"/>
      </w:r>
      <w:r w:rsidR="00BD0A62">
        <w:rPr>
          <w:noProof/>
        </w:rPr>
        <w:t>10</w:t>
      </w:r>
      <w:r>
        <w:rPr>
          <w:noProof/>
        </w:rPr>
        <w:fldChar w:fldCharType="end"/>
      </w:r>
    </w:p>
    <w:p w14:paraId="59DF69A7" w14:textId="77777777" w:rsidR="00CD2A59" w:rsidRDefault="00CD2A59">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_Toc427857736 \h </w:instrText>
      </w:r>
      <w:r>
        <w:rPr>
          <w:noProof/>
        </w:rPr>
      </w:r>
      <w:r>
        <w:rPr>
          <w:noProof/>
        </w:rPr>
        <w:fldChar w:fldCharType="separate"/>
      </w:r>
      <w:r w:rsidR="00BD0A62">
        <w:rPr>
          <w:noProof/>
        </w:rPr>
        <w:t>10</w:t>
      </w:r>
      <w:r>
        <w:rPr>
          <w:noProof/>
        </w:rPr>
        <w:fldChar w:fldCharType="end"/>
      </w:r>
    </w:p>
    <w:p w14:paraId="6AE51DDB" w14:textId="77777777" w:rsidR="00CD2A59" w:rsidRDefault="00CD2A59">
      <w:pPr>
        <w:pStyle w:val="TOC3"/>
        <w:rPr>
          <w:rFonts w:asciiTheme="minorHAnsi" w:eastAsiaTheme="minorEastAsia" w:hAnsiTheme="minorHAnsi" w:cstheme="minorBidi"/>
          <w:noProof/>
          <w:sz w:val="22"/>
          <w:lang w:eastAsia="en-GB"/>
        </w:rPr>
      </w:pPr>
      <w:r>
        <w:rPr>
          <w:noProof/>
        </w:rPr>
        <w:t>Figure 7. Total value of trade, Myanmar, 2008–13</w:t>
      </w:r>
      <w:r>
        <w:rPr>
          <w:noProof/>
        </w:rPr>
        <w:tab/>
      </w:r>
      <w:r>
        <w:rPr>
          <w:noProof/>
        </w:rPr>
        <w:fldChar w:fldCharType="begin"/>
      </w:r>
      <w:r>
        <w:rPr>
          <w:noProof/>
        </w:rPr>
        <w:instrText xml:space="preserve"> PAGEREF _Toc427857737 \h </w:instrText>
      </w:r>
      <w:r>
        <w:rPr>
          <w:noProof/>
        </w:rPr>
      </w:r>
      <w:r>
        <w:rPr>
          <w:noProof/>
        </w:rPr>
        <w:fldChar w:fldCharType="separate"/>
      </w:r>
      <w:r w:rsidR="00BD0A62">
        <w:rPr>
          <w:noProof/>
        </w:rPr>
        <w:t>10</w:t>
      </w:r>
      <w:r>
        <w:rPr>
          <w:noProof/>
        </w:rPr>
        <w:fldChar w:fldCharType="end"/>
      </w:r>
    </w:p>
    <w:p w14:paraId="72B753DD" w14:textId="77777777" w:rsidR="00CD2A59" w:rsidRDefault="00CD2A59">
      <w:pPr>
        <w:pStyle w:val="TOC3"/>
        <w:rPr>
          <w:rFonts w:asciiTheme="minorHAnsi" w:eastAsiaTheme="minorEastAsia" w:hAnsiTheme="minorHAnsi" w:cstheme="minorBidi"/>
          <w:noProof/>
          <w:sz w:val="22"/>
          <w:lang w:eastAsia="en-GB"/>
        </w:rPr>
      </w:pPr>
      <w:r>
        <w:rPr>
          <w:noProof/>
        </w:rPr>
        <w:t>Figure 8. Exports by broad HS Section, Myanmar, 2010 (own data) and 2011–13 (mirror data)</w:t>
      </w:r>
      <w:r>
        <w:rPr>
          <w:noProof/>
        </w:rPr>
        <w:tab/>
      </w:r>
      <w:r>
        <w:rPr>
          <w:noProof/>
        </w:rPr>
        <w:fldChar w:fldCharType="begin"/>
      </w:r>
      <w:r>
        <w:rPr>
          <w:noProof/>
        </w:rPr>
        <w:instrText xml:space="preserve"> PAGEREF _Toc427857738 \h </w:instrText>
      </w:r>
      <w:r>
        <w:rPr>
          <w:noProof/>
        </w:rPr>
      </w:r>
      <w:r>
        <w:rPr>
          <w:noProof/>
        </w:rPr>
        <w:fldChar w:fldCharType="separate"/>
      </w:r>
      <w:r w:rsidR="00BD0A62">
        <w:rPr>
          <w:noProof/>
        </w:rPr>
        <w:t>11</w:t>
      </w:r>
      <w:r>
        <w:rPr>
          <w:noProof/>
        </w:rPr>
        <w:fldChar w:fldCharType="end"/>
      </w:r>
    </w:p>
    <w:p w14:paraId="7E19487B" w14:textId="77777777" w:rsidR="00CD2A59" w:rsidRDefault="00CD2A59">
      <w:pPr>
        <w:pStyle w:val="TOC3"/>
        <w:rPr>
          <w:rFonts w:asciiTheme="minorHAnsi" w:eastAsiaTheme="minorEastAsia" w:hAnsiTheme="minorHAnsi" w:cstheme="minorBidi"/>
          <w:noProof/>
          <w:sz w:val="22"/>
          <w:lang w:eastAsia="en-GB"/>
        </w:rPr>
      </w:pPr>
      <w:r>
        <w:rPr>
          <w:noProof/>
        </w:rPr>
        <w:t>Figure 9. Change in export share by HS Section, Myanmar, 2010 (own data) and 2011–13 (mirror data)</w:t>
      </w:r>
      <w:r>
        <w:rPr>
          <w:noProof/>
        </w:rPr>
        <w:tab/>
      </w:r>
      <w:r>
        <w:rPr>
          <w:noProof/>
        </w:rPr>
        <w:fldChar w:fldCharType="begin"/>
      </w:r>
      <w:r>
        <w:rPr>
          <w:noProof/>
        </w:rPr>
        <w:instrText xml:space="preserve"> PAGEREF _Toc427857739 \h </w:instrText>
      </w:r>
      <w:r>
        <w:rPr>
          <w:noProof/>
        </w:rPr>
      </w:r>
      <w:r>
        <w:rPr>
          <w:noProof/>
        </w:rPr>
        <w:fldChar w:fldCharType="separate"/>
      </w:r>
      <w:r w:rsidR="00BD0A62">
        <w:rPr>
          <w:noProof/>
        </w:rPr>
        <w:t>12</w:t>
      </w:r>
      <w:r>
        <w:rPr>
          <w:noProof/>
        </w:rPr>
        <w:fldChar w:fldCharType="end"/>
      </w:r>
    </w:p>
    <w:p w14:paraId="2AFE98FC" w14:textId="77777777" w:rsidR="00CD2A59" w:rsidRDefault="00CD2A59">
      <w:pPr>
        <w:pStyle w:val="TOC3"/>
        <w:rPr>
          <w:rFonts w:asciiTheme="minorHAnsi" w:eastAsiaTheme="minorEastAsia" w:hAnsiTheme="minorHAnsi" w:cstheme="minorBidi"/>
          <w:noProof/>
          <w:sz w:val="22"/>
          <w:lang w:eastAsia="en-GB"/>
        </w:rPr>
      </w:pPr>
      <w:r>
        <w:rPr>
          <w:noProof/>
        </w:rPr>
        <w:t>Figure 10. Export visualisation, Myanmar, 2005 and 2012</w:t>
      </w:r>
      <w:r>
        <w:rPr>
          <w:noProof/>
        </w:rPr>
        <w:tab/>
      </w:r>
      <w:r>
        <w:rPr>
          <w:noProof/>
        </w:rPr>
        <w:fldChar w:fldCharType="begin"/>
      </w:r>
      <w:r>
        <w:rPr>
          <w:noProof/>
        </w:rPr>
        <w:instrText xml:space="preserve"> PAGEREF _Toc427857740 \h </w:instrText>
      </w:r>
      <w:r>
        <w:rPr>
          <w:noProof/>
        </w:rPr>
      </w:r>
      <w:r>
        <w:rPr>
          <w:noProof/>
        </w:rPr>
        <w:fldChar w:fldCharType="separate"/>
      </w:r>
      <w:r w:rsidR="00BD0A62">
        <w:rPr>
          <w:noProof/>
        </w:rPr>
        <w:t>13</w:t>
      </w:r>
      <w:r>
        <w:rPr>
          <w:noProof/>
        </w:rPr>
        <w:fldChar w:fldCharType="end"/>
      </w:r>
    </w:p>
    <w:p w14:paraId="043FD098" w14:textId="77777777" w:rsidR="00CD2A59" w:rsidRDefault="00CD2A59">
      <w:pPr>
        <w:pStyle w:val="TOC3"/>
        <w:rPr>
          <w:rFonts w:asciiTheme="minorHAnsi" w:eastAsiaTheme="minorEastAsia" w:hAnsiTheme="minorHAnsi" w:cstheme="minorBidi"/>
          <w:noProof/>
          <w:sz w:val="22"/>
          <w:lang w:eastAsia="en-GB"/>
        </w:rPr>
      </w:pPr>
      <w:r>
        <w:rPr>
          <w:noProof/>
        </w:rPr>
        <w:t>Figure 11. Top export products, Myanmar (2010)</w:t>
      </w:r>
      <w:r>
        <w:rPr>
          <w:noProof/>
        </w:rPr>
        <w:tab/>
      </w:r>
      <w:r>
        <w:rPr>
          <w:noProof/>
        </w:rPr>
        <w:fldChar w:fldCharType="begin"/>
      </w:r>
      <w:r>
        <w:rPr>
          <w:noProof/>
        </w:rPr>
        <w:instrText xml:space="preserve"> PAGEREF _Toc427857741 \h </w:instrText>
      </w:r>
      <w:r>
        <w:rPr>
          <w:noProof/>
        </w:rPr>
      </w:r>
      <w:r>
        <w:rPr>
          <w:noProof/>
        </w:rPr>
        <w:fldChar w:fldCharType="separate"/>
      </w:r>
      <w:r w:rsidR="00BD0A62">
        <w:rPr>
          <w:noProof/>
        </w:rPr>
        <w:t>14</w:t>
      </w:r>
      <w:r>
        <w:rPr>
          <w:noProof/>
        </w:rPr>
        <w:fldChar w:fldCharType="end"/>
      </w:r>
    </w:p>
    <w:p w14:paraId="1F3210EA" w14:textId="77777777" w:rsidR="00CD2A59" w:rsidRDefault="00CD2A59">
      <w:pPr>
        <w:pStyle w:val="TOC3"/>
        <w:rPr>
          <w:rFonts w:asciiTheme="minorHAnsi" w:eastAsiaTheme="minorEastAsia" w:hAnsiTheme="minorHAnsi" w:cstheme="minorBidi"/>
          <w:noProof/>
          <w:sz w:val="22"/>
          <w:lang w:eastAsia="en-GB"/>
        </w:rPr>
      </w:pPr>
      <w:r>
        <w:rPr>
          <w:noProof/>
        </w:rPr>
        <w:t>Figure 12. Top export markets, Myanmar (2010)</w:t>
      </w:r>
      <w:r>
        <w:rPr>
          <w:noProof/>
        </w:rPr>
        <w:tab/>
      </w:r>
      <w:r>
        <w:rPr>
          <w:noProof/>
        </w:rPr>
        <w:fldChar w:fldCharType="begin"/>
      </w:r>
      <w:r>
        <w:rPr>
          <w:noProof/>
        </w:rPr>
        <w:instrText xml:space="preserve"> PAGEREF _Toc427857742 \h </w:instrText>
      </w:r>
      <w:r>
        <w:rPr>
          <w:noProof/>
        </w:rPr>
      </w:r>
      <w:r>
        <w:rPr>
          <w:noProof/>
        </w:rPr>
        <w:fldChar w:fldCharType="separate"/>
      </w:r>
      <w:r w:rsidR="00BD0A62">
        <w:rPr>
          <w:noProof/>
        </w:rPr>
        <w:t>14</w:t>
      </w:r>
      <w:r>
        <w:rPr>
          <w:noProof/>
        </w:rPr>
        <w:fldChar w:fldCharType="end"/>
      </w:r>
    </w:p>
    <w:p w14:paraId="5EBFB59A" w14:textId="77777777" w:rsidR="00CD2A59" w:rsidRDefault="00CD2A59">
      <w:pPr>
        <w:pStyle w:val="TOC3"/>
        <w:rPr>
          <w:rFonts w:asciiTheme="minorHAnsi" w:eastAsiaTheme="minorEastAsia" w:hAnsiTheme="minorHAnsi" w:cstheme="minorBidi"/>
          <w:noProof/>
          <w:sz w:val="22"/>
          <w:lang w:eastAsia="en-GB"/>
        </w:rPr>
      </w:pPr>
      <w:r>
        <w:rPr>
          <w:noProof/>
        </w:rPr>
        <w:t>Figure 13. Imports by broad HS Section, Myanmar, 2010 (own data) and 2011–13  (mirror data)</w:t>
      </w:r>
      <w:r>
        <w:rPr>
          <w:noProof/>
        </w:rPr>
        <w:tab/>
      </w:r>
      <w:r>
        <w:rPr>
          <w:noProof/>
        </w:rPr>
        <w:fldChar w:fldCharType="begin"/>
      </w:r>
      <w:r>
        <w:rPr>
          <w:noProof/>
        </w:rPr>
        <w:instrText xml:space="preserve"> PAGEREF _Toc427857743 \h </w:instrText>
      </w:r>
      <w:r>
        <w:rPr>
          <w:noProof/>
        </w:rPr>
      </w:r>
      <w:r>
        <w:rPr>
          <w:noProof/>
        </w:rPr>
        <w:fldChar w:fldCharType="separate"/>
      </w:r>
      <w:r w:rsidR="00BD0A62">
        <w:rPr>
          <w:noProof/>
        </w:rPr>
        <w:t>15</w:t>
      </w:r>
      <w:r>
        <w:rPr>
          <w:noProof/>
        </w:rPr>
        <w:fldChar w:fldCharType="end"/>
      </w:r>
    </w:p>
    <w:p w14:paraId="7BA6B18E" w14:textId="77777777" w:rsidR="00CD2A59" w:rsidRDefault="00CD2A59">
      <w:pPr>
        <w:pStyle w:val="TOC3"/>
        <w:rPr>
          <w:rFonts w:asciiTheme="minorHAnsi" w:eastAsiaTheme="minorEastAsia" w:hAnsiTheme="minorHAnsi" w:cstheme="minorBidi"/>
          <w:noProof/>
          <w:sz w:val="22"/>
          <w:lang w:eastAsia="en-GB"/>
        </w:rPr>
      </w:pPr>
      <w:r>
        <w:rPr>
          <w:noProof/>
        </w:rPr>
        <w:t>Figure 14. Change in import share by HS Section, Myanmar, 2010 (own data) and 2011–13 (mirror data)</w:t>
      </w:r>
      <w:r>
        <w:rPr>
          <w:noProof/>
        </w:rPr>
        <w:tab/>
      </w:r>
      <w:r>
        <w:rPr>
          <w:noProof/>
        </w:rPr>
        <w:fldChar w:fldCharType="begin"/>
      </w:r>
      <w:r>
        <w:rPr>
          <w:noProof/>
        </w:rPr>
        <w:instrText xml:space="preserve"> PAGEREF _Toc427857744 \h </w:instrText>
      </w:r>
      <w:r>
        <w:rPr>
          <w:noProof/>
        </w:rPr>
      </w:r>
      <w:r>
        <w:rPr>
          <w:noProof/>
        </w:rPr>
        <w:fldChar w:fldCharType="separate"/>
      </w:r>
      <w:r w:rsidR="00BD0A62">
        <w:rPr>
          <w:noProof/>
        </w:rPr>
        <w:t>16</w:t>
      </w:r>
      <w:r>
        <w:rPr>
          <w:noProof/>
        </w:rPr>
        <w:fldChar w:fldCharType="end"/>
      </w:r>
    </w:p>
    <w:p w14:paraId="44F681E8" w14:textId="77777777" w:rsidR="00CD2A59" w:rsidRDefault="00CD2A59">
      <w:pPr>
        <w:pStyle w:val="TOC3"/>
        <w:rPr>
          <w:rFonts w:asciiTheme="minorHAnsi" w:eastAsiaTheme="minorEastAsia" w:hAnsiTheme="minorHAnsi" w:cstheme="minorBidi"/>
          <w:noProof/>
          <w:sz w:val="22"/>
          <w:lang w:eastAsia="en-GB"/>
        </w:rPr>
      </w:pPr>
      <w:r>
        <w:rPr>
          <w:noProof/>
        </w:rPr>
        <w:t>Figure 15. Import visualisation, Myanmar, 2005 and 2012</w:t>
      </w:r>
      <w:r>
        <w:rPr>
          <w:noProof/>
        </w:rPr>
        <w:tab/>
      </w:r>
      <w:r>
        <w:rPr>
          <w:noProof/>
        </w:rPr>
        <w:fldChar w:fldCharType="begin"/>
      </w:r>
      <w:r>
        <w:rPr>
          <w:noProof/>
        </w:rPr>
        <w:instrText xml:space="preserve"> PAGEREF _Toc427857745 \h </w:instrText>
      </w:r>
      <w:r>
        <w:rPr>
          <w:noProof/>
        </w:rPr>
      </w:r>
      <w:r>
        <w:rPr>
          <w:noProof/>
        </w:rPr>
        <w:fldChar w:fldCharType="separate"/>
      </w:r>
      <w:r w:rsidR="00BD0A62">
        <w:rPr>
          <w:noProof/>
        </w:rPr>
        <w:t>17</w:t>
      </w:r>
      <w:r>
        <w:rPr>
          <w:noProof/>
        </w:rPr>
        <w:fldChar w:fldCharType="end"/>
      </w:r>
    </w:p>
    <w:p w14:paraId="3FE27BB8" w14:textId="77777777" w:rsidR="00CD2A59" w:rsidRDefault="00CD2A59">
      <w:pPr>
        <w:pStyle w:val="TOC3"/>
        <w:rPr>
          <w:rFonts w:asciiTheme="minorHAnsi" w:eastAsiaTheme="minorEastAsia" w:hAnsiTheme="minorHAnsi" w:cstheme="minorBidi"/>
          <w:noProof/>
          <w:sz w:val="22"/>
          <w:lang w:eastAsia="en-GB"/>
        </w:rPr>
      </w:pPr>
      <w:r>
        <w:rPr>
          <w:noProof/>
        </w:rPr>
        <w:t>Figure 16. Top import products, Myanmar (2010)</w:t>
      </w:r>
      <w:r>
        <w:rPr>
          <w:noProof/>
        </w:rPr>
        <w:tab/>
      </w:r>
      <w:r>
        <w:rPr>
          <w:noProof/>
        </w:rPr>
        <w:fldChar w:fldCharType="begin"/>
      </w:r>
      <w:r>
        <w:rPr>
          <w:noProof/>
        </w:rPr>
        <w:instrText xml:space="preserve"> PAGEREF _Toc427857746 \h </w:instrText>
      </w:r>
      <w:r>
        <w:rPr>
          <w:noProof/>
        </w:rPr>
      </w:r>
      <w:r>
        <w:rPr>
          <w:noProof/>
        </w:rPr>
        <w:fldChar w:fldCharType="separate"/>
      </w:r>
      <w:r w:rsidR="00BD0A62">
        <w:rPr>
          <w:noProof/>
        </w:rPr>
        <w:t>18</w:t>
      </w:r>
      <w:r>
        <w:rPr>
          <w:noProof/>
        </w:rPr>
        <w:fldChar w:fldCharType="end"/>
      </w:r>
    </w:p>
    <w:p w14:paraId="6EB124E5" w14:textId="77777777" w:rsidR="00CD2A59" w:rsidRDefault="00CD2A59">
      <w:pPr>
        <w:pStyle w:val="TOC3"/>
        <w:rPr>
          <w:rFonts w:asciiTheme="minorHAnsi" w:eastAsiaTheme="minorEastAsia" w:hAnsiTheme="minorHAnsi" w:cstheme="minorBidi"/>
          <w:noProof/>
          <w:sz w:val="22"/>
          <w:lang w:eastAsia="en-GB"/>
        </w:rPr>
      </w:pPr>
      <w:r>
        <w:rPr>
          <w:noProof/>
        </w:rPr>
        <w:t>Figure 17. Top import sources, Myanmar (2010)</w:t>
      </w:r>
      <w:r>
        <w:rPr>
          <w:noProof/>
        </w:rPr>
        <w:tab/>
      </w:r>
      <w:r>
        <w:rPr>
          <w:noProof/>
        </w:rPr>
        <w:fldChar w:fldCharType="begin"/>
      </w:r>
      <w:r>
        <w:rPr>
          <w:noProof/>
        </w:rPr>
        <w:instrText xml:space="preserve"> PAGEREF _Toc427857747 \h </w:instrText>
      </w:r>
      <w:r>
        <w:rPr>
          <w:noProof/>
        </w:rPr>
      </w:r>
      <w:r>
        <w:rPr>
          <w:noProof/>
        </w:rPr>
        <w:fldChar w:fldCharType="separate"/>
      </w:r>
      <w:r w:rsidR="00BD0A62">
        <w:rPr>
          <w:noProof/>
        </w:rPr>
        <w:t>18</w:t>
      </w:r>
      <w:r>
        <w:rPr>
          <w:noProof/>
        </w:rPr>
        <w:fldChar w:fldCharType="end"/>
      </w:r>
    </w:p>
    <w:p w14:paraId="1CE16A57" w14:textId="77777777" w:rsidR="00CD2A59" w:rsidRDefault="00CD2A59">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_Toc427857748 \h </w:instrText>
      </w:r>
      <w:r>
        <w:rPr>
          <w:noProof/>
        </w:rPr>
      </w:r>
      <w:r>
        <w:rPr>
          <w:noProof/>
        </w:rPr>
        <w:fldChar w:fldCharType="separate"/>
      </w:r>
      <w:r w:rsidR="00BD0A62">
        <w:rPr>
          <w:noProof/>
        </w:rPr>
        <w:t>19</w:t>
      </w:r>
      <w:r>
        <w:rPr>
          <w:noProof/>
        </w:rPr>
        <w:fldChar w:fldCharType="end"/>
      </w:r>
    </w:p>
    <w:p w14:paraId="0EB95CE8" w14:textId="77777777" w:rsidR="00CD2A59" w:rsidRDefault="00CD2A59">
      <w:pPr>
        <w:pStyle w:val="TOC3"/>
        <w:rPr>
          <w:rFonts w:asciiTheme="minorHAnsi" w:eastAsiaTheme="minorEastAsia" w:hAnsiTheme="minorHAnsi" w:cstheme="minorBidi"/>
          <w:noProof/>
          <w:sz w:val="22"/>
          <w:lang w:eastAsia="en-GB"/>
        </w:rPr>
      </w:pPr>
      <w:r>
        <w:rPr>
          <w:noProof/>
        </w:rPr>
        <w:t>Figure 18. Export diversification index, Myanmar, 1965–2010</w:t>
      </w:r>
      <w:r>
        <w:rPr>
          <w:noProof/>
        </w:rPr>
        <w:tab/>
      </w:r>
      <w:r>
        <w:rPr>
          <w:noProof/>
        </w:rPr>
        <w:fldChar w:fldCharType="begin"/>
      </w:r>
      <w:r>
        <w:rPr>
          <w:noProof/>
        </w:rPr>
        <w:instrText xml:space="preserve"> PAGEREF _Toc427857749 \h </w:instrText>
      </w:r>
      <w:r>
        <w:rPr>
          <w:noProof/>
        </w:rPr>
      </w:r>
      <w:r>
        <w:rPr>
          <w:noProof/>
        </w:rPr>
        <w:fldChar w:fldCharType="separate"/>
      </w:r>
      <w:r w:rsidR="00BD0A62">
        <w:rPr>
          <w:noProof/>
        </w:rPr>
        <w:t>19</w:t>
      </w:r>
      <w:r>
        <w:rPr>
          <w:noProof/>
        </w:rPr>
        <w:fldChar w:fldCharType="end"/>
      </w:r>
    </w:p>
    <w:p w14:paraId="782DE6D3" w14:textId="77777777" w:rsidR="00CD2A59" w:rsidRDefault="00CD2A59">
      <w:pPr>
        <w:pStyle w:val="TOC3"/>
        <w:rPr>
          <w:rFonts w:asciiTheme="minorHAnsi" w:eastAsiaTheme="minorEastAsia" w:hAnsiTheme="minorHAnsi" w:cstheme="minorBidi"/>
          <w:noProof/>
          <w:sz w:val="22"/>
          <w:lang w:eastAsia="en-GB"/>
        </w:rPr>
      </w:pPr>
      <w:r>
        <w:rPr>
          <w:noProof/>
        </w:rPr>
        <w:t>Figure 19. Number of export items and markets, Myanmar, 2010–13</w:t>
      </w:r>
      <w:r>
        <w:rPr>
          <w:noProof/>
        </w:rPr>
        <w:tab/>
      </w:r>
      <w:r>
        <w:rPr>
          <w:noProof/>
        </w:rPr>
        <w:fldChar w:fldCharType="begin"/>
      </w:r>
      <w:r>
        <w:rPr>
          <w:noProof/>
        </w:rPr>
        <w:instrText xml:space="preserve"> PAGEREF _Toc427857750 \h </w:instrText>
      </w:r>
      <w:r>
        <w:rPr>
          <w:noProof/>
        </w:rPr>
      </w:r>
      <w:r>
        <w:rPr>
          <w:noProof/>
        </w:rPr>
        <w:fldChar w:fldCharType="separate"/>
      </w:r>
      <w:r w:rsidR="00BD0A62">
        <w:rPr>
          <w:noProof/>
        </w:rPr>
        <w:t>20</w:t>
      </w:r>
      <w:r>
        <w:rPr>
          <w:noProof/>
        </w:rPr>
        <w:fldChar w:fldCharType="end"/>
      </w:r>
    </w:p>
    <w:p w14:paraId="13FD35D9" w14:textId="77777777" w:rsidR="00CD2A59" w:rsidRDefault="00CD2A59">
      <w:pPr>
        <w:pStyle w:val="TOC3"/>
        <w:rPr>
          <w:rFonts w:asciiTheme="minorHAnsi" w:eastAsiaTheme="minorEastAsia" w:hAnsiTheme="minorHAnsi" w:cstheme="minorBidi"/>
          <w:noProof/>
          <w:sz w:val="22"/>
          <w:lang w:eastAsia="en-GB"/>
        </w:rPr>
      </w:pPr>
      <w:r>
        <w:rPr>
          <w:noProof/>
        </w:rPr>
        <w:t>Figure 20. Number of import items and suppliers, Myanmar, 2010–13</w:t>
      </w:r>
      <w:r>
        <w:rPr>
          <w:noProof/>
        </w:rPr>
        <w:tab/>
      </w:r>
      <w:r>
        <w:rPr>
          <w:noProof/>
        </w:rPr>
        <w:fldChar w:fldCharType="begin"/>
      </w:r>
      <w:r>
        <w:rPr>
          <w:noProof/>
        </w:rPr>
        <w:instrText xml:space="preserve"> PAGEREF _Toc427857751 \h </w:instrText>
      </w:r>
      <w:r>
        <w:rPr>
          <w:noProof/>
        </w:rPr>
      </w:r>
      <w:r>
        <w:rPr>
          <w:noProof/>
        </w:rPr>
        <w:fldChar w:fldCharType="separate"/>
      </w:r>
      <w:r w:rsidR="00BD0A62">
        <w:rPr>
          <w:noProof/>
        </w:rPr>
        <w:t>20</w:t>
      </w:r>
      <w:r>
        <w:rPr>
          <w:noProof/>
        </w:rPr>
        <w:fldChar w:fldCharType="end"/>
      </w:r>
    </w:p>
    <w:p w14:paraId="74078FC9" w14:textId="77777777" w:rsidR="00CD2A59" w:rsidRDefault="00CD2A59">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_Toc427857752 \h </w:instrText>
      </w:r>
      <w:r>
        <w:rPr>
          <w:noProof/>
        </w:rPr>
      </w:r>
      <w:r>
        <w:rPr>
          <w:noProof/>
        </w:rPr>
        <w:fldChar w:fldCharType="separate"/>
      </w:r>
      <w:r w:rsidR="00BD0A62">
        <w:rPr>
          <w:noProof/>
        </w:rPr>
        <w:t>21</w:t>
      </w:r>
      <w:r>
        <w:rPr>
          <w:noProof/>
        </w:rPr>
        <w:fldChar w:fldCharType="end"/>
      </w:r>
    </w:p>
    <w:p w14:paraId="6123F692" w14:textId="77777777" w:rsidR="00CD2A59" w:rsidRDefault="00CD2A59">
      <w:pPr>
        <w:pStyle w:val="TOC3"/>
        <w:rPr>
          <w:rFonts w:asciiTheme="minorHAnsi" w:eastAsiaTheme="minorEastAsia" w:hAnsiTheme="minorHAnsi" w:cstheme="minorBidi"/>
          <w:noProof/>
          <w:sz w:val="22"/>
          <w:lang w:eastAsia="en-GB"/>
        </w:rPr>
      </w:pPr>
      <w:r>
        <w:rPr>
          <w:noProof/>
        </w:rPr>
        <w:lastRenderedPageBreak/>
        <w:t>Table 4. Revealed comparative advantage by HS Section, Myanmar</w:t>
      </w:r>
      <w:r>
        <w:rPr>
          <w:noProof/>
        </w:rPr>
        <w:tab/>
      </w:r>
      <w:r>
        <w:rPr>
          <w:noProof/>
        </w:rPr>
        <w:fldChar w:fldCharType="begin"/>
      </w:r>
      <w:r>
        <w:rPr>
          <w:noProof/>
        </w:rPr>
        <w:instrText xml:space="preserve"> PAGEREF _Toc427857753 \h </w:instrText>
      </w:r>
      <w:r>
        <w:rPr>
          <w:noProof/>
        </w:rPr>
      </w:r>
      <w:r>
        <w:rPr>
          <w:noProof/>
        </w:rPr>
        <w:fldChar w:fldCharType="separate"/>
      </w:r>
      <w:r w:rsidR="00BD0A62">
        <w:rPr>
          <w:noProof/>
        </w:rPr>
        <w:t>21</w:t>
      </w:r>
      <w:r>
        <w:rPr>
          <w:noProof/>
        </w:rPr>
        <w:fldChar w:fldCharType="end"/>
      </w:r>
    </w:p>
    <w:p w14:paraId="3BB7361A" w14:textId="77777777" w:rsidR="00CD2A59" w:rsidRDefault="00CD2A59">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_Toc427857754 \h </w:instrText>
      </w:r>
      <w:r>
        <w:rPr>
          <w:noProof/>
        </w:rPr>
      </w:r>
      <w:r>
        <w:rPr>
          <w:noProof/>
        </w:rPr>
        <w:fldChar w:fldCharType="separate"/>
      </w:r>
      <w:r w:rsidR="00BD0A62">
        <w:rPr>
          <w:noProof/>
        </w:rPr>
        <w:t>22</w:t>
      </w:r>
      <w:r>
        <w:rPr>
          <w:noProof/>
        </w:rPr>
        <w:fldChar w:fldCharType="end"/>
      </w:r>
    </w:p>
    <w:p w14:paraId="7EA34EF8" w14:textId="77777777" w:rsidR="00CD2A59" w:rsidRDefault="00CD2A59">
      <w:pPr>
        <w:pStyle w:val="TOC3"/>
        <w:rPr>
          <w:rFonts w:asciiTheme="minorHAnsi" w:eastAsiaTheme="minorEastAsia" w:hAnsiTheme="minorHAnsi" w:cstheme="minorBidi"/>
          <w:noProof/>
          <w:sz w:val="22"/>
          <w:lang w:eastAsia="en-GB"/>
        </w:rPr>
      </w:pPr>
      <w:r>
        <w:rPr>
          <w:noProof/>
        </w:rPr>
        <w:t>Figure 21. Compound annual growth rate of domestic value added, foreign value added and exports, 1996-2011 and 2006-11, Myanmar</w:t>
      </w:r>
      <w:r>
        <w:rPr>
          <w:noProof/>
        </w:rPr>
        <w:tab/>
      </w:r>
      <w:r>
        <w:rPr>
          <w:noProof/>
        </w:rPr>
        <w:fldChar w:fldCharType="begin"/>
      </w:r>
      <w:r>
        <w:rPr>
          <w:noProof/>
        </w:rPr>
        <w:instrText xml:space="preserve"> PAGEREF _Toc427857755 \h </w:instrText>
      </w:r>
      <w:r>
        <w:rPr>
          <w:noProof/>
        </w:rPr>
      </w:r>
      <w:r>
        <w:rPr>
          <w:noProof/>
        </w:rPr>
        <w:fldChar w:fldCharType="separate"/>
      </w:r>
      <w:r w:rsidR="00BD0A62">
        <w:rPr>
          <w:noProof/>
        </w:rPr>
        <w:t>22</w:t>
      </w:r>
      <w:r>
        <w:rPr>
          <w:noProof/>
        </w:rPr>
        <w:fldChar w:fldCharType="end"/>
      </w:r>
    </w:p>
    <w:p w14:paraId="5A1983E4"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22. Domestic and foreign value added content of gross exports as share of gross exports, 1996, 2000, 2006 and 2011, Myanmar</w:t>
      </w:r>
      <w:r>
        <w:rPr>
          <w:noProof/>
        </w:rPr>
        <w:tab/>
      </w:r>
      <w:r>
        <w:rPr>
          <w:noProof/>
        </w:rPr>
        <w:fldChar w:fldCharType="begin"/>
      </w:r>
      <w:r>
        <w:rPr>
          <w:noProof/>
        </w:rPr>
        <w:instrText xml:space="preserve"> PAGEREF _Toc427857756 \h </w:instrText>
      </w:r>
      <w:r>
        <w:rPr>
          <w:noProof/>
        </w:rPr>
      </w:r>
      <w:r>
        <w:rPr>
          <w:noProof/>
        </w:rPr>
        <w:fldChar w:fldCharType="separate"/>
      </w:r>
      <w:r w:rsidR="00BD0A62">
        <w:rPr>
          <w:noProof/>
        </w:rPr>
        <w:t>22</w:t>
      </w:r>
      <w:r>
        <w:rPr>
          <w:noProof/>
        </w:rPr>
        <w:fldChar w:fldCharType="end"/>
      </w:r>
    </w:p>
    <w:p w14:paraId="1FE5AF27"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23. Overall value of domestic and foreign value added, 1996, 2000, 2006 and 2011 (in USD 1,000) , Myanmar</w:t>
      </w:r>
      <w:r>
        <w:rPr>
          <w:noProof/>
        </w:rPr>
        <w:tab/>
      </w:r>
      <w:r>
        <w:rPr>
          <w:noProof/>
        </w:rPr>
        <w:fldChar w:fldCharType="begin"/>
      </w:r>
      <w:r>
        <w:rPr>
          <w:noProof/>
        </w:rPr>
        <w:instrText xml:space="preserve"> PAGEREF _Toc427857757 \h </w:instrText>
      </w:r>
      <w:r>
        <w:rPr>
          <w:noProof/>
        </w:rPr>
      </w:r>
      <w:r>
        <w:rPr>
          <w:noProof/>
        </w:rPr>
        <w:fldChar w:fldCharType="separate"/>
      </w:r>
      <w:r w:rsidR="00BD0A62">
        <w:rPr>
          <w:noProof/>
        </w:rPr>
        <w:t>22</w:t>
      </w:r>
      <w:r>
        <w:rPr>
          <w:noProof/>
        </w:rPr>
        <w:fldChar w:fldCharType="end"/>
      </w:r>
    </w:p>
    <w:p w14:paraId="497D1F2B"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24. Compound annual growth rate of DVA embodied in gross exports by sector, 1996-2011 and 2006-2011, Myanmar</w:t>
      </w:r>
      <w:r>
        <w:rPr>
          <w:noProof/>
        </w:rPr>
        <w:tab/>
      </w:r>
      <w:r>
        <w:rPr>
          <w:noProof/>
        </w:rPr>
        <w:fldChar w:fldCharType="begin"/>
      </w:r>
      <w:r>
        <w:rPr>
          <w:noProof/>
        </w:rPr>
        <w:instrText xml:space="preserve"> PAGEREF _Toc427857758 \h </w:instrText>
      </w:r>
      <w:r>
        <w:rPr>
          <w:noProof/>
        </w:rPr>
      </w:r>
      <w:r>
        <w:rPr>
          <w:noProof/>
        </w:rPr>
        <w:fldChar w:fldCharType="separate"/>
      </w:r>
      <w:r w:rsidR="00BD0A62">
        <w:rPr>
          <w:noProof/>
        </w:rPr>
        <w:t>23</w:t>
      </w:r>
      <w:r>
        <w:rPr>
          <w:noProof/>
        </w:rPr>
        <w:fldChar w:fldCharType="end"/>
      </w:r>
    </w:p>
    <w:p w14:paraId="602190B5"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25. Sectoral DVA embodied in exports as a share of sectoral gross exports, 2000 and 2011, Myanmar</w:t>
      </w:r>
      <w:r>
        <w:rPr>
          <w:noProof/>
        </w:rPr>
        <w:tab/>
      </w:r>
      <w:r>
        <w:rPr>
          <w:noProof/>
        </w:rPr>
        <w:fldChar w:fldCharType="begin"/>
      </w:r>
      <w:r>
        <w:rPr>
          <w:noProof/>
        </w:rPr>
        <w:instrText xml:space="preserve"> PAGEREF _Toc427857759 \h </w:instrText>
      </w:r>
      <w:r>
        <w:rPr>
          <w:noProof/>
        </w:rPr>
      </w:r>
      <w:r>
        <w:rPr>
          <w:noProof/>
        </w:rPr>
        <w:fldChar w:fldCharType="separate"/>
      </w:r>
      <w:r w:rsidR="00BD0A62">
        <w:rPr>
          <w:noProof/>
        </w:rPr>
        <w:t>23</w:t>
      </w:r>
      <w:r>
        <w:rPr>
          <w:noProof/>
        </w:rPr>
        <w:fldChar w:fldCharType="end"/>
      </w:r>
    </w:p>
    <w:p w14:paraId="02B952AA"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26. Sectoral DVA as a share of total DVA, 2000 and 2011, Myanmar</w:t>
      </w:r>
      <w:r>
        <w:rPr>
          <w:noProof/>
        </w:rPr>
        <w:tab/>
      </w:r>
      <w:r>
        <w:rPr>
          <w:noProof/>
        </w:rPr>
        <w:fldChar w:fldCharType="begin"/>
      </w:r>
      <w:r>
        <w:rPr>
          <w:noProof/>
        </w:rPr>
        <w:instrText xml:space="preserve"> PAGEREF _Toc427857760 \h </w:instrText>
      </w:r>
      <w:r>
        <w:rPr>
          <w:noProof/>
        </w:rPr>
      </w:r>
      <w:r>
        <w:rPr>
          <w:noProof/>
        </w:rPr>
        <w:fldChar w:fldCharType="separate"/>
      </w:r>
      <w:r w:rsidR="00BD0A62">
        <w:rPr>
          <w:noProof/>
        </w:rPr>
        <w:t>24</w:t>
      </w:r>
      <w:r>
        <w:rPr>
          <w:noProof/>
        </w:rPr>
        <w:fldChar w:fldCharType="end"/>
      </w:r>
    </w:p>
    <w:p w14:paraId="1AA4EE3F"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27. Compound annual growth rate of FVA embodied in gross exports by sector, 1996-2011 and 2006-2011, Myanmar</w:t>
      </w:r>
      <w:r>
        <w:rPr>
          <w:noProof/>
        </w:rPr>
        <w:tab/>
      </w:r>
      <w:r>
        <w:rPr>
          <w:noProof/>
        </w:rPr>
        <w:fldChar w:fldCharType="begin"/>
      </w:r>
      <w:r>
        <w:rPr>
          <w:noProof/>
        </w:rPr>
        <w:instrText xml:space="preserve"> PAGEREF _Toc427857761 \h </w:instrText>
      </w:r>
      <w:r>
        <w:rPr>
          <w:noProof/>
        </w:rPr>
      </w:r>
      <w:r>
        <w:rPr>
          <w:noProof/>
        </w:rPr>
        <w:fldChar w:fldCharType="separate"/>
      </w:r>
      <w:r w:rsidR="00BD0A62">
        <w:rPr>
          <w:noProof/>
        </w:rPr>
        <w:t>25</w:t>
      </w:r>
      <w:r>
        <w:rPr>
          <w:noProof/>
        </w:rPr>
        <w:fldChar w:fldCharType="end"/>
      </w:r>
    </w:p>
    <w:p w14:paraId="445499FD"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28. Sectoral FVA embodied in exports as a share of sectoral gross exports, 2000 and 2011, Myanmar</w:t>
      </w:r>
      <w:r>
        <w:rPr>
          <w:noProof/>
        </w:rPr>
        <w:tab/>
      </w:r>
      <w:r>
        <w:rPr>
          <w:noProof/>
        </w:rPr>
        <w:fldChar w:fldCharType="begin"/>
      </w:r>
      <w:r>
        <w:rPr>
          <w:noProof/>
        </w:rPr>
        <w:instrText xml:space="preserve"> PAGEREF _Toc427857762 \h </w:instrText>
      </w:r>
      <w:r>
        <w:rPr>
          <w:noProof/>
        </w:rPr>
      </w:r>
      <w:r>
        <w:rPr>
          <w:noProof/>
        </w:rPr>
        <w:fldChar w:fldCharType="separate"/>
      </w:r>
      <w:r w:rsidR="00BD0A62">
        <w:rPr>
          <w:noProof/>
        </w:rPr>
        <w:t>25</w:t>
      </w:r>
      <w:r>
        <w:rPr>
          <w:noProof/>
        </w:rPr>
        <w:fldChar w:fldCharType="end"/>
      </w:r>
    </w:p>
    <w:p w14:paraId="7CA46B1A" w14:textId="77777777" w:rsidR="00CD2A59" w:rsidRDefault="00CD2A59">
      <w:pPr>
        <w:pStyle w:val="TOC3"/>
        <w:rPr>
          <w:rFonts w:asciiTheme="minorHAnsi" w:eastAsiaTheme="minorEastAsia" w:hAnsiTheme="minorHAnsi" w:cstheme="minorBidi"/>
          <w:noProof/>
          <w:sz w:val="22"/>
          <w:lang w:eastAsia="en-GB"/>
        </w:rPr>
      </w:pPr>
      <w:r w:rsidRPr="00BD757D">
        <w:rPr>
          <w:rFonts w:cs="Arial"/>
          <w:noProof/>
        </w:rPr>
        <w:t>Figure 29. Sectoral FVA as a share of total FVA, 2000 and 2011, Myanmar</w:t>
      </w:r>
      <w:r>
        <w:rPr>
          <w:noProof/>
        </w:rPr>
        <w:tab/>
      </w:r>
      <w:r>
        <w:rPr>
          <w:noProof/>
        </w:rPr>
        <w:fldChar w:fldCharType="begin"/>
      </w:r>
      <w:r>
        <w:rPr>
          <w:noProof/>
        </w:rPr>
        <w:instrText xml:space="preserve"> PAGEREF _Toc427857763 \h </w:instrText>
      </w:r>
      <w:r>
        <w:rPr>
          <w:noProof/>
        </w:rPr>
      </w:r>
      <w:r>
        <w:rPr>
          <w:noProof/>
        </w:rPr>
        <w:fldChar w:fldCharType="separate"/>
      </w:r>
      <w:r w:rsidR="00BD0A62">
        <w:rPr>
          <w:noProof/>
        </w:rPr>
        <w:t>26</w:t>
      </w:r>
      <w:r>
        <w:rPr>
          <w:noProof/>
        </w:rPr>
        <w:fldChar w:fldCharType="end"/>
      </w:r>
    </w:p>
    <w:p w14:paraId="4AADCFBD" w14:textId="77777777" w:rsidR="00CD2A59" w:rsidRDefault="00CD2A59">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_Toc427857764 \h </w:instrText>
      </w:r>
      <w:r>
        <w:rPr>
          <w:noProof/>
        </w:rPr>
      </w:r>
      <w:r>
        <w:rPr>
          <w:noProof/>
        </w:rPr>
        <w:fldChar w:fldCharType="separate"/>
      </w:r>
      <w:r w:rsidR="00BD0A62">
        <w:rPr>
          <w:noProof/>
        </w:rPr>
        <w:t>27</w:t>
      </w:r>
      <w:r>
        <w:rPr>
          <w:noProof/>
        </w:rPr>
        <w:fldChar w:fldCharType="end"/>
      </w:r>
    </w:p>
    <w:p w14:paraId="090752EA" w14:textId="77777777" w:rsidR="00CD2A59" w:rsidRDefault="00CD2A59">
      <w:pPr>
        <w:pStyle w:val="TOC3"/>
        <w:rPr>
          <w:rFonts w:asciiTheme="minorHAnsi" w:eastAsiaTheme="minorEastAsia" w:hAnsiTheme="minorHAnsi" w:cstheme="minorBidi"/>
          <w:noProof/>
          <w:sz w:val="22"/>
          <w:lang w:eastAsia="en-GB"/>
        </w:rPr>
      </w:pPr>
      <w:r>
        <w:rPr>
          <w:noProof/>
        </w:rPr>
        <w:t>Figure 30. Exports of goods and services, Myanmar</w:t>
      </w:r>
      <w:r>
        <w:rPr>
          <w:noProof/>
        </w:rPr>
        <w:tab/>
      </w:r>
      <w:r>
        <w:rPr>
          <w:noProof/>
        </w:rPr>
        <w:fldChar w:fldCharType="begin"/>
      </w:r>
      <w:r>
        <w:rPr>
          <w:noProof/>
        </w:rPr>
        <w:instrText xml:space="preserve"> PAGEREF _Toc427857765 \h </w:instrText>
      </w:r>
      <w:r>
        <w:rPr>
          <w:noProof/>
        </w:rPr>
      </w:r>
      <w:r>
        <w:rPr>
          <w:noProof/>
        </w:rPr>
        <w:fldChar w:fldCharType="separate"/>
      </w:r>
      <w:r w:rsidR="00BD0A62">
        <w:rPr>
          <w:noProof/>
        </w:rPr>
        <w:t>27</w:t>
      </w:r>
      <w:r>
        <w:rPr>
          <w:noProof/>
        </w:rPr>
        <w:fldChar w:fldCharType="end"/>
      </w:r>
    </w:p>
    <w:p w14:paraId="790498E5" w14:textId="77777777" w:rsidR="00CD2A59" w:rsidRDefault="00CD2A59">
      <w:pPr>
        <w:pStyle w:val="TOC3"/>
        <w:rPr>
          <w:rFonts w:asciiTheme="minorHAnsi" w:eastAsiaTheme="minorEastAsia" w:hAnsiTheme="minorHAnsi" w:cstheme="minorBidi"/>
          <w:noProof/>
          <w:sz w:val="22"/>
          <w:lang w:eastAsia="en-GB"/>
        </w:rPr>
      </w:pPr>
      <w:r>
        <w:rPr>
          <w:noProof/>
        </w:rPr>
        <w:t>Figure 31. Sectoral shares of services exports, Myanmar</w:t>
      </w:r>
      <w:r>
        <w:rPr>
          <w:noProof/>
        </w:rPr>
        <w:tab/>
      </w:r>
      <w:r>
        <w:rPr>
          <w:noProof/>
        </w:rPr>
        <w:fldChar w:fldCharType="begin"/>
      </w:r>
      <w:r>
        <w:rPr>
          <w:noProof/>
        </w:rPr>
        <w:instrText xml:space="preserve"> PAGEREF _Toc427857766 \h </w:instrText>
      </w:r>
      <w:r>
        <w:rPr>
          <w:noProof/>
        </w:rPr>
      </w:r>
      <w:r>
        <w:rPr>
          <w:noProof/>
        </w:rPr>
        <w:fldChar w:fldCharType="separate"/>
      </w:r>
      <w:r w:rsidR="00BD0A62">
        <w:rPr>
          <w:noProof/>
        </w:rPr>
        <w:t>27</w:t>
      </w:r>
      <w:r>
        <w:rPr>
          <w:noProof/>
        </w:rPr>
        <w:fldChar w:fldCharType="end"/>
      </w:r>
    </w:p>
    <w:p w14:paraId="406A8ABE" w14:textId="77777777" w:rsidR="00CD2A59" w:rsidRDefault="00CD2A59">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_Toc427857767 \h </w:instrText>
      </w:r>
      <w:r>
        <w:rPr>
          <w:noProof/>
        </w:rPr>
      </w:r>
      <w:r>
        <w:rPr>
          <w:noProof/>
        </w:rPr>
        <w:fldChar w:fldCharType="separate"/>
      </w:r>
      <w:r w:rsidR="00BD0A62">
        <w:rPr>
          <w:noProof/>
        </w:rPr>
        <w:t>28</w:t>
      </w:r>
      <w:r>
        <w:rPr>
          <w:noProof/>
        </w:rPr>
        <w:fldChar w:fldCharType="end"/>
      </w:r>
    </w:p>
    <w:p w14:paraId="5259771C" w14:textId="77777777" w:rsidR="00CD2A59" w:rsidRDefault="00CD2A59">
      <w:pPr>
        <w:pStyle w:val="TOC3"/>
        <w:rPr>
          <w:rFonts w:asciiTheme="minorHAnsi" w:eastAsiaTheme="minorEastAsia" w:hAnsiTheme="minorHAnsi" w:cstheme="minorBidi"/>
          <w:noProof/>
          <w:sz w:val="22"/>
          <w:lang w:eastAsia="en-GB"/>
        </w:rPr>
      </w:pPr>
      <w:r>
        <w:rPr>
          <w:noProof/>
        </w:rPr>
        <w:t>Figure 32. Dispersion in productivity across firms by sector – Myanmar</w:t>
      </w:r>
      <w:r>
        <w:rPr>
          <w:noProof/>
        </w:rPr>
        <w:tab/>
      </w:r>
      <w:r>
        <w:rPr>
          <w:noProof/>
        </w:rPr>
        <w:fldChar w:fldCharType="begin"/>
      </w:r>
      <w:r>
        <w:rPr>
          <w:noProof/>
        </w:rPr>
        <w:instrText xml:space="preserve"> PAGEREF _Toc427857768 \h </w:instrText>
      </w:r>
      <w:r>
        <w:rPr>
          <w:noProof/>
        </w:rPr>
      </w:r>
      <w:r>
        <w:rPr>
          <w:noProof/>
        </w:rPr>
        <w:fldChar w:fldCharType="separate"/>
      </w:r>
      <w:r w:rsidR="00BD0A62">
        <w:rPr>
          <w:noProof/>
        </w:rPr>
        <w:t>28</w:t>
      </w:r>
      <w:r>
        <w:rPr>
          <w:noProof/>
        </w:rPr>
        <w:fldChar w:fldCharType="end"/>
      </w:r>
    </w:p>
    <w:p w14:paraId="4D3B5014" w14:textId="77777777" w:rsidR="00CD2A59" w:rsidRDefault="00CD2A59">
      <w:pPr>
        <w:pStyle w:val="TOC3"/>
        <w:rPr>
          <w:rFonts w:asciiTheme="minorHAnsi" w:eastAsiaTheme="minorEastAsia" w:hAnsiTheme="minorHAnsi" w:cstheme="minorBidi"/>
          <w:noProof/>
          <w:sz w:val="22"/>
          <w:lang w:eastAsia="en-GB"/>
        </w:rPr>
      </w:pPr>
      <w:r>
        <w:rPr>
          <w:noProof/>
        </w:rPr>
        <w:t>Figure 33. Distribution in productivity in Myanmar – comparing kernel and normal distributions</w:t>
      </w:r>
      <w:r>
        <w:rPr>
          <w:noProof/>
        </w:rPr>
        <w:tab/>
      </w:r>
      <w:r>
        <w:rPr>
          <w:noProof/>
        </w:rPr>
        <w:fldChar w:fldCharType="begin"/>
      </w:r>
      <w:r>
        <w:rPr>
          <w:noProof/>
        </w:rPr>
        <w:instrText xml:space="preserve"> PAGEREF _Toc427857769 \h </w:instrText>
      </w:r>
      <w:r>
        <w:rPr>
          <w:noProof/>
        </w:rPr>
      </w:r>
      <w:r>
        <w:rPr>
          <w:noProof/>
        </w:rPr>
        <w:fldChar w:fldCharType="separate"/>
      </w:r>
      <w:r w:rsidR="00BD0A62">
        <w:rPr>
          <w:noProof/>
        </w:rPr>
        <w:t>29</w:t>
      </w:r>
      <w:r>
        <w:rPr>
          <w:noProof/>
        </w:rPr>
        <w:fldChar w:fldCharType="end"/>
      </w:r>
    </w:p>
    <w:p w14:paraId="777BE01C" w14:textId="77777777" w:rsidR="00CD2A59" w:rsidRDefault="00CD2A59">
      <w:pPr>
        <w:pStyle w:val="TOC1"/>
        <w:rPr>
          <w:rFonts w:asciiTheme="minorHAnsi" w:eastAsiaTheme="minorEastAsia" w:hAnsiTheme="minorHAnsi" w:cstheme="minorBidi"/>
          <w:b w:val="0"/>
          <w:noProof/>
          <w:color w:val="auto"/>
          <w:sz w:val="22"/>
          <w:lang w:eastAsia="en-GB"/>
        </w:rPr>
      </w:pPr>
      <w:r>
        <w:rPr>
          <w:noProof/>
        </w:rPr>
        <w:t>Wages by occupation</w:t>
      </w:r>
      <w:r>
        <w:rPr>
          <w:noProof/>
        </w:rPr>
        <w:tab/>
      </w:r>
      <w:r>
        <w:rPr>
          <w:noProof/>
        </w:rPr>
        <w:fldChar w:fldCharType="begin"/>
      </w:r>
      <w:r>
        <w:rPr>
          <w:noProof/>
        </w:rPr>
        <w:instrText xml:space="preserve"> PAGEREF _Toc427857770 \h </w:instrText>
      </w:r>
      <w:r>
        <w:rPr>
          <w:noProof/>
        </w:rPr>
      </w:r>
      <w:r>
        <w:rPr>
          <w:noProof/>
        </w:rPr>
        <w:fldChar w:fldCharType="separate"/>
      </w:r>
      <w:r w:rsidR="00BD0A62">
        <w:rPr>
          <w:noProof/>
        </w:rPr>
        <w:t>30</w:t>
      </w:r>
      <w:r>
        <w:rPr>
          <w:noProof/>
        </w:rPr>
        <w:fldChar w:fldCharType="end"/>
      </w:r>
    </w:p>
    <w:p w14:paraId="665191FF" w14:textId="77777777" w:rsidR="00CD2A59" w:rsidRDefault="00CD2A59">
      <w:pPr>
        <w:pStyle w:val="TOC3"/>
        <w:rPr>
          <w:rFonts w:asciiTheme="minorHAnsi" w:eastAsiaTheme="minorEastAsia" w:hAnsiTheme="minorHAnsi" w:cstheme="minorBidi"/>
          <w:noProof/>
          <w:sz w:val="22"/>
          <w:lang w:eastAsia="en-GB"/>
        </w:rPr>
      </w:pPr>
      <w:r>
        <w:rPr>
          <w:noProof/>
          <w:lang w:eastAsia="en-GB"/>
        </w:rPr>
        <w:t>Figure 34. Relative wages in Myanmar</w:t>
      </w:r>
      <w:r>
        <w:rPr>
          <w:noProof/>
        </w:rPr>
        <w:tab/>
      </w:r>
      <w:r>
        <w:rPr>
          <w:noProof/>
        </w:rPr>
        <w:fldChar w:fldCharType="begin"/>
      </w:r>
      <w:r>
        <w:rPr>
          <w:noProof/>
        </w:rPr>
        <w:instrText xml:space="preserve"> PAGEREF _Toc427857771 \h </w:instrText>
      </w:r>
      <w:r>
        <w:rPr>
          <w:noProof/>
        </w:rPr>
      </w:r>
      <w:r>
        <w:rPr>
          <w:noProof/>
        </w:rPr>
        <w:fldChar w:fldCharType="separate"/>
      </w:r>
      <w:r w:rsidR="00BD0A62">
        <w:rPr>
          <w:noProof/>
        </w:rPr>
        <w:t>30</w:t>
      </w:r>
      <w:r>
        <w:rPr>
          <w:noProof/>
        </w:rPr>
        <w:fldChar w:fldCharType="end"/>
      </w:r>
    </w:p>
    <w:p w14:paraId="58AD20CE" w14:textId="77777777" w:rsidR="00F515DA" w:rsidRPr="006C2AB9" w:rsidRDefault="005D716A" w:rsidP="00575A8E">
      <w:pPr>
        <w:pStyle w:val="TOC3"/>
        <w:rPr>
          <w:rFonts w:asciiTheme="majorHAnsi" w:hAnsiTheme="majorHAnsi" w:cstheme="majorHAnsi"/>
        </w:rPr>
      </w:pPr>
      <w:r w:rsidRPr="00927125">
        <w:rPr>
          <w:rFonts w:cs="Arial"/>
          <w:b/>
          <w:color w:val="006C67" w:themeColor="accent1"/>
        </w:rPr>
        <w:fldChar w:fldCharType="end"/>
      </w:r>
    </w:p>
    <w:p w14:paraId="58AD20CF"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58AD20D0" w14:textId="77777777" w:rsidR="001228CD" w:rsidRDefault="00B12AEC" w:rsidP="00B12AEC">
      <w:pPr>
        <w:pStyle w:val="Heading1"/>
      </w:pPr>
      <w:bookmarkStart w:id="1" w:name="Start"/>
      <w:bookmarkStart w:id="2" w:name="_Toc407106166"/>
      <w:bookmarkStart w:id="3" w:name="_Toc427857725"/>
      <w:bookmarkStart w:id="4" w:name="_Toc404327254"/>
      <w:bookmarkStart w:id="5" w:name="_Toc404327348"/>
      <w:bookmarkStart w:id="6" w:name="_Toc404327524"/>
      <w:bookmarkStart w:id="7" w:name="_Toc404327736"/>
      <w:bookmarkEnd w:id="1"/>
      <w:r>
        <w:lastRenderedPageBreak/>
        <w:t>Economic structure</w:t>
      </w:r>
      <w:r w:rsidR="00C21DC3">
        <w:t>s</w:t>
      </w:r>
      <w:bookmarkEnd w:id="2"/>
      <w:bookmarkEnd w:id="3"/>
    </w:p>
    <w:p w14:paraId="58AD20D1" w14:textId="77777777" w:rsidR="008529DF" w:rsidRDefault="008529DF" w:rsidP="008529DF">
      <w:pPr>
        <w:pStyle w:val="TableHeading"/>
      </w:pPr>
      <w:bookmarkStart w:id="8" w:name="_Toc408471230"/>
      <w:bookmarkStart w:id="9" w:name="_Toc427857726"/>
      <w:bookmarkStart w:id="10" w:name="_Toc408401694"/>
      <w:r>
        <w:t xml:space="preserve">Value added (% of GDP), </w:t>
      </w:r>
      <w:bookmarkEnd w:id="8"/>
      <w:r>
        <w:t>Myanmar</w:t>
      </w:r>
      <w:bookmarkEnd w:id="9"/>
    </w:p>
    <w:tbl>
      <w:tblPr>
        <w:tblW w:w="6750" w:type="dxa"/>
        <w:tblInd w:w="115" w:type="dxa"/>
        <w:tblBorders>
          <w:bottom w:val="single" w:sz="4" w:space="0" w:color="auto"/>
          <w:insideH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160"/>
        <w:gridCol w:w="1147"/>
        <w:gridCol w:w="1148"/>
        <w:gridCol w:w="1147"/>
        <w:gridCol w:w="1148"/>
      </w:tblGrid>
      <w:tr w:rsidR="008529DF" w:rsidRPr="00656266" w14:paraId="58AD20D7" w14:textId="77777777" w:rsidTr="004D14CF">
        <w:trPr>
          <w:trHeight w:val="240"/>
        </w:trPr>
        <w:tc>
          <w:tcPr>
            <w:tcW w:w="2160" w:type="dxa"/>
            <w:shd w:val="clear" w:color="auto" w:fill="E0E0E0" w:themeFill="accent4"/>
            <w:noWrap/>
            <w:vAlign w:val="bottom"/>
            <w:hideMark/>
          </w:tcPr>
          <w:p w14:paraId="58AD20D2" w14:textId="77777777" w:rsidR="008529DF" w:rsidRPr="00656266" w:rsidRDefault="008529DF" w:rsidP="00A90E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 </w:t>
            </w:r>
          </w:p>
        </w:tc>
        <w:tc>
          <w:tcPr>
            <w:tcW w:w="1147" w:type="dxa"/>
            <w:shd w:val="clear" w:color="auto" w:fill="E0E0E0" w:themeFill="accent4"/>
            <w:noWrap/>
            <w:hideMark/>
          </w:tcPr>
          <w:p w14:paraId="58AD20D3" w14:textId="77777777" w:rsidR="008529DF" w:rsidRPr="00656266" w:rsidRDefault="008529DF" w:rsidP="00A90E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1991</w:t>
            </w:r>
          </w:p>
        </w:tc>
        <w:tc>
          <w:tcPr>
            <w:tcW w:w="1148" w:type="dxa"/>
            <w:shd w:val="clear" w:color="auto" w:fill="E0E0E0" w:themeFill="accent4"/>
            <w:noWrap/>
            <w:hideMark/>
          </w:tcPr>
          <w:p w14:paraId="58AD20D4" w14:textId="77777777" w:rsidR="008529DF" w:rsidRPr="00656266" w:rsidRDefault="008529DF" w:rsidP="00A90E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2000</w:t>
            </w:r>
          </w:p>
        </w:tc>
        <w:tc>
          <w:tcPr>
            <w:tcW w:w="1147" w:type="dxa"/>
            <w:shd w:val="clear" w:color="auto" w:fill="E0E0E0" w:themeFill="accent4"/>
            <w:noWrap/>
            <w:hideMark/>
          </w:tcPr>
          <w:p w14:paraId="58AD20D5" w14:textId="77777777" w:rsidR="008529DF" w:rsidRPr="00656266" w:rsidRDefault="008529DF" w:rsidP="00A90E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2002</w:t>
            </w:r>
          </w:p>
        </w:tc>
        <w:tc>
          <w:tcPr>
            <w:tcW w:w="1148" w:type="dxa"/>
            <w:shd w:val="clear" w:color="auto" w:fill="E0E0E0" w:themeFill="accent4"/>
            <w:noWrap/>
            <w:hideMark/>
          </w:tcPr>
          <w:p w14:paraId="58AD20D6" w14:textId="77777777" w:rsidR="008529DF" w:rsidRPr="00656266" w:rsidRDefault="008529DF" w:rsidP="00A90E4C">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2004</w:t>
            </w:r>
          </w:p>
        </w:tc>
      </w:tr>
      <w:tr w:rsidR="008529DF" w:rsidRPr="00656266" w14:paraId="58AD20DD" w14:textId="77777777" w:rsidTr="004D14CF">
        <w:trPr>
          <w:trHeight w:val="240"/>
        </w:trPr>
        <w:tc>
          <w:tcPr>
            <w:tcW w:w="2160" w:type="dxa"/>
            <w:shd w:val="clear" w:color="auto" w:fill="auto"/>
            <w:noWrap/>
            <w:tcMar>
              <w:left w:w="0" w:type="dxa"/>
              <w:right w:w="115" w:type="dxa"/>
            </w:tcMar>
            <w:vAlign w:val="bottom"/>
            <w:hideMark/>
          </w:tcPr>
          <w:p w14:paraId="58AD20D8" w14:textId="77777777" w:rsidR="008529DF" w:rsidRPr="00656266" w:rsidRDefault="008529DF" w:rsidP="00A90E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Agriculture</w:t>
            </w:r>
            <w:r w:rsidR="004D14CF">
              <w:rPr>
                <w:rFonts w:asciiTheme="majorHAnsi" w:hAnsiTheme="majorHAnsi" w:cstheme="majorHAnsi"/>
                <w:color w:val="000000"/>
                <w:szCs w:val="17"/>
                <w:vertAlign w:val="superscript"/>
                <w:lang w:eastAsia="en-GB"/>
              </w:rPr>
              <w:t xml:space="preserve"> a</w:t>
            </w:r>
          </w:p>
        </w:tc>
        <w:tc>
          <w:tcPr>
            <w:tcW w:w="1147" w:type="dxa"/>
            <w:shd w:val="clear" w:color="auto" w:fill="auto"/>
            <w:noWrap/>
            <w:tcMar>
              <w:left w:w="115" w:type="dxa"/>
              <w:right w:w="216" w:type="dxa"/>
            </w:tcMar>
            <w:vAlign w:val="bottom"/>
            <w:hideMark/>
          </w:tcPr>
          <w:p w14:paraId="58AD20D9"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58.8</w:t>
            </w:r>
          </w:p>
        </w:tc>
        <w:tc>
          <w:tcPr>
            <w:tcW w:w="1148" w:type="dxa"/>
            <w:shd w:val="clear" w:color="auto" w:fill="auto"/>
            <w:noWrap/>
            <w:tcMar>
              <w:left w:w="115" w:type="dxa"/>
              <w:right w:w="216" w:type="dxa"/>
            </w:tcMar>
            <w:vAlign w:val="bottom"/>
            <w:hideMark/>
          </w:tcPr>
          <w:p w14:paraId="58AD20DA"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57.2</w:t>
            </w:r>
          </w:p>
        </w:tc>
        <w:tc>
          <w:tcPr>
            <w:tcW w:w="1147" w:type="dxa"/>
            <w:shd w:val="clear" w:color="auto" w:fill="auto"/>
            <w:noWrap/>
            <w:tcMar>
              <w:left w:w="115" w:type="dxa"/>
              <w:right w:w="216" w:type="dxa"/>
            </w:tcMar>
            <w:vAlign w:val="bottom"/>
            <w:hideMark/>
          </w:tcPr>
          <w:p w14:paraId="58AD20DB"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54.5</w:t>
            </w:r>
          </w:p>
        </w:tc>
        <w:tc>
          <w:tcPr>
            <w:tcW w:w="1148" w:type="dxa"/>
            <w:shd w:val="clear" w:color="auto" w:fill="auto"/>
            <w:noWrap/>
            <w:tcMar>
              <w:left w:w="115" w:type="dxa"/>
              <w:right w:w="216" w:type="dxa"/>
            </w:tcMar>
            <w:vAlign w:val="bottom"/>
            <w:hideMark/>
          </w:tcPr>
          <w:p w14:paraId="58AD20DC"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48.4</w:t>
            </w:r>
          </w:p>
        </w:tc>
      </w:tr>
      <w:tr w:rsidR="008529DF" w:rsidRPr="00656266" w14:paraId="58AD20E3" w14:textId="77777777" w:rsidTr="004D14CF">
        <w:trPr>
          <w:trHeight w:val="240"/>
        </w:trPr>
        <w:tc>
          <w:tcPr>
            <w:tcW w:w="2160" w:type="dxa"/>
            <w:shd w:val="clear" w:color="auto" w:fill="auto"/>
            <w:noWrap/>
            <w:tcMar>
              <w:left w:w="0" w:type="dxa"/>
              <w:right w:w="115" w:type="dxa"/>
            </w:tcMar>
            <w:vAlign w:val="bottom"/>
            <w:hideMark/>
          </w:tcPr>
          <w:p w14:paraId="58AD20DE" w14:textId="77777777" w:rsidR="008529DF" w:rsidRPr="00656266" w:rsidRDefault="008529DF" w:rsidP="00A90E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Industry</w:t>
            </w:r>
            <w:r w:rsidR="004D14CF">
              <w:rPr>
                <w:rFonts w:asciiTheme="majorHAnsi" w:hAnsiTheme="majorHAnsi" w:cstheme="majorHAnsi"/>
                <w:color w:val="000000"/>
                <w:szCs w:val="17"/>
                <w:vertAlign w:val="superscript"/>
                <w:lang w:eastAsia="en-GB"/>
              </w:rPr>
              <w:t xml:space="preserve"> b</w:t>
            </w:r>
          </w:p>
        </w:tc>
        <w:tc>
          <w:tcPr>
            <w:tcW w:w="1147" w:type="dxa"/>
            <w:shd w:val="clear" w:color="auto" w:fill="auto"/>
            <w:noWrap/>
            <w:tcMar>
              <w:left w:w="115" w:type="dxa"/>
              <w:right w:w="216" w:type="dxa"/>
            </w:tcMar>
            <w:vAlign w:val="bottom"/>
            <w:hideMark/>
          </w:tcPr>
          <w:p w14:paraId="58AD20DF"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9.8</w:t>
            </w:r>
          </w:p>
        </w:tc>
        <w:tc>
          <w:tcPr>
            <w:tcW w:w="1148" w:type="dxa"/>
            <w:shd w:val="clear" w:color="auto" w:fill="auto"/>
            <w:noWrap/>
            <w:tcMar>
              <w:left w:w="115" w:type="dxa"/>
              <w:right w:w="216" w:type="dxa"/>
            </w:tcMar>
            <w:vAlign w:val="bottom"/>
            <w:hideMark/>
          </w:tcPr>
          <w:p w14:paraId="58AD20E0"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9.7</w:t>
            </w:r>
          </w:p>
        </w:tc>
        <w:tc>
          <w:tcPr>
            <w:tcW w:w="1147" w:type="dxa"/>
            <w:shd w:val="clear" w:color="auto" w:fill="auto"/>
            <w:noWrap/>
            <w:tcMar>
              <w:left w:w="115" w:type="dxa"/>
              <w:right w:w="216" w:type="dxa"/>
            </w:tcMar>
            <w:vAlign w:val="bottom"/>
            <w:hideMark/>
          </w:tcPr>
          <w:p w14:paraId="58AD20E1"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13.0</w:t>
            </w:r>
          </w:p>
        </w:tc>
        <w:tc>
          <w:tcPr>
            <w:tcW w:w="1148" w:type="dxa"/>
            <w:shd w:val="clear" w:color="auto" w:fill="auto"/>
            <w:noWrap/>
            <w:tcMar>
              <w:left w:w="115" w:type="dxa"/>
              <w:right w:w="216" w:type="dxa"/>
            </w:tcMar>
            <w:vAlign w:val="bottom"/>
            <w:hideMark/>
          </w:tcPr>
          <w:p w14:paraId="58AD20E2"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16.2</w:t>
            </w:r>
          </w:p>
        </w:tc>
      </w:tr>
      <w:tr w:rsidR="004D14CF" w:rsidRPr="004D14CF" w14:paraId="58AD20E9" w14:textId="77777777" w:rsidTr="004D14CF">
        <w:trPr>
          <w:trHeight w:val="240"/>
        </w:trPr>
        <w:tc>
          <w:tcPr>
            <w:tcW w:w="2160" w:type="dxa"/>
            <w:shd w:val="clear" w:color="auto" w:fill="auto"/>
            <w:noWrap/>
            <w:tcMar>
              <w:left w:w="0" w:type="dxa"/>
              <w:right w:w="115" w:type="dxa"/>
            </w:tcMar>
            <w:vAlign w:val="bottom"/>
          </w:tcPr>
          <w:p w14:paraId="58AD20E4" w14:textId="77777777" w:rsidR="004D14CF" w:rsidRPr="004D14CF" w:rsidRDefault="004D14CF" w:rsidP="00A90E4C">
            <w:pPr>
              <w:rPr>
                <w:rFonts w:asciiTheme="majorHAnsi" w:eastAsia="Times New Roman" w:hAnsiTheme="majorHAnsi" w:cstheme="majorHAnsi"/>
                <w:i/>
                <w:color w:val="000000"/>
                <w:sz w:val="17"/>
                <w:szCs w:val="17"/>
                <w:lang w:eastAsia="en-GB"/>
              </w:rPr>
            </w:pPr>
            <w:r w:rsidRPr="004D14CF">
              <w:rPr>
                <w:rFonts w:asciiTheme="majorHAnsi" w:eastAsia="Times New Roman" w:hAnsiTheme="majorHAnsi" w:cstheme="majorHAnsi"/>
                <w:i/>
                <w:color w:val="000000"/>
                <w:sz w:val="17"/>
                <w:szCs w:val="17"/>
                <w:lang w:eastAsia="en-GB"/>
              </w:rPr>
              <w:t>Of which: Manufacturing</w:t>
            </w:r>
          </w:p>
        </w:tc>
        <w:tc>
          <w:tcPr>
            <w:tcW w:w="1147" w:type="dxa"/>
            <w:shd w:val="clear" w:color="auto" w:fill="auto"/>
            <w:noWrap/>
            <w:tcMar>
              <w:left w:w="115" w:type="dxa"/>
              <w:right w:w="216" w:type="dxa"/>
            </w:tcMar>
            <w:vAlign w:val="bottom"/>
          </w:tcPr>
          <w:p w14:paraId="58AD20E5" w14:textId="77777777" w:rsidR="004D14CF" w:rsidRPr="004D14CF" w:rsidRDefault="004D14CF" w:rsidP="00A90E4C">
            <w:pPr>
              <w:jc w:val="right"/>
              <w:rPr>
                <w:rFonts w:asciiTheme="majorHAnsi" w:eastAsia="Times New Roman" w:hAnsiTheme="majorHAnsi" w:cstheme="majorHAnsi"/>
                <w:i/>
                <w:color w:val="000000"/>
                <w:sz w:val="17"/>
                <w:szCs w:val="17"/>
                <w:lang w:eastAsia="en-GB"/>
              </w:rPr>
            </w:pPr>
            <w:r w:rsidRPr="004D14CF">
              <w:rPr>
                <w:rFonts w:asciiTheme="majorHAnsi" w:eastAsia="Times New Roman" w:hAnsiTheme="majorHAnsi" w:cstheme="majorHAnsi"/>
                <w:i/>
                <w:color w:val="000000"/>
                <w:sz w:val="17"/>
                <w:szCs w:val="17"/>
                <w:lang w:eastAsia="en-GB"/>
              </w:rPr>
              <w:t>7.0</w:t>
            </w:r>
          </w:p>
        </w:tc>
        <w:tc>
          <w:tcPr>
            <w:tcW w:w="1148" w:type="dxa"/>
            <w:shd w:val="clear" w:color="auto" w:fill="auto"/>
            <w:noWrap/>
            <w:tcMar>
              <w:left w:w="115" w:type="dxa"/>
              <w:right w:w="216" w:type="dxa"/>
            </w:tcMar>
            <w:vAlign w:val="bottom"/>
          </w:tcPr>
          <w:p w14:paraId="58AD20E6" w14:textId="77777777" w:rsidR="004D14CF" w:rsidRPr="004D14CF" w:rsidRDefault="004D14CF" w:rsidP="00A90E4C">
            <w:pPr>
              <w:jc w:val="right"/>
              <w:rPr>
                <w:rFonts w:asciiTheme="majorHAnsi" w:eastAsia="Times New Roman" w:hAnsiTheme="majorHAnsi" w:cstheme="majorHAnsi"/>
                <w:i/>
                <w:color w:val="000000"/>
                <w:sz w:val="17"/>
                <w:szCs w:val="17"/>
                <w:lang w:eastAsia="en-GB"/>
              </w:rPr>
            </w:pPr>
            <w:r w:rsidRPr="004D14CF">
              <w:rPr>
                <w:rFonts w:asciiTheme="majorHAnsi" w:eastAsia="Times New Roman" w:hAnsiTheme="majorHAnsi" w:cstheme="majorHAnsi"/>
                <w:i/>
                <w:color w:val="000000"/>
                <w:sz w:val="17"/>
                <w:szCs w:val="17"/>
                <w:lang w:eastAsia="en-GB"/>
              </w:rPr>
              <w:t>7.2</w:t>
            </w:r>
          </w:p>
        </w:tc>
        <w:tc>
          <w:tcPr>
            <w:tcW w:w="1147" w:type="dxa"/>
            <w:shd w:val="clear" w:color="auto" w:fill="auto"/>
            <w:noWrap/>
            <w:tcMar>
              <w:left w:w="115" w:type="dxa"/>
              <w:right w:w="216" w:type="dxa"/>
            </w:tcMar>
            <w:vAlign w:val="bottom"/>
          </w:tcPr>
          <w:p w14:paraId="58AD20E7" w14:textId="77777777" w:rsidR="004D14CF" w:rsidRPr="004D14CF" w:rsidRDefault="004D14CF" w:rsidP="00A90E4C">
            <w:pPr>
              <w:jc w:val="right"/>
              <w:rPr>
                <w:rFonts w:asciiTheme="majorHAnsi" w:eastAsia="Times New Roman" w:hAnsiTheme="majorHAnsi" w:cstheme="majorHAnsi"/>
                <w:i/>
                <w:color w:val="000000"/>
                <w:sz w:val="17"/>
                <w:szCs w:val="17"/>
                <w:lang w:eastAsia="en-GB"/>
              </w:rPr>
            </w:pPr>
            <w:r w:rsidRPr="004D14CF">
              <w:rPr>
                <w:rFonts w:asciiTheme="majorHAnsi" w:eastAsia="Times New Roman" w:hAnsiTheme="majorHAnsi" w:cstheme="majorHAnsi"/>
                <w:i/>
                <w:color w:val="000000"/>
                <w:sz w:val="17"/>
                <w:szCs w:val="17"/>
                <w:lang w:eastAsia="en-GB"/>
              </w:rPr>
              <w:t>9.2</w:t>
            </w:r>
          </w:p>
        </w:tc>
        <w:tc>
          <w:tcPr>
            <w:tcW w:w="1148" w:type="dxa"/>
            <w:shd w:val="clear" w:color="auto" w:fill="auto"/>
            <w:noWrap/>
            <w:tcMar>
              <w:left w:w="115" w:type="dxa"/>
              <w:right w:w="216" w:type="dxa"/>
            </w:tcMar>
            <w:vAlign w:val="bottom"/>
          </w:tcPr>
          <w:p w14:paraId="58AD20E8" w14:textId="77777777" w:rsidR="004D14CF" w:rsidRPr="004D14CF" w:rsidRDefault="004D14CF" w:rsidP="00A90E4C">
            <w:pPr>
              <w:jc w:val="right"/>
              <w:rPr>
                <w:rFonts w:asciiTheme="majorHAnsi" w:eastAsia="Times New Roman" w:hAnsiTheme="majorHAnsi" w:cstheme="majorHAnsi"/>
                <w:i/>
                <w:color w:val="000000"/>
                <w:sz w:val="17"/>
                <w:szCs w:val="17"/>
                <w:lang w:eastAsia="en-GB"/>
              </w:rPr>
            </w:pPr>
            <w:r w:rsidRPr="004D14CF">
              <w:rPr>
                <w:rFonts w:asciiTheme="majorHAnsi" w:eastAsia="Times New Roman" w:hAnsiTheme="majorHAnsi" w:cstheme="majorHAnsi"/>
                <w:i/>
                <w:color w:val="000000"/>
                <w:sz w:val="17"/>
                <w:szCs w:val="17"/>
                <w:lang w:eastAsia="en-GB"/>
              </w:rPr>
              <w:t>11.6</w:t>
            </w:r>
          </w:p>
        </w:tc>
      </w:tr>
      <w:tr w:rsidR="008529DF" w:rsidRPr="00656266" w14:paraId="58AD20EF" w14:textId="77777777" w:rsidTr="004D14CF">
        <w:trPr>
          <w:trHeight w:val="240"/>
        </w:trPr>
        <w:tc>
          <w:tcPr>
            <w:tcW w:w="2160" w:type="dxa"/>
            <w:shd w:val="clear" w:color="auto" w:fill="auto"/>
            <w:noWrap/>
            <w:tcMar>
              <w:left w:w="0" w:type="dxa"/>
              <w:right w:w="115" w:type="dxa"/>
            </w:tcMar>
            <w:vAlign w:val="bottom"/>
            <w:hideMark/>
          </w:tcPr>
          <w:p w14:paraId="58AD20EA" w14:textId="77777777" w:rsidR="008529DF" w:rsidRPr="00656266" w:rsidRDefault="008529DF" w:rsidP="00A90E4C">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Services</w:t>
            </w:r>
            <w:r w:rsidR="004D14CF">
              <w:rPr>
                <w:rFonts w:asciiTheme="majorHAnsi" w:eastAsia="Times New Roman" w:hAnsiTheme="majorHAnsi" w:cstheme="majorHAnsi"/>
                <w:color w:val="000000"/>
                <w:sz w:val="17"/>
                <w:szCs w:val="17"/>
                <w:vertAlign w:val="superscript"/>
                <w:lang w:eastAsia="en-GB"/>
              </w:rPr>
              <w:t xml:space="preserve"> c</w:t>
            </w:r>
          </w:p>
        </w:tc>
        <w:tc>
          <w:tcPr>
            <w:tcW w:w="1147" w:type="dxa"/>
            <w:shd w:val="clear" w:color="auto" w:fill="auto"/>
            <w:noWrap/>
            <w:tcMar>
              <w:left w:w="115" w:type="dxa"/>
              <w:right w:w="216" w:type="dxa"/>
            </w:tcMar>
            <w:vAlign w:val="bottom"/>
            <w:hideMark/>
          </w:tcPr>
          <w:p w14:paraId="58AD20EB"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31.3</w:t>
            </w:r>
          </w:p>
        </w:tc>
        <w:tc>
          <w:tcPr>
            <w:tcW w:w="1148" w:type="dxa"/>
            <w:shd w:val="clear" w:color="auto" w:fill="auto"/>
            <w:noWrap/>
            <w:tcMar>
              <w:left w:w="115" w:type="dxa"/>
              <w:right w:w="216" w:type="dxa"/>
            </w:tcMar>
            <w:vAlign w:val="bottom"/>
            <w:hideMark/>
          </w:tcPr>
          <w:p w14:paraId="58AD20EC"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33.1</w:t>
            </w:r>
          </w:p>
        </w:tc>
        <w:tc>
          <w:tcPr>
            <w:tcW w:w="1147" w:type="dxa"/>
            <w:shd w:val="clear" w:color="auto" w:fill="auto"/>
            <w:noWrap/>
            <w:tcMar>
              <w:left w:w="115" w:type="dxa"/>
              <w:right w:w="216" w:type="dxa"/>
            </w:tcMar>
            <w:vAlign w:val="bottom"/>
            <w:hideMark/>
          </w:tcPr>
          <w:p w14:paraId="58AD20ED"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32.5</w:t>
            </w:r>
          </w:p>
        </w:tc>
        <w:tc>
          <w:tcPr>
            <w:tcW w:w="1148" w:type="dxa"/>
            <w:shd w:val="clear" w:color="auto" w:fill="auto"/>
            <w:noWrap/>
            <w:tcMar>
              <w:left w:w="115" w:type="dxa"/>
              <w:right w:w="216" w:type="dxa"/>
            </w:tcMar>
            <w:vAlign w:val="bottom"/>
            <w:hideMark/>
          </w:tcPr>
          <w:p w14:paraId="58AD20EE" w14:textId="77777777" w:rsidR="008529DF" w:rsidRPr="008529DF" w:rsidRDefault="008529DF" w:rsidP="00A90E4C">
            <w:pPr>
              <w:jc w:val="right"/>
              <w:rPr>
                <w:rFonts w:asciiTheme="majorHAnsi" w:eastAsia="Times New Roman" w:hAnsiTheme="majorHAnsi" w:cstheme="majorHAnsi"/>
                <w:color w:val="000000"/>
                <w:sz w:val="17"/>
                <w:szCs w:val="17"/>
                <w:lang w:eastAsia="en-GB"/>
              </w:rPr>
            </w:pPr>
            <w:r w:rsidRPr="008529DF">
              <w:rPr>
                <w:rFonts w:asciiTheme="majorHAnsi" w:eastAsia="Times New Roman" w:hAnsiTheme="majorHAnsi" w:cstheme="majorHAnsi"/>
                <w:color w:val="000000"/>
                <w:sz w:val="17"/>
                <w:szCs w:val="17"/>
                <w:lang w:eastAsia="en-GB"/>
              </w:rPr>
              <w:t>35.4</w:t>
            </w:r>
          </w:p>
        </w:tc>
      </w:tr>
      <w:tr w:rsidR="008529DF" w:rsidRPr="00656266" w14:paraId="58AD20F5" w14:textId="77777777" w:rsidTr="004D14CF">
        <w:trPr>
          <w:trHeight w:val="240"/>
        </w:trPr>
        <w:tc>
          <w:tcPr>
            <w:tcW w:w="2160" w:type="dxa"/>
            <w:shd w:val="clear" w:color="auto" w:fill="auto"/>
            <w:noWrap/>
            <w:tcMar>
              <w:left w:w="0" w:type="dxa"/>
              <w:right w:w="115" w:type="dxa"/>
            </w:tcMar>
            <w:vAlign w:val="bottom"/>
            <w:hideMark/>
          </w:tcPr>
          <w:p w14:paraId="58AD20F0" w14:textId="77777777" w:rsidR="008529DF" w:rsidRPr="00656266" w:rsidRDefault="008529DF" w:rsidP="00A90E4C">
            <w:pP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Total</w:t>
            </w:r>
          </w:p>
        </w:tc>
        <w:tc>
          <w:tcPr>
            <w:tcW w:w="1147" w:type="dxa"/>
            <w:shd w:val="clear" w:color="auto" w:fill="auto"/>
            <w:noWrap/>
            <w:tcMar>
              <w:left w:w="115" w:type="dxa"/>
              <w:right w:w="216" w:type="dxa"/>
            </w:tcMar>
            <w:vAlign w:val="bottom"/>
            <w:hideMark/>
          </w:tcPr>
          <w:p w14:paraId="58AD20F1" w14:textId="77777777" w:rsidR="008529DF" w:rsidRPr="008529DF" w:rsidRDefault="008529DF" w:rsidP="00A90E4C">
            <w:pPr>
              <w:jc w:val="right"/>
              <w:rPr>
                <w:rFonts w:asciiTheme="majorHAnsi" w:eastAsia="Times New Roman" w:hAnsiTheme="majorHAnsi" w:cstheme="majorHAnsi"/>
                <w:b/>
                <w:bCs/>
                <w:color w:val="000000"/>
                <w:sz w:val="17"/>
                <w:szCs w:val="17"/>
                <w:lang w:eastAsia="en-GB"/>
              </w:rPr>
            </w:pPr>
            <w:r w:rsidRPr="008529DF">
              <w:rPr>
                <w:rFonts w:asciiTheme="majorHAnsi" w:eastAsia="Times New Roman" w:hAnsiTheme="majorHAnsi" w:cstheme="majorHAnsi"/>
                <w:b/>
                <w:bCs/>
                <w:color w:val="000000"/>
                <w:sz w:val="17"/>
                <w:szCs w:val="17"/>
                <w:lang w:eastAsia="en-GB"/>
              </w:rPr>
              <w:t>100.0</w:t>
            </w:r>
          </w:p>
        </w:tc>
        <w:tc>
          <w:tcPr>
            <w:tcW w:w="1148" w:type="dxa"/>
            <w:shd w:val="clear" w:color="auto" w:fill="auto"/>
            <w:noWrap/>
            <w:tcMar>
              <w:left w:w="115" w:type="dxa"/>
              <w:right w:w="216" w:type="dxa"/>
            </w:tcMar>
            <w:vAlign w:val="bottom"/>
            <w:hideMark/>
          </w:tcPr>
          <w:p w14:paraId="58AD20F2" w14:textId="77777777" w:rsidR="008529DF" w:rsidRPr="008529DF" w:rsidRDefault="008529DF" w:rsidP="00A90E4C">
            <w:pPr>
              <w:jc w:val="right"/>
              <w:rPr>
                <w:rFonts w:asciiTheme="majorHAnsi" w:eastAsia="Times New Roman" w:hAnsiTheme="majorHAnsi" w:cstheme="majorHAnsi"/>
                <w:b/>
                <w:bCs/>
                <w:color w:val="000000"/>
                <w:sz w:val="17"/>
                <w:szCs w:val="17"/>
                <w:lang w:eastAsia="en-GB"/>
              </w:rPr>
            </w:pPr>
            <w:r w:rsidRPr="008529DF">
              <w:rPr>
                <w:rFonts w:asciiTheme="majorHAnsi" w:eastAsia="Times New Roman" w:hAnsiTheme="majorHAnsi" w:cstheme="majorHAnsi"/>
                <w:b/>
                <w:bCs/>
                <w:color w:val="000000"/>
                <w:sz w:val="17"/>
                <w:szCs w:val="17"/>
                <w:lang w:eastAsia="en-GB"/>
              </w:rPr>
              <w:t>100.0</w:t>
            </w:r>
          </w:p>
        </w:tc>
        <w:tc>
          <w:tcPr>
            <w:tcW w:w="1147" w:type="dxa"/>
            <w:shd w:val="clear" w:color="auto" w:fill="auto"/>
            <w:noWrap/>
            <w:tcMar>
              <w:left w:w="115" w:type="dxa"/>
              <w:right w:w="216" w:type="dxa"/>
            </w:tcMar>
            <w:vAlign w:val="bottom"/>
            <w:hideMark/>
          </w:tcPr>
          <w:p w14:paraId="58AD20F3" w14:textId="77777777" w:rsidR="008529DF" w:rsidRPr="008529DF" w:rsidRDefault="008529DF" w:rsidP="00A90E4C">
            <w:pPr>
              <w:jc w:val="right"/>
              <w:rPr>
                <w:rFonts w:asciiTheme="majorHAnsi" w:eastAsia="Times New Roman" w:hAnsiTheme="majorHAnsi" w:cstheme="majorHAnsi"/>
                <w:b/>
                <w:bCs/>
                <w:color w:val="000000"/>
                <w:sz w:val="17"/>
                <w:szCs w:val="17"/>
                <w:lang w:eastAsia="en-GB"/>
              </w:rPr>
            </w:pPr>
            <w:r w:rsidRPr="008529DF">
              <w:rPr>
                <w:rFonts w:asciiTheme="majorHAnsi" w:eastAsia="Times New Roman" w:hAnsiTheme="majorHAnsi" w:cstheme="majorHAnsi"/>
                <w:b/>
                <w:bCs/>
                <w:color w:val="000000"/>
                <w:sz w:val="17"/>
                <w:szCs w:val="17"/>
                <w:lang w:eastAsia="en-GB"/>
              </w:rPr>
              <w:t>100.0</w:t>
            </w:r>
          </w:p>
        </w:tc>
        <w:tc>
          <w:tcPr>
            <w:tcW w:w="1148" w:type="dxa"/>
            <w:shd w:val="clear" w:color="auto" w:fill="auto"/>
            <w:noWrap/>
            <w:tcMar>
              <w:left w:w="115" w:type="dxa"/>
              <w:right w:w="216" w:type="dxa"/>
            </w:tcMar>
            <w:vAlign w:val="bottom"/>
            <w:hideMark/>
          </w:tcPr>
          <w:p w14:paraId="58AD20F4" w14:textId="77777777" w:rsidR="008529DF" w:rsidRPr="008529DF" w:rsidRDefault="008529DF" w:rsidP="00A90E4C">
            <w:pPr>
              <w:jc w:val="right"/>
              <w:rPr>
                <w:rFonts w:asciiTheme="majorHAnsi" w:eastAsia="Times New Roman" w:hAnsiTheme="majorHAnsi" w:cstheme="majorHAnsi"/>
                <w:b/>
                <w:bCs/>
                <w:color w:val="000000"/>
                <w:sz w:val="17"/>
                <w:szCs w:val="17"/>
                <w:lang w:eastAsia="en-GB"/>
              </w:rPr>
            </w:pPr>
            <w:r w:rsidRPr="008529DF">
              <w:rPr>
                <w:rFonts w:asciiTheme="majorHAnsi" w:eastAsia="Times New Roman" w:hAnsiTheme="majorHAnsi" w:cstheme="majorHAnsi"/>
                <w:b/>
                <w:bCs/>
                <w:color w:val="000000"/>
                <w:sz w:val="17"/>
                <w:szCs w:val="17"/>
                <w:lang w:eastAsia="en-GB"/>
              </w:rPr>
              <w:t>100.0</w:t>
            </w:r>
          </w:p>
        </w:tc>
      </w:tr>
    </w:tbl>
    <w:p w14:paraId="58AD20F6" w14:textId="77777777" w:rsidR="008529DF" w:rsidRDefault="004D14CF" w:rsidP="008529DF">
      <w:pPr>
        <w:pStyle w:val="Source"/>
      </w:pPr>
      <w:r>
        <w:t>Notes</w:t>
      </w:r>
      <w:proofErr w:type="gramStart"/>
      <w:r>
        <w:t>:</w:t>
      </w:r>
      <w:proofErr w:type="gramEnd"/>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r>
      <w:r w:rsidR="008529DF">
        <w:t>Source: World Bank, World Development Indicators (</w:t>
      </w:r>
      <w:hyperlink r:id="rId17" w:history="1">
        <w:r w:rsidR="008529DF" w:rsidRPr="00656266">
          <w:rPr>
            <w:rStyle w:val="Hyperlink"/>
          </w:rPr>
          <w:t>http://databank.worldbank.org/data/views/variableSelection/selectvariables.aspx?source=world-development-indicators</w:t>
        </w:r>
      </w:hyperlink>
      <w:r w:rsidR="008529DF">
        <w:t>).</w:t>
      </w:r>
    </w:p>
    <w:p w14:paraId="2941D51C" w14:textId="77777777" w:rsidR="00194F6F" w:rsidRDefault="00194F6F" w:rsidP="00194F6F">
      <w:pPr>
        <w:pStyle w:val="BodyText"/>
        <w:sectPr w:rsidR="00194F6F" w:rsidSect="001228CD">
          <w:headerReference w:type="default" r:id="rId18"/>
          <w:footerReference w:type="default" r:id="rId19"/>
          <w:pgSz w:w="11907" w:h="16839" w:code="9"/>
          <w:pgMar w:top="1469" w:right="2102" w:bottom="1368" w:left="965" w:header="706" w:footer="706" w:gutter="0"/>
          <w:cols w:space="708"/>
          <w:docGrid w:linePitch="360"/>
        </w:sectPr>
      </w:pPr>
    </w:p>
    <w:p w14:paraId="2302CB48" w14:textId="77777777" w:rsidR="00194F6F" w:rsidRPr="00194F6F" w:rsidRDefault="00194F6F" w:rsidP="00194F6F">
      <w:pPr>
        <w:pStyle w:val="BodyText"/>
        <w:rPr>
          <w:noProof/>
        </w:rPr>
      </w:pPr>
    </w:p>
    <w:p w14:paraId="3D3D43E7" w14:textId="77777777" w:rsidR="00194F6F" w:rsidRPr="00194F6F" w:rsidRDefault="00194F6F" w:rsidP="00194F6F">
      <w:pPr>
        <w:pStyle w:val="BodyText"/>
        <w:rPr>
          <w:noProof/>
        </w:rPr>
      </w:pPr>
    </w:p>
    <w:p w14:paraId="7262B7FA" w14:textId="77777777" w:rsidR="00194F6F" w:rsidRPr="00194F6F" w:rsidRDefault="00194F6F" w:rsidP="00194F6F">
      <w:pPr>
        <w:pStyle w:val="BodyText"/>
        <w:rPr>
          <w:noProof/>
        </w:rPr>
      </w:pPr>
    </w:p>
    <w:p w14:paraId="5038E176" w14:textId="77777777" w:rsidR="00194F6F" w:rsidRPr="00194F6F" w:rsidRDefault="00194F6F" w:rsidP="00194F6F">
      <w:pPr>
        <w:pStyle w:val="BodyText"/>
        <w:rPr>
          <w:noProof/>
        </w:rPr>
      </w:pPr>
    </w:p>
    <w:p w14:paraId="312E5E6F" w14:textId="77777777" w:rsidR="00194F6F" w:rsidRPr="00194F6F" w:rsidRDefault="00194F6F" w:rsidP="00194F6F">
      <w:pPr>
        <w:pStyle w:val="BodyText"/>
        <w:rPr>
          <w:noProof/>
        </w:rPr>
      </w:pPr>
    </w:p>
    <w:p w14:paraId="70481A0B" w14:textId="78C51643" w:rsidR="00194F6F" w:rsidRPr="001B0E3C" w:rsidRDefault="00194F6F" w:rsidP="00194F6F">
      <w:pPr>
        <w:pStyle w:val="TableHeading"/>
        <w:numPr>
          <w:ilvl w:val="0"/>
          <w:numId w:val="13"/>
        </w:numPr>
        <w:tabs>
          <w:tab w:val="right" w:pos="9806"/>
          <w:tab w:val="right" w:pos="13950"/>
        </w:tabs>
        <w:rPr>
          <w:noProof/>
          <w:color w:val="FF0000"/>
        </w:rPr>
      </w:pPr>
      <w:bookmarkStart w:id="11" w:name="_Toc427857727"/>
      <w:r>
        <w:rPr>
          <w:noProof/>
        </w:rPr>
        <w:t>GDP, employment and relative productivity levels, Myanmar, 1991–2013</w:t>
      </w:r>
      <w:r w:rsidR="00CD2A59">
        <w:rPr>
          <w:noProof/>
        </w:rPr>
        <w:tab/>
      </w:r>
      <w:r>
        <w:rPr>
          <w:noProof/>
        </w:rPr>
        <w:tab/>
      </w:r>
      <w:r w:rsidRPr="001B0E3C">
        <w:rPr>
          <w:noProof/>
          <w:color w:val="FF0000"/>
        </w:rPr>
        <w:t>NEW</w:t>
      </w:r>
      <w:bookmarkEnd w:id="11"/>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194F6F" w:rsidRPr="00733BD9" w14:paraId="1663AB93" w14:textId="77777777" w:rsidTr="00273924">
        <w:tc>
          <w:tcPr>
            <w:tcW w:w="2426" w:type="dxa"/>
            <w:tcBorders>
              <w:right w:val="single" w:sz="4" w:space="0" w:color="auto"/>
            </w:tcBorders>
            <w:shd w:val="clear" w:color="auto" w:fill="D9D9D9" w:themeFill="background1" w:themeFillShade="D9"/>
            <w:noWrap/>
            <w:vAlign w:val="center"/>
            <w:hideMark/>
          </w:tcPr>
          <w:p w14:paraId="191C07F1" w14:textId="77777777" w:rsidR="00194F6F" w:rsidRPr="00733BD9" w:rsidRDefault="00194F6F" w:rsidP="00194F6F">
            <w:pPr>
              <w:jc w:val="center"/>
              <w:rPr>
                <w:rFonts w:ascii="Arial" w:eastAsia="Times New Roman" w:hAnsi="Arial" w:cs="Arial"/>
                <w:b/>
                <w:bCs/>
                <w:sz w:val="17"/>
                <w:szCs w:val="17"/>
                <w:lang w:eastAsia="en-GB"/>
              </w:rPr>
            </w:pPr>
            <w:r w:rsidRPr="00733BD9">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6369780C" w14:textId="77777777" w:rsidR="00194F6F" w:rsidRPr="00733BD9" w:rsidRDefault="00194F6F" w:rsidP="00194F6F">
            <w:pPr>
              <w:ind w:left="144" w:right="144"/>
              <w:jc w:val="center"/>
              <w:rPr>
                <w:rFonts w:ascii="Arial" w:eastAsia="Times New Roman" w:hAnsi="Arial" w:cs="Arial"/>
                <w:sz w:val="17"/>
                <w:szCs w:val="17"/>
                <w:lang w:eastAsia="en-GB"/>
              </w:rPr>
            </w:pPr>
            <w:r w:rsidRPr="00733BD9">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602F59D8" w14:textId="77777777" w:rsidR="00194F6F" w:rsidRPr="00733BD9" w:rsidRDefault="00194F6F" w:rsidP="00194F6F">
            <w:pPr>
              <w:ind w:left="144" w:right="144"/>
              <w:jc w:val="center"/>
              <w:rPr>
                <w:rFonts w:ascii="Arial" w:hAnsi="Arial" w:cs="Arial"/>
                <w:b/>
                <w:bCs/>
                <w:sz w:val="17"/>
                <w:szCs w:val="17"/>
              </w:rPr>
            </w:pPr>
            <w:r w:rsidRPr="00733BD9">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1396AC7B" w14:textId="77777777" w:rsidR="00194F6F" w:rsidRPr="00733BD9" w:rsidRDefault="00194F6F" w:rsidP="00194F6F">
            <w:pPr>
              <w:ind w:left="144" w:right="144"/>
              <w:jc w:val="center"/>
              <w:rPr>
                <w:rFonts w:ascii="Arial" w:eastAsia="Times New Roman" w:hAnsi="Arial" w:cs="Arial"/>
                <w:b/>
                <w:bCs/>
                <w:sz w:val="17"/>
                <w:szCs w:val="17"/>
                <w:lang w:eastAsia="en-GB"/>
              </w:rPr>
            </w:pPr>
            <w:r w:rsidRPr="00733BD9">
              <w:rPr>
                <w:rFonts w:ascii="Arial" w:eastAsia="Times New Roman" w:hAnsi="Arial" w:cs="Arial"/>
                <w:b/>
                <w:bCs/>
                <w:sz w:val="17"/>
                <w:szCs w:val="17"/>
                <w:lang w:eastAsia="en-GB"/>
              </w:rPr>
              <w:t xml:space="preserve">Relative productivity levels </w:t>
            </w:r>
            <w:r w:rsidRPr="00733BD9">
              <w:rPr>
                <w:rFonts w:ascii="Arial" w:eastAsia="Times New Roman" w:hAnsi="Arial" w:cs="Arial"/>
                <w:b/>
                <w:bCs/>
                <w:sz w:val="17"/>
                <w:szCs w:val="17"/>
                <w:vertAlign w:val="superscript"/>
                <w:lang w:eastAsia="en-GB"/>
              </w:rPr>
              <w:t>a</w:t>
            </w:r>
          </w:p>
        </w:tc>
      </w:tr>
      <w:tr w:rsidR="00194F6F" w:rsidRPr="00733BD9" w14:paraId="7320182E" w14:textId="77777777" w:rsidTr="00273924">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08B9E56C" w14:textId="77777777" w:rsidR="00194F6F" w:rsidRPr="00733BD9" w:rsidRDefault="00194F6F" w:rsidP="00194F6F">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5EA30A7E"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2FD66EB3"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50618438"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481A4537"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32DE25E6"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0F60B702"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0C598206"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60DDDFCB"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3ADF50C1"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2429C612"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71A05EBA"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305EFCA2"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470E9E74" w14:textId="77777777" w:rsidR="00194F6F" w:rsidRPr="00733BD9" w:rsidRDefault="00194F6F" w:rsidP="00194F6F">
            <w:pPr>
              <w:jc w:val="center"/>
              <w:rPr>
                <w:rFonts w:ascii="Arial" w:eastAsia="Times New Roman" w:hAnsi="Arial" w:cs="Arial"/>
                <w:bCs/>
                <w:i/>
                <w:sz w:val="17"/>
                <w:szCs w:val="17"/>
                <w:lang w:eastAsia="en-GB"/>
              </w:rPr>
            </w:pPr>
            <w:r w:rsidRPr="00733BD9">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16E1AC8C" w14:textId="77777777" w:rsidR="00194F6F" w:rsidRPr="00733BD9" w:rsidRDefault="00194F6F" w:rsidP="00194F6F">
            <w:pPr>
              <w:jc w:val="center"/>
              <w:rPr>
                <w:rFonts w:ascii="Arial" w:eastAsia="Times New Roman" w:hAnsi="Arial" w:cs="Arial"/>
                <w:bCs/>
                <w:i/>
                <w:sz w:val="17"/>
                <w:szCs w:val="17"/>
                <w:lang w:eastAsia="en-GB"/>
              </w:rPr>
            </w:pPr>
            <w:r w:rsidRPr="00733BD9">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6AA5399E" w14:textId="77777777" w:rsidR="00194F6F" w:rsidRPr="00733BD9" w:rsidRDefault="00194F6F" w:rsidP="00194F6F">
            <w:pPr>
              <w:jc w:val="center"/>
              <w:rPr>
                <w:rFonts w:ascii="Arial" w:eastAsia="Times New Roman" w:hAnsi="Arial" w:cs="Arial"/>
                <w:bCs/>
                <w:i/>
                <w:sz w:val="17"/>
                <w:szCs w:val="17"/>
                <w:lang w:eastAsia="en-GB"/>
              </w:rPr>
            </w:pPr>
            <w:r w:rsidRPr="00733BD9">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5FA05C88" w14:textId="77777777" w:rsidR="00194F6F" w:rsidRPr="00733BD9" w:rsidRDefault="00194F6F" w:rsidP="00194F6F">
            <w:pPr>
              <w:jc w:val="center"/>
              <w:rPr>
                <w:rFonts w:ascii="Arial" w:eastAsia="Times New Roman" w:hAnsi="Arial" w:cs="Arial"/>
                <w:bCs/>
                <w:i/>
                <w:sz w:val="17"/>
                <w:szCs w:val="17"/>
                <w:lang w:eastAsia="en-GB"/>
              </w:rPr>
            </w:pPr>
            <w:r w:rsidRPr="00733BD9">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260AAA18" w14:textId="77777777" w:rsidR="00194F6F" w:rsidRPr="00733BD9" w:rsidRDefault="00194F6F" w:rsidP="00194F6F">
            <w:pPr>
              <w:jc w:val="center"/>
              <w:rPr>
                <w:rFonts w:ascii="Arial" w:eastAsia="Times New Roman" w:hAnsi="Arial" w:cs="Arial"/>
                <w:bCs/>
                <w:i/>
                <w:sz w:val="17"/>
                <w:szCs w:val="17"/>
                <w:lang w:eastAsia="en-GB"/>
              </w:rPr>
            </w:pPr>
            <w:r w:rsidRPr="00733BD9">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022C28A6" w14:textId="77777777" w:rsidR="00194F6F" w:rsidRPr="00733BD9" w:rsidRDefault="00194F6F" w:rsidP="00194F6F">
            <w:pPr>
              <w:jc w:val="center"/>
              <w:rPr>
                <w:rFonts w:ascii="Arial" w:eastAsia="Times New Roman" w:hAnsi="Arial" w:cs="Arial"/>
                <w:bCs/>
                <w:i/>
                <w:sz w:val="17"/>
                <w:szCs w:val="17"/>
                <w:lang w:eastAsia="en-GB"/>
              </w:rPr>
            </w:pPr>
            <w:r w:rsidRPr="00733BD9">
              <w:rPr>
                <w:rFonts w:ascii="Arial" w:eastAsia="Times New Roman" w:hAnsi="Arial" w:cs="Arial"/>
                <w:bCs/>
                <w:i/>
                <w:sz w:val="17"/>
                <w:szCs w:val="17"/>
                <w:lang w:eastAsia="en-GB"/>
              </w:rPr>
              <w:t>2013</w:t>
            </w:r>
          </w:p>
        </w:tc>
      </w:tr>
      <w:tr w:rsidR="00194F6F" w:rsidRPr="00733BD9" w14:paraId="7BB6EA2F" w14:textId="77777777" w:rsidTr="00273924">
        <w:trPr>
          <w:trHeight w:val="240"/>
        </w:trPr>
        <w:tc>
          <w:tcPr>
            <w:tcW w:w="2426" w:type="dxa"/>
            <w:tcBorders>
              <w:top w:val="single" w:sz="4" w:space="0" w:color="auto"/>
              <w:right w:val="single" w:sz="4" w:space="0" w:color="auto"/>
            </w:tcBorders>
            <w:shd w:val="clear" w:color="auto" w:fill="auto"/>
            <w:noWrap/>
            <w:vAlign w:val="center"/>
            <w:hideMark/>
          </w:tcPr>
          <w:p w14:paraId="314C9F8A" w14:textId="38FACC54" w:rsidR="00194F6F" w:rsidRPr="00733BD9" w:rsidRDefault="00194F6F" w:rsidP="00194F6F">
            <w:pPr>
              <w:tabs>
                <w:tab w:val="left" w:pos="1217"/>
              </w:tabs>
              <w:rPr>
                <w:rFonts w:ascii="Arial" w:eastAsia="Times New Roman" w:hAnsi="Arial" w:cs="Arial"/>
                <w:sz w:val="17"/>
                <w:szCs w:val="17"/>
                <w:lang w:eastAsia="en-GB"/>
              </w:rPr>
            </w:pPr>
            <w:r w:rsidRPr="00733BD9">
              <w:rPr>
                <w:rFonts w:ascii="Arial" w:eastAsia="Times New Roman" w:hAnsi="Arial" w:cs="Arial"/>
                <w:sz w:val="17"/>
                <w:szCs w:val="17"/>
                <w:lang w:eastAsia="en-GB"/>
              </w:rPr>
              <w:t>Agriculture</w:t>
            </w:r>
          </w:p>
        </w:tc>
        <w:tc>
          <w:tcPr>
            <w:tcW w:w="642" w:type="dxa"/>
            <w:tcBorders>
              <w:top w:val="single" w:sz="4" w:space="0" w:color="auto"/>
              <w:left w:val="single" w:sz="4" w:space="0" w:color="auto"/>
            </w:tcBorders>
            <w:vAlign w:val="center"/>
          </w:tcPr>
          <w:p w14:paraId="63914114" w14:textId="72B9315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47.1</w:t>
            </w:r>
          </w:p>
        </w:tc>
        <w:tc>
          <w:tcPr>
            <w:tcW w:w="643" w:type="dxa"/>
            <w:tcBorders>
              <w:top w:val="single" w:sz="4" w:space="0" w:color="auto"/>
            </w:tcBorders>
            <w:vAlign w:val="center"/>
          </w:tcPr>
          <w:p w14:paraId="567A9533" w14:textId="45A761CD"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58.8</w:t>
            </w:r>
          </w:p>
        </w:tc>
        <w:tc>
          <w:tcPr>
            <w:tcW w:w="642" w:type="dxa"/>
            <w:tcBorders>
              <w:top w:val="single" w:sz="4" w:space="0" w:color="auto"/>
            </w:tcBorders>
            <w:vAlign w:val="center"/>
          </w:tcPr>
          <w:p w14:paraId="37BAA5D0" w14:textId="415FC4F9"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57.2</w:t>
            </w:r>
          </w:p>
        </w:tc>
        <w:tc>
          <w:tcPr>
            <w:tcW w:w="643" w:type="dxa"/>
            <w:tcBorders>
              <w:top w:val="single" w:sz="4" w:space="0" w:color="auto"/>
            </w:tcBorders>
            <w:vAlign w:val="center"/>
          </w:tcPr>
          <w:p w14:paraId="0E77DFB4" w14:textId="1214539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46.7</w:t>
            </w:r>
          </w:p>
        </w:tc>
        <w:tc>
          <w:tcPr>
            <w:tcW w:w="642" w:type="dxa"/>
            <w:tcBorders>
              <w:top w:val="single" w:sz="4" w:space="0" w:color="auto"/>
            </w:tcBorders>
            <w:vAlign w:val="center"/>
          </w:tcPr>
          <w:p w14:paraId="27CDA647" w14:textId="30D74DC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36.7</w:t>
            </w:r>
          </w:p>
        </w:tc>
        <w:tc>
          <w:tcPr>
            <w:tcW w:w="643" w:type="dxa"/>
            <w:tcBorders>
              <w:top w:val="single" w:sz="4" w:space="0" w:color="auto"/>
              <w:right w:val="single" w:sz="4" w:space="0" w:color="auto"/>
            </w:tcBorders>
            <w:vAlign w:val="center"/>
          </w:tcPr>
          <w:p w14:paraId="1770B9E0" w14:textId="4ECF8C2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33.2</w:t>
            </w:r>
          </w:p>
        </w:tc>
        <w:tc>
          <w:tcPr>
            <w:tcW w:w="642" w:type="dxa"/>
            <w:tcBorders>
              <w:top w:val="single" w:sz="4" w:space="0" w:color="auto"/>
              <w:left w:val="single" w:sz="4" w:space="0" w:color="auto"/>
            </w:tcBorders>
            <w:vAlign w:val="center"/>
          </w:tcPr>
          <w:p w14:paraId="5A97962C" w14:textId="5EC1058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tcBorders>
              <w:top w:val="single" w:sz="4" w:space="0" w:color="auto"/>
            </w:tcBorders>
            <w:vAlign w:val="center"/>
          </w:tcPr>
          <w:p w14:paraId="046900FC" w14:textId="2BC332B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66.3</w:t>
            </w:r>
          </w:p>
        </w:tc>
        <w:tc>
          <w:tcPr>
            <w:tcW w:w="643" w:type="dxa"/>
            <w:tcBorders>
              <w:top w:val="single" w:sz="4" w:space="0" w:color="auto"/>
            </w:tcBorders>
            <w:vAlign w:val="center"/>
          </w:tcPr>
          <w:p w14:paraId="4B5785B5" w14:textId="2F847D0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60.4</w:t>
            </w:r>
          </w:p>
        </w:tc>
        <w:tc>
          <w:tcPr>
            <w:tcW w:w="644" w:type="dxa"/>
            <w:tcBorders>
              <w:top w:val="single" w:sz="4" w:space="0" w:color="auto"/>
            </w:tcBorders>
            <w:vAlign w:val="center"/>
          </w:tcPr>
          <w:p w14:paraId="77B15980" w14:textId="357F3EBC"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52.8</w:t>
            </w:r>
          </w:p>
        </w:tc>
        <w:tc>
          <w:tcPr>
            <w:tcW w:w="643" w:type="dxa"/>
            <w:tcBorders>
              <w:top w:val="single" w:sz="4" w:space="0" w:color="auto"/>
            </w:tcBorders>
            <w:vAlign w:val="center"/>
          </w:tcPr>
          <w:p w14:paraId="69C38127" w14:textId="656B1906"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45.7</w:t>
            </w:r>
          </w:p>
        </w:tc>
        <w:tc>
          <w:tcPr>
            <w:tcW w:w="644" w:type="dxa"/>
            <w:tcBorders>
              <w:top w:val="single" w:sz="4" w:space="0" w:color="auto"/>
              <w:right w:val="single" w:sz="4" w:space="0" w:color="auto"/>
            </w:tcBorders>
            <w:vAlign w:val="center"/>
          </w:tcPr>
          <w:p w14:paraId="0C3EA68A" w14:textId="1629E09F"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42.0</w:t>
            </w:r>
          </w:p>
        </w:tc>
        <w:tc>
          <w:tcPr>
            <w:tcW w:w="643" w:type="dxa"/>
            <w:tcBorders>
              <w:top w:val="single" w:sz="4" w:space="0" w:color="auto"/>
              <w:left w:val="single" w:sz="4" w:space="0" w:color="auto"/>
            </w:tcBorders>
            <w:vAlign w:val="center"/>
          </w:tcPr>
          <w:p w14:paraId="5A87A8CA" w14:textId="18E1F06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tcBorders>
              <w:top w:val="single" w:sz="4" w:space="0" w:color="auto"/>
            </w:tcBorders>
            <w:vAlign w:val="center"/>
          </w:tcPr>
          <w:p w14:paraId="2163311D" w14:textId="0642E4C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3" w:type="dxa"/>
            <w:tcBorders>
              <w:top w:val="single" w:sz="4" w:space="0" w:color="auto"/>
            </w:tcBorders>
            <w:vAlign w:val="center"/>
          </w:tcPr>
          <w:p w14:paraId="755FF64E" w14:textId="6A6803E2"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4" w:type="dxa"/>
            <w:tcBorders>
              <w:top w:val="single" w:sz="4" w:space="0" w:color="auto"/>
            </w:tcBorders>
            <w:vAlign w:val="center"/>
          </w:tcPr>
          <w:p w14:paraId="7D790731" w14:textId="14DEF82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3" w:type="dxa"/>
            <w:tcBorders>
              <w:top w:val="single" w:sz="4" w:space="0" w:color="auto"/>
            </w:tcBorders>
            <w:vAlign w:val="center"/>
          </w:tcPr>
          <w:p w14:paraId="2715E28E" w14:textId="1FAEB8E0"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0.8</w:t>
            </w:r>
          </w:p>
        </w:tc>
        <w:tc>
          <w:tcPr>
            <w:tcW w:w="644" w:type="dxa"/>
            <w:tcBorders>
              <w:top w:val="single" w:sz="4" w:space="0" w:color="auto"/>
            </w:tcBorders>
            <w:vAlign w:val="center"/>
          </w:tcPr>
          <w:p w14:paraId="0DA12FE4" w14:textId="7746AB4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r>
      <w:tr w:rsidR="00194F6F" w:rsidRPr="00733BD9" w14:paraId="30457858" w14:textId="77777777" w:rsidTr="00273924">
        <w:trPr>
          <w:trHeight w:val="240"/>
        </w:trPr>
        <w:tc>
          <w:tcPr>
            <w:tcW w:w="2426" w:type="dxa"/>
            <w:tcBorders>
              <w:right w:val="single" w:sz="4" w:space="0" w:color="auto"/>
            </w:tcBorders>
            <w:shd w:val="clear" w:color="auto" w:fill="auto"/>
            <w:noWrap/>
            <w:vAlign w:val="center"/>
            <w:hideMark/>
          </w:tcPr>
          <w:p w14:paraId="3342FB4B" w14:textId="14B77D86"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 xml:space="preserve">Mining </w:t>
            </w:r>
          </w:p>
        </w:tc>
        <w:tc>
          <w:tcPr>
            <w:tcW w:w="642" w:type="dxa"/>
            <w:tcBorders>
              <w:left w:val="single" w:sz="4" w:space="0" w:color="auto"/>
            </w:tcBorders>
            <w:vAlign w:val="center"/>
          </w:tcPr>
          <w:p w14:paraId="2BAF4D94" w14:textId="0B41A618"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3" w:type="dxa"/>
            <w:vAlign w:val="center"/>
          </w:tcPr>
          <w:p w14:paraId="7F3FFEBA" w14:textId="708D90F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0.8</w:t>
            </w:r>
          </w:p>
        </w:tc>
        <w:tc>
          <w:tcPr>
            <w:tcW w:w="642" w:type="dxa"/>
            <w:vAlign w:val="center"/>
          </w:tcPr>
          <w:p w14:paraId="551C2F36" w14:textId="01FFB1B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0.7</w:t>
            </w:r>
          </w:p>
        </w:tc>
        <w:tc>
          <w:tcPr>
            <w:tcW w:w="643" w:type="dxa"/>
            <w:vAlign w:val="center"/>
          </w:tcPr>
          <w:p w14:paraId="354C1E62" w14:textId="4952A7A8"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w:t>
            </w:r>
          </w:p>
        </w:tc>
        <w:tc>
          <w:tcPr>
            <w:tcW w:w="642" w:type="dxa"/>
            <w:vAlign w:val="center"/>
          </w:tcPr>
          <w:p w14:paraId="4436616E" w14:textId="02F6A583"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2.0</w:t>
            </w:r>
          </w:p>
        </w:tc>
        <w:tc>
          <w:tcPr>
            <w:tcW w:w="643" w:type="dxa"/>
            <w:tcBorders>
              <w:right w:val="single" w:sz="4" w:space="0" w:color="auto"/>
            </w:tcBorders>
            <w:vAlign w:val="center"/>
          </w:tcPr>
          <w:p w14:paraId="75448BE7" w14:textId="4B38560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5.4</w:t>
            </w:r>
          </w:p>
        </w:tc>
        <w:tc>
          <w:tcPr>
            <w:tcW w:w="642" w:type="dxa"/>
            <w:tcBorders>
              <w:left w:val="single" w:sz="4" w:space="0" w:color="auto"/>
            </w:tcBorders>
            <w:vAlign w:val="center"/>
          </w:tcPr>
          <w:p w14:paraId="61B8200A" w14:textId="6F7D96DD"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vAlign w:val="center"/>
          </w:tcPr>
          <w:p w14:paraId="6FB21AE3" w14:textId="748B436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0.5</w:t>
            </w:r>
          </w:p>
        </w:tc>
        <w:tc>
          <w:tcPr>
            <w:tcW w:w="643" w:type="dxa"/>
            <w:vAlign w:val="center"/>
          </w:tcPr>
          <w:p w14:paraId="1EBE6EF4" w14:textId="79020295"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0.7</w:t>
            </w:r>
          </w:p>
        </w:tc>
        <w:tc>
          <w:tcPr>
            <w:tcW w:w="644" w:type="dxa"/>
            <w:vAlign w:val="center"/>
          </w:tcPr>
          <w:p w14:paraId="0AB33D1E" w14:textId="229E5BD8"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0.8</w:t>
            </w:r>
          </w:p>
        </w:tc>
        <w:tc>
          <w:tcPr>
            <w:tcW w:w="643" w:type="dxa"/>
            <w:vAlign w:val="center"/>
          </w:tcPr>
          <w:p w14:paraId="193C5D66" w14:textId="587B51D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0.7</w:t>
            </w:r>
          </w:p>
        </w:tc>
        <w:tc>
          <w:tcPr>
            <w:tcW w:w="644" w:type="dxa"/>
            <w:tcBorders>
              <w:right w:val="single" w:sz="4" w:space="0" w:color="auto"/>
            </w:tcBorders>
            <w:vAlign w:val="center"/>
          </w:tcPr>
          <w:p w14:paraId="3BD7E00E" w14:textId="0AD9728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0.8</w:t>
            </w:r>
          </w:p>
        </w:tc>
        <w:tc>
          <w:tcPr>
            <w:tcW w:w="643" w:type="dxa"/>
            <w:tcBorders>
              <w:left w:val="single" w:sz="4" w:space="0" w:color="auto"/>
            </w:tcBorders>
            <w:vAlign w:val="center"/>
          </w:tcPr>
          <w:p w14:paraId="63BB564B" w14:textId="40EB6A8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vAlign w:val="center"/>
          </w:tcPr>
          <w:p w14:paraId="24EA79F4" w14:textId="398C7E2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w:t>
            </w:r>
          </w:p>
        </w:tc>
        <w:tc>
          <w:tcPr>
            <w:tcW w:w="643" w:type="dxa"/>
            <w:vAlign w:val="center"/>
          </w:tcPr>
          <w:p w14:paraId="52553F09" w14:textId="189EA2B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1.7</w:t>
            </w:r>
          </w:p>
        </w:tc>
        <w:tc>
          <w:tcPr>
            <w:tcW w:w="644" w:type="dxa"/>
            <w:vAlign w:val="center"/>
          </w:tcPr>
          <w:p w14:paraId="2B601B5B" w14:textId="5ED1AFF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1.3</w:t>
            </w:r>
          </w:p>
        </w:tc>
        <w:tc>
          <w:tcPr>
            <w:tcW w:w="643" w:type="dxa"/>
            <w:vAlign w:val="center"/>
          </w:tcPr>
          <w:p w14:paraId="210638CB" w14:textId="2516DEB4"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4" w:type="dxa"/>
            <w:vAlign w:val="center"/>
          </w:tcPr>
          <w:p w14:paraId="06BD8935" w14:textId="12F92B7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0.8</w:t>
            </w:r>
          </w:p>
        </w:tc>
      </w:tr>
      <w:tr w:rsidR="00194F6F" w:rsidRPr="00733BD9" w14:paraId="519C45CF" w14:textId="77777777" w:rsidTr="00273924">
        <w:trPr>
          <w:trHeight w:val="240"/>
        </w:trPr>
        <w:tc>
          <w:tcPr>
            <w:tcW w:w="2426" w:type="dxa"/>
            <w:tcBorders>
              <w:right w:val="single" w:sz="4" w:space="0" w:color="auto"/>
            </w:tcBorders>
            <w:shd w:val="clear" w:color="auto" w:fill="auto"/>
            <w:noWrap/>
            <w:vAlign w:val="center"/>
            <w:hideMark/>
          </w:tcPr>
          <w:p w14:paraId="74268362" w14:textId="77777777"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Manufacturing</w:t>
            </w:r>
          </w:p>
        </w:tc>
        <w:tc>
          <w:tcPr>
            <w:tcW w:w="642" w:type="dxa"/>
            <w:tcBorders>
              <w:left w:val="single" w:sz="4" w:space="0" w:color="auto"/>
            </w:tcBorders>
            <w:vAlign w:val="center"/>
          </w:tcPr>
          <w:p w14:paraId="048B4862" w14:textId="4B49104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9.0</w:t>
            </w:r>
          </w:p>
        </w:tc>
        <w:tc>
          <w:tcPr>
            <w:tcW w:w="643" w:type="dxa"/>
            <w:vAlign w:val="center"/>
          </w:tcPr>
          <w:p w14:paraId="6E647BCA" w14:textId="4D034EE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7.0</w:t>
            </w:r>
          </w:p>
        </w:tc>
        <w:tc>
          <w:tcPr>
            <w:tcW w:w="642" w:type="dxa"/>
            <w:vAlign w:val="center"/>
          </w:tcPr>
          <w:p w14:paraId="1FEDEA52" w14:textId="12F8156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7.2</w:t>
            </w:r>
          </w:p>
        </w:tc>
        <w:tc>
          <w:tcPr>
            <w:tcW w:w="643" w:type="dxa"/>
            <w:vAlign w:val="center"/>
          </w:tcPr>
          <w:p w14:paraId="054321E3" w14:textId="525A879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12.8</w:t>
            </w:r>
          </w:p>
        </w:tc>
        <w:tc>
          <w:tcPr>
            <w:tcW w:w="642" w:type="dxa"/>
            <w:vAlign w:val="center"/>
          </w:tcPr>
          <w:p w14:paraId="7B77A9A0" w14:textId="76112810"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19.8</w:t>
            </w:r>
          </w:p>
        </w:tc>
        <w:tc>
          <w:tcPr>
            <w:tcW w:w="643" w:type="dxa"/>
            <w:tcBorders>
              <w:right w:val="single" w:sz="4" w:space="0" w:color="auto"/>
            </w:tcBorders>
            <w:vAlign w:val="center"/>
          </w:tcPr>
          <w:p w14:paraId="38B346C0" w14:textId="0B3AD71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19.8</w:t>
            </w:r>
          </w:p>
        </w:tc>
        <w:tc>
          <w:tcPr>
            <w:tcW w:w="642" w:type="dxa"/>
            <w:tcBorders>
              <w:left w:val="single" w:sz="4" w:space="0" w:color="auto"/>
            </w:tcBorders>
            <w:vAlign w:val="center"/>
          </w:tcPr>
          <w:p w14:paraId="50AE15AE" w14:textId="32FB982F"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vAlign w:val="center"/>
          </w:tcPr>
          <w:p w14:paraId="41829D8F" w14:textId="5B56C1B7"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7.1</w:t>
            </w:r>
          </w:p>
        </w:tc>
        <w:tc>
          <w:tcPr>
            <w:tcW w:w="643" w:type="dxa"/>
            <w:vAlign w:val="center"/>
          </w:tcPr>
          <w:p w14:paraId="4AE35FA0" w14:textId="321EC62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8.6</w:t>
            </w:r>
          </w:p>
        </w:tc>
        <w:tc>
          <w:tcPr>
            <w:tcW w:w="644" w:type="dxa"/>
            <w:vAlign w:val="center"/>
          </w:tcPr>
          <w:p w14:paraId="0FD84D74" w14:textId="620777F5"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9.7</w:t>
            </w:r>
          </w:p>
        </w:tc>
        <w:tc>
          <w:tcPr>
            <w:tcW w:w="643" w:type="dxa"/>
            <w:vAlign w:val="center"/>
          </w:tcPr>
          <w:p w14:paraId="782003D3" w14:textId="3B1DDB04"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10.1</w:t>
            </w:r>
          </w:p>
        </w:tc>
        <w:tc>
          <w:tcPr>
            <w:tcW w:w="644" w:type="dxa"/>
            <w:tcBorders>
              <w:right w:val="single" w:sz="4" w:space="0" w:color="auto"/>
            </w:tcBorders>
            <w:vAlign w:val="center"/>
          </w:tcPr>
          <w:p w14:paraId="7F3FA7B1" w14:textId="4676FDD8"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10.6</w:t>
            </w:r>
          </w:p>
        </w:tc>
        <w:tc>
          <w:tcPr>
            <w:tcW w:w="643" w:type="dxa"/>
            <w:tcBorders>
              <w:left w:val="single" w:sz="4" w:space="0" w:color="auto"/>
            </w:tcBorders>
            <w:vAlign w:val="center"/>
          </w:tcPr>
          <w:p w14:paraId="48111CAC" w14:textId="7F54BCA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vAlign w:val="center"/>
          </w:tcPr>
          <w:p w14:paraId="5385D790" w14:textId="2EB7793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w:t>
            </w:r>
          </w:p>
        </w:tc>
        <w:tc>
          <w:tcPr>
            <w:tcW w:w="643" w:type="dxa"/>
            <w:vAlign w:val="center"/>
          </w:tcPr>
          <w:p w14:paraId="50AB8A6D" w14:textId="3E4850C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w:t>
            </w:r>
          </w:p>
        </w:tc>
        <w:tc>
          <w:tcPr>
            <w:tcW w:w="644" w:type="dxa"/>
            <w:vAlign w:val="center"/>
          </w:tcPr>
          <w:p w14:paraId="5FEA4CA4" w14:textId="3358643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1.3</w:t>
            </w:r>
          </w:p>
        </w:tc>
        <w:tc>
          <w:tcPr>
            <w:tcW w:w="643" w:type="dxa"/>
            <w:vAlign w:val="center"/>
          </w:tcPr>
          <w:p w14:paraId="3A8B0FA3" w14:textId="483E348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w:t>
            </w:r>
          </w:p>
        </w:tc>
        <w:tc>
          <w:tcPr>
            <w:tcW w:w="644" w:type="dxa"/>
            <w:vAlign w:val="center"/>
          </w:tcPr>
          <w:p w14:paraId="03E3B4D0" w14:textId="23B19E6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w:t>
            </w:r>
          </w:p>
        </w:tc>
      </w:tr>
      <w:tr w:rsidR="00194F6F" w:rsidRPr="00733BD9" w14:paraId="5AF26F6F" w14:textId="77777777" w:rsidTr="00273924">
        <w:trPr>
          <w:trHeight w:val="240"/>
        </w:trPr>
        <w:tc>
          <w:tcPr>
            <w:tcW w:w="2426" w:type="dxa"/>
            <w:tcBorders>
              <w:right w:val="single" w:sz="4" w:space="0" w:color="auto"/>
            </w:tcBorders>
            <w:shd w:val="clear" w:color="auto" w:fill="auto"/>
            <w:noWrap/>
            <w:vAlign w:val="center"/>
            <w:hideMark/>
          </w:tcPr>
          <w:p w14:paraId="732F0384" w14:textId="77777777"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Construction</w:t>
            </w:r>
          </w:p>
        </w:tc>
        <w:tc>
          <w:tcPr>
            <w:tcW w:w="642" w:type="dxa"/>
            <w:tcBorders>
              <w:left w:val="single" w:sz="4" w:space="0" w:color="auto"/>
            </w:tcBorders>
            <w:vAlign w:val="center"/>
          </w:tcPr>
          <w:p w14:paraId="6DA6DFAD" w14:textId="6B5A48C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3" w:type="dxa"/>
            <w:vAlign w:val="center"/>
          </w:tcPr>
          <w:p w14:paraId="35DFF24C" w14:textId="01A6AF59"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2.1</w:t>
            </w:r>
          </w:p>
        </w:tc>
        <w:tc>
          <w:tcPr>
            <w:tcW w:w="642" w:type="dxa"/>
            <w:vAlign w:val="center"/>
          </w:tcPr>
          <w:p w14:paraId="6B5F3096" w14:textId="72A18D8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1.8</w:t>
            </w:r>
          </w:p>
        </w:tc>
        <w:tc>
          <w:tcPr>
            <w:tcW w:w="643" w:type="dxa"/>
            <w:vAlign w:val="center"/>
          </w:tcPr>
          <w:p w14:paraId="3DD7E8AC" w14:textId="3ABF1D41"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3.8</w:t>
            </w:r>
          </w:p>
        </w:tc>
        <w:tc>
          <w:tcPr>
            <w:tcW w:w="642" w:type="dxa"/>
            <w:vAlign w:val="center"/>
          </w:tcPr>
          <w:p w14:paraId="1F05E3D4" w14:textId="50D2283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4.6</w:t>
            </w:r>
          </w:p>
        </w:tc>
        <w:tc>
          <w:tcPr>
            <w:tcW w:w="643" w:type="dxa"/>
            <w:tcBorders>
              <w:right w:val="single" w:sz="4" w:space="0" w:color="auto"/>
            </w:tcBorders>
            <w:vAlign w:val="center"/>
          </w:tcPr>
          <w:p w14:paraId="40021196" w14:textId="295EC65D"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4.7</w:t>
            </w:r>
          </w:p>
        </w:tc>
        <w:tc>
          <w:tcPr>
            <w:tcW w:w="642" w:type="dxa"/>
            <w:tcBorders>
              <w:left w:val="single" w:sz="4" w:space="0" w:color="auto"/>
            </w:tcBorders>
            <w:vAlign w:val="center"/>
          </w:tcPr>
          <w:p w14:paraId="2A696B9B" w14:textId="0F5A0DB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vAlign w:val="center"/>
          </w:tcPr>
          <w:p w14:paraId="2951D10F" w14:textId="20BEC40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1.1</w:t>
            </w:r>
          </w:p>
        </w:tc>
        <w:tc>
          <w:tcPr>
            <w:tcW w:w="643" w:type="dxa"/>
            <w:vAlign w:val="center"/>
          </w:tcPr>
          <w:p w14:paraId="42CDE552" w14:textId="6AF12B9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2.4</w:t>
            </w:r>
          </w:p>
        </w:tc>
        <w:tc>
          <w:tcPr>
            <w:tcW w:w="644" w:type="dxa"/>
            <w:vAlign w:val="center"/>
          </w:tcPr>
          <w:p w14:paraId="6FE34F75" w14:textId="18DE8FA9"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3.7</w:t>
            </w:r>
          </w:p>
        </w:tc>
        <w:tc>
          <w:tcPr>
            <w:tcW w:w="643" w:type="dxa"/>
            <w:vAlign w:val="center"/>
          </w:tcPr>
          <w:p w14:paraId="7E6C1F15" w14:textId="6A405781"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4.9</w:t>
            </w:r>
          </w:p>
        </w:tc>
        <w:tc>
          <w:tcPr>
            <w:tcW w:w="644" w:type="dxa"/>
            <w:tcBorders>
              <w:right w:val="single" w:sz="4" w:space="0" w:color="auto"/>
            </w:tcBorders>
            <w:vAlign w:val="center"/>
          </w:tcPr>
          <w:p w14:paraId="14F151E8" w14:textId="56E2FE13"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5.8</w:t>
            </w:r>
          </w:p>
        </w:tc>
        <w:tc>
          <w:tcPr>
            <w:tcW w:w="643" w:type="dxa"/>
            <w:tcBorders>
              <w:left w:val="single" w:sz="4" w:space="0" w:color="auto"/>
            </w:tcBorders>
            <w:vAlign w:val="center"/>
          </w:tcPr>
          <w:p w14:paraId="08DFECB4" w14:textId="5ED7CBE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vAlign w:val="center"/>
          </w:tcPr>
          <w:p w14:paraId="11886A71" w14:textId="31B0BB6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1.4</w:t>
            </w:r>
          </w:p>
        </w:tc>
        <w:tc>
          <w:tcPr>
            <w:tcW w:w="643" w:type="dxa"/>
            <w:vAlign w:val="center"/>
          </w:tcPr>
          <w:p w14:paraId="39683B9B" w14:textId="38E932C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4" w:type="dxa"/>
            <w:vAlign w:val="center"/>
          </w:tcPr>
          <w:p w14:paraId="6EC378E1" w14:textId="7BA2D2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w:t>
            </w:r>
          </w:p>
        </w:tc>
        <w:tc>
          <w:tcPr>
            <w:tcW w:w="643" w:type="dxa"/>
            <w:vAlign w:val="center"/>
          </w:tcPr>
          <w:p w14:paraId="5C014C31" w14:textId="0F4C1E0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4" w:type="dxa"/>
            <w:vAlign w:val="center"/>
          </w:tcPr>
          <w:p w14:paraId="38D4E8C4" w14:textId="359BF759"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0.8</w:t>
            </w:r>
          </w:p>
        </w:tc>
      </w:tr>
      <w:tr w:rsidR="00194F6F" w:rsidRPr="00733BD9" w14:paraId="1350FD26" w14:textId="77777777" w:rsidTr="00273924">
        <w:trPr>
          <w:trHeight w:val="240"/>
        </w:trPr>
        <w:tc>
          <w:tcPr>
            <w:tcW w:w="2426" w:type="dxa"/>
            <w:tcBorders>
              <w:right w:val="single" w:sz="4" w:space="0" w:color="auto"/>
            </w:tcBorders>
            <w:shd w:val="clear" w:color="auto" w:fill="auto"/>
            <w:noWrap/>
            <w:vAlign w:val="center"/>
            <w:hideMark/>
          </w:tcPr>
          <w:p w14:paraId="21A9D310" w14:textId="18C94811"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Wholesale and retail</w:t>
            </w:r>
          </w:p>
        </w:tc>
        <w:tc>
          <w:tcPr>
            <w:tcW w:w="642" w:type="dxa"/>
            <w:tcBorders>
              <w:left w:val="single" w:sz="4" w:space="0" w:color="auto"/>
            </w:tcBorders>
            <w:vAlign w:val="center"/>
          </w:tcPr>
          <w:p w14:paraId="0B12C935" w14:textId="33ECB09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29.2</w:t>
            </w:r>
          </w:p>
        </w:tc>
        <w:tc>
          <w:tcPr>
            <w:tcW w:w="643" w:type="dxa"/>
            <w:vAlign w:val="center"/>
          </w:tcPr>
          <w:p w14:paraId="6ABDB92A" w14:textId="1A3F12F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22.3</w:t>
            </w:r>
          </w:p>
        </w:tc>
        <w:tc>
          <w:tcPr>
            <w:tcW w:w="642" w:type="dxa"/>
            <w:vAlign w:val="center"/>
          </w:tcPr>
          <w:p w14:paraId="0B7561F8" w14:textId="00C6F7C8"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24.0</w:t>
            </w:r>
          </w:p>
        </w:tc>
        <w:tc>
          <w:tcPr>
            <w:tcW w:w="643" w:type="dxa"/>
            <w:vAlign w:val="center"/>
          </w:tcPr>
          <w:p w14:paraId="313C152D" w14:textId="6C1C5EA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21.7</w:t>
            </w:r>
          </w:p>
        </w:tc>
        <w:tc>
          <w:tcPr>
            <w:tcW w:w="642" w:type="dxa"/>
            <w:vAlign w:val="center"/>
          </w:tcPr>
          <w:p w14:paraId="69052E05" w14:textId="176883A4"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20.0</w:t>
            </w:r>
          </w:p>
        </w:tc>
        <w:tc>
          <w:tcPr>
            <w:tcW w:w="643" w:type="dxa"/>
            <w:tcBorders>
              <w:right w:val="single" w:sz="4" w:space="0" w:color="auto"/>
            </w:tcBorders>
            <w:vAlign w:val="center"/>
          </w:tcPr>
          <w:p w14:paraId="06C36B62" w14:textId="1F8EEE64"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19.5</w:t>
            </w:r>
          </w:p>
        </w:tc>
        <w:tc>
          <w:tcPr>
            <w:tcW w:w="642" w:type="dxa"/>
            <w:tcBorders>
              <w:left w:val="single" w:sz="4" w:space="0" w:color="auto"/>
            </w:tcBorders>
            <w:vAlign w:val="center"/>
          </w:tcPr>
          <w:p w14:paraId="11FB41DB" w14:textId="209E9E8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vAlign w:val="center"/>
          </w:tcPr>
          <w:p w14:paraId="6F1A2B53" w14:textId="7A3044B3"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17.1</w:t>
            </w:r>
          </w:p>
        </w:tc>
        <w:tc>
          <w:tcPr>
            <w:tcW w:w="643" w:type="dxa"/>
            <w:vAlign w:val="center"/>
          </w:tcPr>
          <w:p w14:paraId="59FCF4E7" w14:textId="4DA7A1EC"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18.8</w:t>
            </w:r>
          </w:p>
        </w:tc>
        <w:tc>
          <w:tcPr>
            <w:tcW w:w="644" w:type="dxa"/>
            <w:vAlign w:val="center"/>
          </w:tcPr>
          <w:p w14:paraId="584C3562" w14:textId="1EB67681"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21.2</w:t>
            </w:r>
          </w:p>
        </w:tc>
        <w:tc>
          <w:tcPr>
            <w:tcW w:w="643" w:type="dxa"/>
            <w:vAlign w:val="center"/>
          </w:tcPr>
          <w:p w14:paraId="7EA8C6EA" w14:textId="580C3B5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23.9</w:t>
            </w:r>
          </w:p>
        </w:tc>
        <w:tc>
          <w:tcPr>
            <w:tcW w:w="644" w:type="dxa"/>
            <w:tcBorders>
              <w:right w:val="single" w:sz="4" w:space="0" w:color="auto"/>
            </w:tcBorders>
            <w:vAlign w:val="center"/>
          </w:tcPr>
          <w:p w14:paraId="2BE408CD" w14:textId="255E97D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25.1</w:t>
            </w:r>
          </w:p>
        </w:tc>
        <w:tc>
          <w:tcPr>
            <w:tcW w:w="643" w:type="dxa"/>
            <w:tcBorders>
              <w:left w:val="single" w:sz="4" w:space="0" w:color="auto"/>
            </w:tcBorders>
            <w:vAlign w:val="center"/>
          </w:tcPr>
          <w:p w14:paraId="66327BCF" w14:textId="6FEE73E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vAlign w:val="center"/>
          </w:tcPr>
          <w:p w14:paraId="39C49E26" w14:textId="57A4F26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1.4</w:t>
            </w:r>
          </w:p>
        </w:tc>
        <w:tc>
          <w:tcPr>
            <w:tcW w:w="643" w:type="dxa"/>
            <w:vAlign w:val="center"/>
          </w:tcPr>
          <w:p w14:paraId="46F3EB80" w14:textId="0E31D724"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1.2</w:t>
            </w:r>
          </w:p>
        </w:tc>
        <w:tc>
          <w:tcPr>
            <w:tcW w:w="644" w:type="dxa"/>
            <w:vAlign w:val="center"/>
          </w:tcPr>
          <w:p w14:paraId="169E6339" w14:textId="774CB88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w:t>
            </w:r>
          </w:p>
        </w:tc>
        <w:tc>
          <w:tcPr>
            <w:tcW w:w="643" w:type="dxa"/>
            <w:vAlign w:val="center"/>
          </w:tcPr>
          <w:p w14:paraId="55512D64" w14:textId="67A2F77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0.9</w:t>
            </w:r>
          </w:p>
        </w:tc>
        <w:tc>
          <w:tcPr>
            <w:tcW w:w="644" w:type="dxa"/>
            <w:vAlign w:val="center"/>
          </w:tcPr>
          <w:p w14:paraId="26472B33" w14:textId="5D3F38D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0.8</w:t>
            </w:r>
          </w:p>
        </w:tc>
      </w:tr>
      <w:tr w:rsidR="00194F6F" w:rsidRPr="00733BD9" w14:paraId="219679DB" w14:textId="77777777" w:rsidTr="00273924">
        <w:trPr>
          <w:trHeight w:val="240"/>
        </w:trPr>
        <w:tc>
          <w:tcPr>
            <w:tcW w:w="2426" w:type="dxa"/>
            <w:tcBorders>
              <w:right w:val="single" w:sz="4" w:space="0" w:color="auto"/>
            </w:tcBorders>
            <w:shd w:val="clear" w:color="auto" w:fill="auto"/>
            <w:noWrap/>
            <w:vAlign w:val="center"/>
            <w:hideMark/>
          </w:tcPr>
          <w:p w14:paraId="250C686F" w14:textId="77777777"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 xml:space="preserve">Transport, storage, </w:t>
            </w:r>
            <w:proofErr w:type="spellStart"/>
            <w:r w:rsidRPr="00733BD9">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680F24B1" w14:textId="495C3491"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3.2</w:t>
            </w:r>
          </w:p>
        </w:tc>
        <w:tc>
          <w:tcPr>
            <w:tcW w:w="643" w:type="dxa"/>
            <w:vAlign w:val="center"/>
          </w:tcPr>
          <w:p w14:paraId="27FF8740" w14:textId="7159680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2.7</w:t>
            </w:r>
          </w:p>
        </w:tc>
        <w:tc>
          <w:tcPr>
            <w:tcW w:w="642" w:type="dxa"/>
            <w:vAlign w:val="center"/>
          </w:tcPr>
          <w:p w14:paraId="10F459C6" w14:textId="0DF8CE14"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6.0</w:t>
            </w:r>
          </w:p>
        </w:tc>
        <w:tc>
          <w:tcPr>
            <w:tcW w:w="643" w:type="dxa"/>
            <w:vAlign w:val="center"/>
          </w:tcPr>
          <w:p w14:paraId="0924CB43" w14:textId="1D06A092"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11.5</w:t>
            </w:r>
          </w:p>
        </w:tc>
        <w:tc>
          <w:tcPr>
            <w:tcW w:w="642" w:type="dxa"/>
            <w:vAlign w:val="center"/>
          </w:tcPr>
          <w:p w14:paraId="63968402" w14:textId="224AC992"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13.0</w:t>
            </w:r>
          </w:p>
        </w:tc>
        <w:tc>
          <w:tcPr>
            <w:tcW w:w="643" w:type="dxa"/>
            <w:tcBorders>
              <w:right w:val="single" w:sz="4" w:space="0" w:color="auto"/>
            </w:tcBorders>
            <w:vAlign w:val="center"/>
          </w:tcPr>
          <w:p w14:paraId="2053232F" w14:textId="2A23B949"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13.0</w:t>
            </w:r>
          </w:p>
        </w:tc>
        <w:tc>
          <w:tcPr>
            <w:tcW w:w="642" w:type="dxa"/>
            <w:tcBorders>
              <w:left w:val="single" w:sz="4" w:space="0" w:color="auto"/>
            </w:tcBorders>
            <w:vAlign w:val="center"/>
          </w:tcPr>
          <w:p w14:paraId="30798F7A" w14:textId="0220B425"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vAlign w:val="center"/>
          </w:tcPr>
          <w:p w14:paraId="42820726" w14:textId="6595444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2.4</w:t>
            </w:r>
          </w:p>
        </w:tc>
        <w:tc>
          <w:tcPr>
            <w:tcW w:w="643" w:type="dxa"/>
            <w:vAlign w:val="center"/>
          </w:tcPr>
          <w:p w14:paraId="11590FC1" w14:textId="520B49A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2.9</w:t>
            </w:r>
          </w:p>
        </w:tc>
        <w:tc>
          <w:tcPr>
            <w:tcW w:w="644" w:type="dxa"/>
            <w:vAlign w:val="center"/>
          </w:tcPr>
          <w:p w14:paraId="20BE1583" w14:textId="69B1E7C1"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4.2</w:t>
            </w:r>
          </w:p>
        </w:tc>
        <w:tc>
          <w:tcPr>
            <w:tcW w:w="643" w:type="dxa"/>
            <w:vAlign w:val="center"/>
          </w:tcPr>
          <w:p w14:paraId="374C177C" w14:textId="3EBF22F1"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5.3</w:t>
            </w:r>
          </w:p>
        </w:tc>
        <w:tc>
          <w:tcPr>
            <w:tcW w:w="644" w:type="dxa"/>
            <w:tcBorders>
              <w:right w:val="single" w:sz="4" w:space="0" w:color="auto"/>
            </w:tcBorders>
            <w:vAlign w:val="center"/>
          </w:tcPr>
          <w:p w14:paraId="7D2DC22A" w14:textId="511CA615"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5.6</w:t>
            </w:r>
          </w:p>
        </w:tc>
        <w:tc>
          <w:tcPr>
            <w:tcW w:w="643" w:type="dxa"/>
            <w:tcBorders>
              <w:left w:val="single" w:sz="4" w:space="0" w:color="auto"/>
            </w:tcBorders>
            <w:vAlign w:val="center"/>
          </w:tcPr>
          <w:p w14:paraId="5F7EC875" w14:textId="02147643"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vAlign w:val="center"/>
          </w:tcPr>
          <w:p w14:paraId="1DDD0C71" w14:textId="44ED0BB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2.5</w:t>
            </w:r>
          </w:p>
        </w:tc>
        <w:tc>
          <w:tcPr>
            <w:tcW w:w="643" w:type="dxa"/>
            <w:vAlign w:val="center"/>
          </w:tcPr>
          <w:p w14:paraId="44332005" w14:textId="0BFB689D"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2.9</w:t>
            </w:r>
          </w:p>
        </w:tc>
        <w:tc>
          <w:tcPr>
            <w:tcW w:w="644" w:type="dxa"/>
            <w:vAlign w:val="center"/>
          </w:tcPr>
          <w:p w14:paraId="786038E7" w14:textId="27048B7D"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2.8</w:t>
            </w:r>
          </w:p>
        </w:tc>
        <w:tc>
          <w:tcPr>
            <w:tcW w:w="643" w:type="dxa"/>
            <w:vAlign w:val="center"/>
          </w:tcPr>
          <w:p w14:paraId="1E73F500" w14:textId="21994F02"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2.6</w:t>
            </w:r>
          </w:p>
        </w:tc>
        <w:tc>
          <w:tcPr>
            <w:tcW w:w="644" w:type="dxa"/>
            <w:vAlign w:val="center"/>
          </w:tcPr>
          <w:p w14:paraId="618AB6DF" w14:textId="7D83573D"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2.6</w:t>
            </w:r>
          </w:p>
        </w:tc>
      </w:tr>
      <w:tr w:rsidR="00194F6F" w:rsidRPr="00733BD9" w14:paraId="20C987C4" w14:textId="77777777" w:rsidTr="00273924">
        <w:trPr>
          <w:trHeight w:val="240"/>
        </w:trPr>
        <w:tc>
          <w:tcPr>
            <w:tcW w:w="2426" w:type="dxa"/>
            <w:tcBorders>
              <w:bottom w:val="single" w:sz="4" w:space="0" w:color="auto"/>
              <w:right w:val="single" w:sz="4" w:space="0" w:color="auto"/>
            </w:tcBorders>
            <w:shd w:val="clear" w:color="auto" w:fill="auto"/>
            <w:noWrap/>
            <w:vAlign w:val="center"/>
            <w:hideMark/>
          </w:tcPr>
          <w:p w14:paraId="24CD8F2B" w14:textId="7D83810D"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Other (</w:t>
            </w:r>
            <w:proofErr w:type="spellStart"/>
            <w:r w:rsidRPr="00733BD9">
              <w:rPr>
                <w:rFonts w:ascii="Arial" w:eastAsia="Times New Roman" w:hAnsi="Arial" w:cs="Arial"/>
                <w:sz w:val="17"/>
                <w:szCs w:val="17"/>
                <w:lang w:eastAsia="en-GB"/>
              </w:rPr>
              <w:t>inc.</w:t>
            </w:r>
            <w:proofErr w:type="spellEnd"/>
            <w:r w:rsidRPr="00733BD9">
              <w:rPr>
                <w:rFonts w:ascii="Arial" w:eastAsia="Times New Roman" w:hAnsi="Arial" w:cs="Arial"/>
                <w:sz w:val="17"/>
                <w:szCs w:val="17"/>
                <w:lang w:eastAsia="en-GB"/>
              </w:rPr>
              <w:t xml:space="preserve"> hotels/restaurants and gas/electricity)</w:t>
            </w:r>
          </w:p>
        </w:tc>
        <w:tc>
          <w:tcPr>
            <w:tcW w:w="642" w:type="dxa"/>
            <w:tcBorders>
              <w:left w:val="single" w:sz="4" w:space="0" w:color="auto"/>
              <w:bottom w:val="single" w:sz="4" w:space="0" w:color="auto"/>
            </w:tcBorders>
            <w:vAlign w:val="center"/>
          </w:tcPr>
          <w:p w14:paraId="7CFA1878" w14:textId="3787F7C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9.8</w:t>
            </w:r>
          </w:p>
        </w:tc>
        <w:tc>
          <w:tcPr>
            <w:tcW w:w="643" w:type="dxa"/>
            <w:tcBorders>
              <w:bottom w:val="single" w:sz="4" w:space="0" w:color="auto"/>
            </w:tcBorders>
            <w:vAlign w:val="center"/>
          </w:tcPr>
          <w:p w14:paraId="2189A81C" w14:textId="7639EB2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6.4</w:t>
            </w:r>
          </w:p>
        </w:tc>
        <w:tc>
          <w:tcPr>
            <w:tcW w:w="642" w:type="dxa"/>
            <w:tcBorders>
              <w:bottom w:val="single" w:sz="4" w:space="0" w:color="auto"/>
            </w:tcBorders>
            <w:vAlign w:val="center"/>
          </w:tcPr>
          <w:p w14:paraId="3902FF08" w14:textId="26FF312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3.0</w:t>
            </w:r>
          </w:p>
        </w:tc>
        <w:tc>
          <w:tcPr>
            <w:tcW w:w="643" w:type="dxa"/>
            <w:tcBorders>
              <w:bottom w:val="single" w:sz="4" w:space="0" w:color="auto"/>
            </w:tcBorders>
            <w:vAlign w:val="center"/>
          </w:tcPr>
          <w:p w14:paraId="42FEACF9" w14:textId="270D73E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2.6</w:t>
            </w:r>
          </w:p>
        </w:tc>
        <w:tc>
          <w:tcPr>
            <w:tcW w:w="642" w:type="dxa"/>
            <w:tcBorders>
              <w:bottom w:val="single" w:sz="4" w:space="0" w:color="auto"/>
            </w:tcBorders>
            <w:vAlign w:val="center"/>
          </w:tcPr>
          <w:p w14:paraId="3F3EA8D8" w14:textId="4A24D48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3.9</w:t>
            </w:r>
          </w:p>
        </w:tc>
        <w:tc>
          <w:tcPr>
            <w:tcW w:w="643" w:type="dxa"/>
            <w:tcBorders>
              <w:bottom w:val="single" w:sz="4" w:space="0" w:color="auto"/>
              <w:right w:val="single" w:sz="4" w:space="0" w:color="auto"/>
            </w:tcBorders>
            <w:vAlign w:val="center"/>
          </w:tcPr>
          <w:p w14:paraId="61E03EE2" w14:textId="01FA87A1"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4.3</w:t>
            </w:r>
          </w:p>
        </w:tc>
        <w:tc>
          <w:tcPr>
            <w:tcW w:w="642" w:type="dxa"/>
            <w:tcBorders>
              <w:left w:val="single" w:sz="4" w:space="0" w:color="auto"/>
              <w:bottom w:val="single" w:sz="4" w:space="0" w:color="auto"/>
            </w:tcBorders>
            <w:vAlign w:val="center"/>
          </w:tcPr>
          <w:p w14:paraId="72D94AD3" w14:textId="03C8ADED"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n/a</w:t>
            </w:r>
          </w:p>
        </w:tc>
        <w:tc>
          <w:tcPr>
            <w:tcW w:w="644" w:type="dxa"/>
            <w:tcBorders>
              <w:bottom w:val="single" w:sz="4" w:space="0" w:color="auto"/>
            </w:tcBorders>
            <w:vAlign w:val="center"/>
          </w:tcPr>
          <w:p w14:paraId="151881FB" w14:textId="7CD1F711"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5.5</w:t>
            </w:r>
          </w:p>
        </w:tc>
        <w:tc>
          <w:tcPr>
            <w:tcW w:w="643" w:type="dxa"/>
            <w:tcBorders>
              <w:bottom w:val="single" w:sz="4" w:space="0" w:color="auto"/>
            </w:tcBorders>
            <w:vAlign w:val="center"/>
          </w:tcPr>
          <w:p w14:paraId="683F414A" w14:textId="7A1B0BF6"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6.2</w:t>
            </w:r>
          </w:p>
        </w:tc>
        <w:tc>
          <w:tcPr>
            <w:tcW w:w="644" w:type="dxa"/>
            <w:tcBorders>
              <w:bottom w:val="single" w:sz="4" w:space="0" w:color="auto"/>
            </w:tcBorders>
            <w:vAlign w:val="center"/>
          </w:tcPr>
          <w:p w14:paraId="5DB89C2E" w14:textId="399F25A3"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7.7</w:t>
            </w:r>
          </w:p>
        </w:tc>
        <w:tc>
          <w:tcPr>
            <w:tcW w:w="643" w:type="dxa"/>
            <w:tcBorders>
              <w:bottom w:val="single" w:sz="4" w:space="0" w:color="auto"/>
            </w:tcBorders>
            <w:vAlign w:val="center"/>
          </w:tcPr>
          <w:p w14:paraId="0E4C8AEC" w14:textId="5CB168CE"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9.5</w:t>
            </w:r>
          </w:p>
        </w:tc>
        <w:tc>
          <w:tcPr>
            <w:tcW w:w="644" w:type="dxa"/>
            <w:tcBorders>
              <w:bottom w:val="single" w:sz="4" w:space="0" w:color="auto"/>
              <w:right w:val="single" w:sz="4" w:space="0" w:color="auto"/>
            </w:tcBorders>
            <w:vAlign w:val="center"/>
          </w:tcPr>
          <w:p w14:paraId="297A3D07" w14:textId="6D1211C3"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10.1</w:t>
            </w:r>
          </w:p>
        </w:tc>
        <w:tc>
          <w:tcPr>
            <w:tcW w:w="643" w:type="dxa"/>
            <w:tcBorders>
              <w:left w:val="single" w:sz="4" w:space="0" w:color="auto"/>
              <w:bottom w:val="single" w:sz="4" w:space="0" w:color="auto"/>
            </w:tcBorders>
            <w:vAlign w:val="center"/>
          </w:tcPr>
          <w:p w14:paraId="5183FF59" w14:textId="4564682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n/a</w:t>
            </w:r>
          </w:p>
        </w:tc>
        <w:tc>
          <w:tcPr>
            <w:tcW w:w="644" w:type="dxa"/>
            <w:tcBorders>
              <w:bottom w:val="single" w:sz="4" w:space="0" w:color="auto"/>
            </w:tcBorders>
            <w:vAlign w:val="center"/>
          </w:tcPr>
          <w:p w14:paraId="4FE7CFF3" w14:textId="02DFAE8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0.5</w:t>
            </w:r>
          </w:p>
        </w:tc>
        <w:tc>
          <w:tcPr>
            <w:tcW w:w="643" w:type="dxa"/>
            <w:tcBorders>
              <w:bottom w:val="single" w:sz="4" w:space="0" w:color="auto"/>
            </w:tcBorders>
            <w:vAlign w:val="center"/>
          </w:tcPr>
          <w:p w14:paraId="0B217639" w14:textId="1A2C7F6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0.4</w:t>
            </w:r>
          </w:p>
        </w:tc>
        <w:tc>
          <w:tcPr>
            <w:tcW w:w="644" w:type="dxa"/>
            <w:tcBorders>
              <w:bottom w:val="single" w:sz="4" w:space="0" w:color="auto"/>
            </w:tcBorders>
            <w:vAlign w:val="center"/>
          </w:tcPr>
          <w:p w14:paraId="1DC10D20" w14:textId="64FC1A4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0.3</w:t>
            </w:r>
          </w:p>
        </w:tc>
        <w:tc>
          <w:tcPr>
            <w:tcW w:w="643" w:type="dxa"/>
            <w:tcBorders>
              <w:bottom w:val="single" w:sz="4" w:space="0" w:color="auto"/>
            </w:tcBorders>
            <w:vAlign w:val="center"/>
          </w:tcPr>
          <w:p w14:paraId="122142BE" w14:textId="7638732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0.3</w:t>
            </w:r>
          </w:p>
        </w:tc>
        <w:tc>
          <w:tcPr>
            <w:tcW w:w="644" w:type="dxa"/>
            <w:tcBorders>
              <w:bottom w:val="single" w:sz="4" w:space="0" w:color="auto"/>
            </w:tcBorders>
            <w:vAlign w:val="center"/>
          </w:tcPr>
          <w:p w14:paraId="210A3CC1" w14:textId="071C4459"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0.3</w:t>
            </w:r>
          </w:p>
        </w:tc>
      </w:tr>
      <w:tr w:rsidR="00194F6F" w:rsidRPr="00733BD9" w14:paraId="4181B442" w14:textId="77777777" w:rsidTr="00273924">
        <w:trPr>
          <w:trHeight w:val="240"/>
        </w:trPr>
        <w:tc>
          <w:tcPr>
            <w:tcW w:w="2426" w:type="dxa"/>
            <w:tcBorders>
              <w:bottom w:val="single" w:sz="4" w:space="0" w:color="auto"/>
              <w:right w:val="single" w:sz="4" w:space="0" w:color="auto"/>
            </w:tcBorders>
            <w:shd w:val="clear" w:color="auto" w:fill="auto"/>
            <w:noWrap/>
            <w:vAlign w:val="center"/>
            <w:hideMark/>
          </w:tcPr>
          <w:p w14:paraId="6E6A20E6" w14:textId="77777777" w:rsidR="00194F6F" w:rsidRPr="00733BD9" w:rsidRDefault="00194F6F" w:rsidP="00194F6F">
            <w:pPr>
              <w:rPr>
                <w:rFonts w:ascii="Arial" w:eastAsia="Times New Roman" w:hAnsi="Arial" w:cs="Arial"/>
                <w:b/>
                <w:iCs/>
                <w:sz w:val="17"/>
                <w:szCs w:val="17"/>
                <w:lang w:eastAsia="en-GB"/>
              </w:rPr>
            </w:pPr>
            <w:r w:rsidRPr="00733BD9">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vAlign w:val="center"/>
          </w:tcPr>
          <w:p w14:paraId="787D0852" w14:textId="7A42FD31" w:rsidR="00194F6F" w:rsidRPr="00733BD9" w:rsidRDefault="00273924" w:rsidP="00273924">
            <w:pPr>
              <w:ind w:left="72" w:right="72"/>
              <w:jc w:val="right"/>
              <w:rPr>
                <w:rFonts w:ascii="Arial" w:eastAsia="Times New Roman" w:hAnsi="Arial" w:cs="Arial"/>
                <w:b/>
                <w:sz w:val="17"/>
                <w:szCs w:val="17"/>
                <w:lang w:eastAsia="en-GB"/>
              </w:rPr>
            </w:pPr>
            <w:r w:rsidRPr="00733BD9">
              <w:rPr>
                <w:rFonts w:ascii="Arial" w:eastAsia="Times New Roman" w:hAnsi="Arial" w:cs="Arial"/>
                <w:b/>
                <w:sz w:val="17"/>
                <w:szCs w:val="17"/>
                <w:lang w:eastAsia="en-GB"/>
              </w:rPr>
              <w:t>100</w:t>
            </w:r>
          </w:p>
        </w:tc>
        <w:tc>
          <w:tcPr>
            <w:tcW w:w="643" w:type="dxa"/>
            <w:tcBorders>
              <w:bottom w:val="single" w:sz="4" w:space="0" w:color="auto"/>
            </w:tcBorders>
            <w:vAlign w:val="center"/>
          </w:tcPr>
          <w:p w14:paraId="6FB519DD" w14:textId="77777777"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bCs/>
                <w:sz w:val="17"/>
                <w:szCs w:val="17"/>
                <w:lang w:eastAsia="en-GB"/>
              </w:rPr>
              <w:t>100</w:t>
            </w:r>
          </w:p>
        </w:tc>
        <w:tc>
          <w:tcPr>
            <w:tcW w:w="642" w:type="dxa"/>
            <w:tcBorders>
              <w:bottom w:val="single" w:sz="4" w:space="0" w:color="auto"/>
            </w:tcBorders>
            <w:vAlign w:val="center"/>
          </w:tcPr>
          <w:p w14:paraId="11AE18AB" w14:textId="77777777"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bCs/>
                <w:sz w:val="17"/>
                <w:szCs w:val="17"/>
                <w:lang w:eastAsia="en-GB"/>
              </w:rPr>
              <w:t>100</w:t>
            </w:r>
          </w:p>
        </w:tc>
        <w:tc>
          <w:tcPr>
            <w:tcW w:w="643" w:type="dxa"/>
            <w:tcBorders>
              <w:bottom w:val="single" w:sz="4" w:space="0" w:color="auto"/>
            </w:tcBorders>
            <w:vAlign w:val="center"/>
          </w:tcPr>
          <w:p w14:paraId="5EF50274" w14:textId="77777777"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bCs/>
                <w:sz w:val="17"/>
                <w:szCs w:val="17"/>
                <w:lang w:eastAsia="en-GB"/>
              </w:rPr>
              <w:t>100</w:t>
            </w:r>
          </w:p>
        </w:tc>
        <w:tc>
          <w:tcPr>
            <w:tcW w:w="642" w:type="dxa"/>
            <w:tcBorders>
              <w:bottom w:val="single" w:sz="4" w:space="0" w:color="auto"/>
            </w:tcBorders>
            <w:vAlign w:val="center"/>
          </w:tcPr>
          <w:p w14:paraId="786C0E07" w14:textId="77777777"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64632657" w14:textId="77777777"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4AC2C4ED" w14:textId="77777777" w:rsidR="00194F6F" w:rsidRPr="00733BD9" w:rsidRDefault="00194F6F" w:rsidP="00194F6F">
            <w:pPr>
              <w:ind w:left="72" w:right="72"/>
              <w:jc w:val="right"/>
              <w:rPr>
                <w:rFonts w:ascii="Arial" w:hAnsi="Arial" w:cs="Arial"/>
                <w:b/>
                <w:iCs/>
                <w:sz w:val="17"/>
                <w:szCs w:val="17"/>
              </w:rPr>
            </w:pPr>
            <w:r w:rsidRPr="00733BD9">
              <w:rPr>
                <w:rFonts w:ascii="Arial" w:eastAsia="Times New Roman" w:hAnsi="Arial" w:cs="Arial"/>
                <w:b/>
                <w:iCs/>
                <w:sz w:val="17"/>
                <w:szCs w:val="17"/>
                <w:lang w:eastAsia="en-GB"/>
              </w:rPr>
              <w:t>n/a</w:t>
            </w:r>
          </w:p>
        </w:tc>
        <w:tc>
          <w:tcPr>
            <w:tcW w:w="644" w:type="dxa"/>
            <w:tcBorders>
              <w:bottom w:val="single" w:sz="4" w:space="0" w:color="auto"/>
            </w:tcBorders>
            <w:vAlign w:val="center"/>
          </w:tcPr>
          <w:p w14:paraId="2D099276" w14:textId="77777777" w:rsidR="00194F6F" w:rsidRPr="00733BD9" w:rsidRDefault="00194F6F" w:rsidP="00194F6F">
            <w:pPr>
              <w:ind w:left="72" w:right="72"/>
              <w:jc w:val="right"/>
              <w:rPr>
                <w:rFonts w:ascii="Arial" w:hAnsi="Arial" w:cs="Arial"/>
                <w:b/>
                <w:iCs/>
                <w:sz w:val="17"/>
                <w:szCs w:val="17"/>
              </w:rPr>
            </w:pPr>
            <w:r w:rsidRPr="00733BD9">
              <w:rPr>
                <w:rFonts w:ascii="Arial" w:eastAsia="Times New Roman" w:hAnsi="Arial" w:cs="Arial"/>
                <w:b/>
                <w:iCs/>
                <w:sz w:val="17"/>
                <w:szCs w:val="17"/>
                <w:lang w:eastAsia="en-GB"/>
              </w:rPr>
              <w:t>100</w:t>
            </w:r>
          </w:p>
        </w:tc>
        <w:tc>
          <w:tcPr>
            <w:tcW w:w="643" w:type="dxa"/>
            <w:tcBorders>
              <w:bottom w:val="single" w:sz="4" w:space="0" w:color="auto"/>
            </w:tcBorders>
            <w:vAlign w:val="center"/>
          </w:tcPr>
          <w:p w14:paraId="634494F4" w14:textId="77777777" w:rsidR="00194F6F" w:rsidRPr="00733BD9" w:rsidRDefault="00194F6F" w:rsidP="00194F6F">
            <w:pPr>
              <w:ind w:left="72" w:right="72"/>
              <w:jc w:val="right"/>
              <w:rPr>
                <w:rFonts w:ascii="Arial" w:hAnsi="Arial" w:cs="Arial"/>
                <w:b/>
                <w:iCs/>
                <w:sz w:val="17"/>
                <w:szCs w:val="17"/>
              </w:rPr>
            </w:pPr>
            <w:r w:rsidRPr="00733BD9">
              <w:rPr>
                <w:rFonts w:ascii="Arial" w:eastAsia="Times New Roman" w:hAnsi="Arial" w:cs="Arial"/>
                <w:b/>
                <w:iCs/>
                <w:sz w:val="17"/>
                <w:szCs w:val="17"/>
                <w:lang w:eastAsia="en-GB"/>
              </w:rPr>
              <w:t>100</w:t>
            </w:r>
          </w:p>
        </w:tc>
        <w:tc>
          <w:tcPr>
            <w:tcW w:w="644" w:type="dxa"/>
            <w:tcBorders>
              <w:bottom w:val="single" w:sz="4" w:space="0" w:color="auto"/>
            </w:tcBorders>
            <w:vAlign w:val="center"/>
          </w:tcPr>
          <w:p w14:paraId="5913378B" w14:textId="77777777" w:rsidR="00194F6F" w:rsidRPr="00733BD9" w:rsidRDefault="00194F6F" w:rsidP="00194F6F">
            <w:pPr>
              <w:ind w:left="72" w:right="72"/>
              <w:jc w:val="right"/>
              <w:rPr>
                <w:rFonts w:ascii="Arial" w:hAnsi="Arial" w:cs="Arial"/>
                <w:b/>
                <w:iCs/>
                <w:sz w:val="17"/>
                <w:szCs w:val="17"/>
              </w:rPr>
            </w:pPr>
            <w:r w:rsidRPr="00733BD9">
              <w:rPr>
                <w:rFonts w:ascii="Arial" w:eastAsia="Times New Roman" w:hAnsi="Arial" w:cs="Arial"/>
                <w:b/>
                <w:iCs/>
                <w:sz w:val="17"/>
                <w:szCs w:val="17"/>
                <w:lang w:eastAsia="en-GB"/>
              </w:rPr>
              <w:t>100</w:t>
            </w:r>
          </w:p>
        </w:tc>
        <w:tc>
          <w:tcPr>
            <w:tcW w:w="643" w:type="dxa"/>
            <w:tcBorders>
              <w:bottom w:val="single" w:sz="4" w:space="0" w:color="auto"/>
            </w:tcBorders>
            <w:vAlign w:val="center"/>
          </w:tcPr>
          <w:p w14:paraId="5146C6B5" w14:textId="77777777" w:rsidR="00194F6F" w:rsidRPr="00733BD9" w:rsidRDefault="00194F6F" w:rsidP="00194F6F">
            <w:pPr>
              <w:ind w:left="72" w:right="72"/>
              <w:jc w:val="right"/>
              <w:rPr>
                <w:rFonts w:ascii="Arial" w:hAnsi="Arial" w:cs="Arial"/>
                <w:b/>
                <w:iCs/>
                <w:sz w:val="17"/>
                <w:szCs w:val="17"/>
              </w:rPr>
            </w:pPr>
            <w:r w:rsidRPr="00733BD9">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2341E738" w14:textId="77777777" w:rsidR="00194F6F" w:rsidRPr="00733BD9" w:rsidRDefault="00194F6F" w:rsidP="00194F6F">
            <w:pPr>
              <w:ind w:left="72" w:right="72"/>
              <w:jc w:val="right"/>
              <w:rPr>
                <w:rFonts w:ascii="Arial" w:hAnsi="Arial" w:cs="Arial"/>
                <w:b/>
                <w:iCs/>
                <w:sz w:val="17"/>
                <w:szCs w:val="17"/>
              </w:rPr>
            </w:pPr>
            <w:r w:rsidRPr="00733BD9">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3250248A" w14:textId="77777777" w:rsidR="00194F6F" w:rsidRPr="00733BD9" w:rsidRDefault="00194F6F" w:rsidP="00194F6F">
            <w:pPr>
              <w:ind w:left="72" w:right="72"/>
              <w:jc w:val="right"/>
              <w:rPr>
                <w:rFonts w:ascii="Arial" w:eastAsia="Times New Roman" w:hAnsi="Arial" w:cs="Arial"/>
                <w:b/>
                <w:iCs/>
                <w:sz w:val="17"/>
                <w:szCs w:val="17"/>
                <w:lang w:eastAsia="en-GB"/>
              </w:rPr>
            </w:pPr>
            <w:r w:rsidRPr="00733BD9">
              <w:rPr>
                <w:rFonts w:ascii="Arial" w:eastAsia="Times New Roman" w:hAnsi="Arial" w:cs="Arial"/>
                <w:b/>
                <w:iCs/>
                <w:sz w:val="17"/>
                <w:szCs w:val="17"/>
                <w:lang w:eastAsia="en-GB"/>
              </w:rPr>
              <w:t>n/a</w:t>
            </w:r>
          </w:p>
        </w:tc>
        <w:tc>
          <w:tcPr>
            <w:tcW w:w="644" w:type="dxa"/>
            <w:tcBorders>
              <w:bottom w:val="single" w:sz="4" w:space="0" w:color="auto"/>
            </w:tcBorders>
            <w:vAlign w:val="center"/>
          </w:tcPr>
          <w:p w14:paraId="479689C4" w14:textId="77777777" w:rsidR="00194F6F" w:rsidRPr="00733BD9" w:rsidRDefault="00194F6F" w:rsidP="00194F6F">
            <w:pPr>
              <w:ind w:left="72" w:right="72"/>
              <w:jc w:val="right"/>
              <w:rPr>
                <w:rFonts w:ascii="Arial" w:eastAsia="Times New Roman" w:hAnsi="Arial" w:cs="Arial"/>
                <w:b/>
                <w:iCs/>
                <w:sz w:val="17"/>
                <w:szCs w:val="17"/>
                <w:lang w:eastAsia="en-GB"/>
              </w:rPr>
            </w:pPr>
            <w:r w:rsidRPr="00733BD9">
              <w:rPr>
                <w:rFonts w:ascii="Arial" w:eastAsia="Times New Roman" w:hAnsi="Arial" w:cs="Arial"/>
                <w:b/>
                <w:sz w:val="17"/>
                <w:szCs w:val="17"/>
                <w:lang w:eastAsia="en-GB"/>
              </w:rPr>
              <w:t>1.0</w:t>
            </w:r>
          </w:p>
        </w:tc>
        <w:tc>
          <w:tcPr>
            <w:tcW w:w="643" w:type="dxa"/>
            <w:tcBorders>
              <w:bottom w:val="single" w:sz="4" w:space="0" w:color="auto"/>
            </w:tcBorders>
            <w:vAlign w:val="center"/>
          </w:tcPr>
          <w:p w14:paraId="752FF08D" w14:textId="77777777" w:rsidR="00194F6F" w:rsidRPr="00733BD9" w:rsidRDefault="00194F6F" w:rsidP="00194F6F">
            <w:pPr>
              <w:ind w:left="72" w:right="72"/>
              <w:jc w:val="right"/>
              <w:rPr>
                <w:rFonts w:ascii="Arial" w:eastAsia="Times New Roman" w:hAnsi="Arial" w:cs="Arial"/>
                <w:b/>
                <w:iCs/>
                <w:sz w:val="17"/>
                <w:szCs w:val="17"/>
                <w:lang w:eastAsia="en-GB"/>
              </w:rPr>
            </w:pPr>
            <w:r w:rsidRPr="00733BD9">
              <w:rPr>
                <w:rFonts w:ascii="Arial" w:eastAsia="Times New Roman" w:hAnsi="Arial" w:cs="Arial"/>
                <w:b/>
                <w:sz w:val="17"/>
                <w:szCs w:val="17"/>
                <w:lang w:eastAsia="en-GB"/>
              </w:rPr>
              <w:t>1.0</w:t>
            </w:r>
          </w:p>
        </w:tc>
        <w:tc>
          <w:tcPr>
            <w:tcW w:w="644" w:type="dxa"/>
            <w:tcBorders>
              <w:bottom w:val="single" w:sz="4" w:space="0" w:color="auto"/>
            </w:tcBorders>
            <w:vAlign w:val="center"/>
          </w:tcPr>
          <w:p w14:paraId="4B2C54F2" w14:textId="77777777" w:rsidR="00194F6F" w:rsidRPr="00733BD9" w:rsidRDefault="00194F6F" w:rsidP="00194F6F">
            <w:pPr>
              <w:ind w:left="72" w:right="72"/>
              <w:jc w:val="right"/>
              <w:rPr>
                <w:rFonts w:ascii="Arial" w:eastAsia="Times New Roman" w:hAnsi="Arial" w:cs="Arial"/>
                <w:b/>
                <w:iCs/>
                <w:sz w:val="17"/>
                <w:szCs w:val="17"/>
                <w:lang w:eastAsia="en-GB"/>
              </w:rPr>
            </w:pPr>
            <w:r w:rsidRPr="00733BD9">
              <w:rPr>
                <w:rFonts w:ascii="Arial" w:eastAsia="Times New Roman" w:hAnsi="Arial" w:cs="Arial"/>
                <w:b/>
                <w:sz w:val="17"/>
                <w:szCs w:val="17"/>
                <w:lang w:eastAsia="en-GB"/>
              </w:rPr>
              <w:t>1.0</w:t>
            </w:r>
          </w:p>
        </w:tc>
        <w:tc>
          <w:tcPr>
            <w:tcW w:w="643" w:type="dxa"/>
            <w:tcBorders>
              <w:bottom w:val="single" w:sz="4" w:space="0" w:color="auto"/>
            </w:tcBorders>
            <w:vAlign w:val="center"/>
          </w:tcPr>
          <w:p w14:paraId="7EC3AE30" w14:textId="77777777" w:rsidR="00194F6F" w:rsidRPr="00733BD9" w:rsidRDefault="00194F6F" w:rsidP="00194F6F">
            <w:pPr>
              <w:ind w:left="72" w:right="72"/>
              <w:jc w:val="right"/>
              <w:rPr>
                <w:rFonts w:ascii="Arial" w:eastAsia="Times New Roman" w:hAnsi="Arial" w:cs="Arial"/>
                <w:b/>
                <w:iCs/>
                <w:sz w:val="17"/>
                <w:szCs w:val="17"/>
                <w:lang w:eastAsia="en-GB"/>
              </w:rPr>
            </w:pPr>
            <w:r w:rsidRPr="00733BD9">
              <w:rPr>
                <w:rFonts w:ascii="Arial" w:eastAsia="Times New Roman" w:hAnsi="Arial" w:cs="Arial"/>
                <w:b/>
                <w:sz w:val="17"/>
                <w:szCs w:val="17"/>
                <w:lang w:eastAsia="en-GB"/>
              </w:rPr>
              <w:t>1.0</w:t>
            </w:r>
          </w:p>
        </w:tc>
        <w:tc>
          <w:tcPr>
            <w:tcW w:w="644" w:type="dxa"/>
            <w:tcBorders>
              <w:bottom w:val="single" w:sz="4" w:space="0" w:color="auto"/>
            </w:tcBorders>
            <w:vAlign w:val="center"/>
          </w:tcPr>
          <w:p w14:paraId="33FE6551" w14:textId="77777777" w:rsidR="00194F6F" w:rsidRPr="00733BD9" w:rsidRDefault="00194F6F" w:rsidP="00194F6F">
            <w:pPr>
              <w:ind w:left="72" w:right="72"/>
              <w:jc w:val="right"/>
              <w:rPr>
                <w:rFonts w:ascii="Arial" w:eastAsia="Times New Roman" w:hAnsi="Arial" w:cs="Arial"/>
                <w:b/>
                <w:iCs/>
                <w:sz w:val="17"/>
                <w:szCs w:val="17"/>
                <w:lang w:eastAsia="en-GB"/>
              </w:rPr>
            </w:pPr>
            <w:r w:rsidRPr="00733BD9">
              <w:rPr>
                <w:rFonts w:ascii="Arial" w:eastAsia="Times New Roman" w:hAnsi="Arial" w:cs="Arial"/>
                <w:b/>
                <w:sz w:val="17"/>
                <w:szCs w:val="17"/>
                <w:lang w:eastAsia="en-GB"/>
              </w:rPr>
              <w:t>1.0</w:t>
            </w:r>
          </w:p>
        </w:tc>
      </w:tr>
    </w:tbl>
    <w:p w14:paraId="27ED2E08" w14:textId="10D8FCDD" w:rsidR="00194F6F" w:rsidRDefault="00194F6F" w:rsidP="00194F6F">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0"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1" w:history="1">
        <w:r w:rsidRPr="00DC3FEA">
          <w:rPr>
            <w:rStyle w:val="Hyperlink"/>
          </w:rPr>
          <w:t>http://www.ilo.org/global/research/global-reports/weso/2015/lang--en/index.htm</w:t>
        </w:r>
      </w:hyperlink>
      <w:r>
        <w:t>).</w:t>
      </w:r>
      <w:r w:rsidRPr="00194F6F">
        <w:t xml:space="preserve"> </w:t>
      </w:r>
      <w:r>
        <w:t xml:space="preserve">NB: in the gross value added data for </w:t>
      </w:r>
      <w:r w:rsidR="006A374E">
        <w:t>Myanmar</w:t>
      </w:r>
      <w:r>
        <w:t>, ‘restaurants and hotels’ and ‘gas and electricity’ are included under ‘other’ activities rather than with ‘wholesale and retail’ and ‘mining and utilities’ respectively; this was taken into account when aggregating the employment data.</w:t>
      </w:r>
    </w:p>
    <w:p w14:paraId="4E6F68E8" w14:textId="77777777" w:rsidR="00194F6F" w:rsidRDefault="00194F6F">
      <w:pPr>
        <w:rPr>
          <w:rFonts w:ascii="Arial" w:hAnsi="Arial"/>
          <w:b/>
          <w:color w:val="006C67" w:themeColor="accent1"/>
          <w:sz w:val="24"/>
        </w:rPr>
      </w:pPr>
      <w:bookmarkStart w:id="12" w:name="_Toc427767255"/>
      <w:bookmarkStart w:id="13" w:name="_Toc427768418"/>
      <w:r>
        <w:br w:type="page"/>
      </w:r>
    </w:p>
    <w:p w14:paraId="2318630D" w14:textId="77777777" w:rsidR="00194F6F" w:rsidRDefault="00194F6F" w:rsidP="00194F6F">
      <w:pPr>
        <w:pStyle w:val="BodyText"/>
      </w:pPr>
    </w:p>
    <w:p w14:paraId="799CAA3C" w14:textId="77777777" w:rsidR="00194F6F" w:rsidRDefault="00194F6F" w:rsidP="00194F6F">
      <w:pPr>
        <w:pStyle w:val="BodyText"/>
      </w:pPr>
    </w:p>
    <w:p w14:paraId="0A3BA8B3" w14:textId="77777777" w:rsidR="00194F6F" w:rsidRDefault="00194F6F" w:rsidP="00194F6F">
      <w:pPr>
        <w:pStyle w:val="BodyText"/>
      </w:pPr>
    </w:p>
    <w:p w14:paraId="2DC399E5" w14:textId="77777777" w:rsidR="00194F6F" w:rsidRDefault="00194F6F" w:rsidP="00194F6F">
      <w:pPr>
        <w:pStyle w:val="BodyText"/>
      </w:pPr>
    </w:p>
    <w:p w14:paraId="43F3A8E1" w14:textId="77777777" w:rsidR="00194F6F" w:rsidRDefault="00194F6F" w:rsidP="00194F6F">
      <w:pPr>
        <w:pStyle w:val="BodyText"/>
      </w:pPr>
    </w:p>
    <w:p w14:paraId="3284B1EA" w14:textId="184C9876" w:rsidR="00194F6F" w:rsidRDefault="00194F6F" w:rsidP="00194F6F">
      <w:pPr>
        <w:pStyle w:val="TableHeading"/>
        <w:numPr>
          <w:ilvl w:val="0"/>
          <w:numId w:val="13"/>
        </w:numPr>
        <w:tabs>
          <w:tab w:val="right" w:pos="9806"/>
          <w:tab w:val="right" w:pos="13925"/>
        </w:tabs>
      </w:pPr>
      <w:bookmarkStart w:id="14" w:name="_Toc427857728"/>
      <w:r>
        <w:t xml:space="preserve">Labour productivity levels and changes, </w:t>
      </w:r>
      <w:r>
        <w:rPr>
          <w:noProof/>
        </w:rPr>
        <w:t>Myanmar</w:t>
      </w:r>
      <w:r>
        <w:t xml:space="preserve">, 1991–2013 </w:t>
      </w:r>
      <w:r w:rsidR="00CD2A59">
        <w:tab/>
      </w:r>
      <w:r>
        <w:t xml:space="preserve"> </w:t>
      </w:r>
      <w:r>
        <w:tab/>
      </w:r>
      <w:r w:rsidRPr="001B0E3C">
        <w:rPr>
          <w:color w:val="FF0000"/>
        </w:rPr>
        <w:t>NEW</w:t>
      </w:r>
      <w:bookmarkEnd w:id="12"/>
      <w:bookmarkEnd w:id="13"/>
      <w:bookmarkEnd w:id="14"/>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194F6F" w:rsidRPr="00733BD9" w14:paraId="67F63D9A" w14:textId="77777777" w:rsidTr="00194F6F">
        <w:tc>
          <w:tcPr>
            <w:tcW w:w="2875" w:type="dxa"/>
            <w:tcBorders>
              <w:right w:val="single" w:sz="4" w:space="0" w:color="auto"/>
            </w:tcBorders>
            <w:shd w:val="clear" w:color="auto" w:fill="D9D9D9" w:themeFill="background1" w:themeFillShade="D9"/>
            <w:noWrap/>
            <w:hideMark/>
          </w:tcPr>
          <w:p w14:paraId="27AA2138" w14:textId="77777777" w:rsidR="00194F6F" w:rsidRPr="00733BD9" w:rsidRDefault="00194F6F" w:rsidP="00194F6F">
            <w:pPr>
              <w:ind w:left="144" w:right="144"/>
              <w:jc w:val="center"/>
              <w:rPr>
                <w:rFonts w:ascii="Arial" w:hAnsi="Arial" w:cs="Arial"/>
                <w:b/>
                <w:sz w:val="17"/>
                <w:szCs w:val="17"/>
                <w:lang w:eastAsia="en-GB"/>
              </w:rPr>
            </w:pPr>
            <w:r w:rsidRPr="00733BD9">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44C9388F" w14:textId="77777777" w:rsidR="00194F6F" w:rsidRPr="00733BD9" w:rsidRDefault="00194F6F" w:rsidP="00194F6F">
            <w:pPr>
              <w:ind w:left="144" w:right="144"/>
              <w:jc w:val="center"/>
              <w:rPr>
                <w:rFonts w:ascii="Arial" w:eastAsia="Times New Roman" w:hAnsi="Arial" w:cs="Arial"/>
                <w:sz w:val="17"/>
                <w:szCs w:val="17"/>
                <w:lang w:eastAsia="en-GB"/>
              </w:rPr>
            </w:pPr>
            <w:r w:rsidRPr="00733BD9">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768BB045" w14:textId="77777777" w:rsidR="00194F6F" w:rsidRPr="00733BD9" w:rsidRDefault="00194F6F" w:rsidP="00194F6F">
            <w:pPr>
              <w:ind w:left="144" w:right="144"/>
              <w:jc w:val="center"/>
              <w:rPr>
                <w:rFonts w:ascii="Arial" w:hAnsi="Arial" w:cs="Arial"/>
                <w:b/>
                <w:bCs/>
                <w:sz w:val="17"/>
                <w:szCs w:val="17"/>
              </w:rPr>
            </w:pPr>
            <w:r w:rsidRPr="00733BD9">
              <w:rPr>
                <w:rFonts w:ascii="Arial" w:eastAsia="Times New Roman" w:hAnsi="Arial" w:cs="Arial"/>
                <w:b/>
                <w:bCs/>
                <w:sz w:val="17"/>
                <w:szCs w:val="17"/>
                <w:lang w:eastAsia="en-GB"/>
              </w:rPr>
              <w:t>Annualised growth in labour productivity</w:t>
            </w:r>
          </w:p>
        </w:tc>
      </w:tr>
      <w:tr w:rsidR="00194F6F" w:rsidRPr="00733BD9" w14:paraId="075112E9" w14:textId="77777777" w:rsidTr="00194F6F">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6CA6246B" w14:textId="77777777" w:rsidR="00194F6F" w:rsidRPr="00733BD9" w:rsidRDefault="00194F6F" w:rsidP="00194F6F">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3CD01728"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16151DCB"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4324BA6E"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7310E4F3"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6A2C3A0E"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3DBC2DFC" w14:textId="77777777" w:rsidR="00194F6F" w:rsidRPr="00733BD9" w:rsidRDefault="00194F6F" w:rsidP="00194F6F">
            <w:pPr>
              <w:jc w:val="center"/>
              <w:rPr>
                <w:rFonts w:ascii="Arial" w:eastAsia="Times New Roman" w:hAnsi="Arial" w:cs="Arial"/>
                <w:i/>
                <w:sz w:val="17"/>
                <w:szCs w:val="17"/>
                <w:lang w:eastAsia="en-GB"/>
              </w:rPr>
            </w:pPr>
            <w:r w:rsidRPr="00733BD9">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773D02E5"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7AA51009"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29652B6C"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293F9558" w14:textId="77777777" w:rsidR="00194F6F" w:rsidRPr="00733BD9" w:rsidRDefault="00194F6F" w:rsidP="00194F6F">
            <w:pPr>
              <w:jc w:val="center"/>
              <w:rPr>
                <w:rFonts w:ascii="Arial" w:hAnsi="Arial" w:cs="Arial"/>
                <w:bCs/>
                <w:i/>
                <w:sz w:val="17"/>
                <w:szCs w:val="17"/>
              </w:rPr>
            </w:pPr>
            <w:r w:rsidRPr="00733BD9">
              <w:rPr>
                <w:rFonts w:ascii="Arial" w:eastAsia="Times New Roman" w:hAnsi="Arial" w:cs="Arial"/>
                <w:bCs/>
                <w:i/>
                <w:sz w:val="17"/>
                <w:szCs w:val="17"/>
                <w:lang w:eastAsia="en-GB"/>
              </w:rPr>
              <w:t>2010-13</w:t>
            </w:r>
          </w:p>
        </w:tc>
      </w:tr>
      <w:tr w:rsidR="00194F6F" w:rsidRPr="00733BD9" w14:paraId="2EB49387" w14:textId="77777777" w:rsidTr="00273924">
        <w:trPr>
          <w:trHeight w:val="240"/>
        </w:trPr>
        <w:tc>
          <w:tcPr>
            <w:tcW w:w="2875" w:type="dxa"/>
            <w:tcBorders>
              <w:top w:val="single" w:sz="4" w:space="0" w:color="auto"/>
              <w:right w:val="single" w:sz="4" w:space="0" w:color="auto"/>
            </w:tcBorders>
            <w:shd w:val="clear" w:color="auto" w:fill="auto"/>
            <w:noWrap/>
            <w:vAlign w:val="center"/>
            <w:hideMark/>
          </w:tcPr>
          <w:p w14:paraId="4C4F2220" w14:textId="211D151D"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12DD0948"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tcBorders>
              <w:top w:val="single" w:sz="4" w:space="0" w:color="auto"/>
            </w:tcBorders>
            <w:vAlign w:val="center"/>
          </w:tcPr>
          <w:p w14:paraId="44B9D8F6" w14:textId="30A46B0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158.3</w:t>
            </w:r>
          </w:p>
        </w:tc>
        <w:tc>
          <w:tcPr>
            <w:tcW w:w="763" w:type="dxa"/>
            <w:tcBorders>
              <w:top w:val="single" w:sz="4" w:space="0" w:color="auto"/>
            </w:tcBorders>
            <w:vAlign w:val="center"/>
          </w:tcPr>
          <w:p w14:paraId="28C52BFC" w14:textId="2EABDEA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265.8</w:t>
            </w:r>
          </w:p>
        </w:tc>
        <w:tc>
          <w:tcPr>
            <w:tcW w:w="763" w:type="dxa"/>
            <w:tcBorders>
              <w:top w:val="single" w:sz="4" w:space="0" w:color="auto"/>
            </w:tcBorders>
            <w:vAlign w:val="center"/>
          </w:tcPr>
          <w:p w14:paraId="2F353B7D" w14:textId="1289ECC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395.2</w:t>
            </w:r>
          </w:p>
        </w:tc>
        <w:tc>
          <w:tcPr>
            <w:tcW w:w="761" w:type="dxa"/>
            <w:tcBorders>
              <w:top w:val="single" w:sz="4" w:space="0" w:color="auto"/>
              <w:right w:val="single" w:sz="4" w:space="0" w:color="auto"/>
            </w:tcBorders>
            <w:vAlign w:val="center"/>
          </w:tcPr>
          <w:p w14:paraId="2837F531" w14:textId="504DAA5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473.9</w:t>
            </w:r>
          </w:p>
        </w:tc>
        <w:tc>
          <w:tcPr>
            <w:tcW w:w="763" w:type="dxa"/>
            <w:tcBorders>
              <w:top w:val="single" w:sz="4" w:space="0" w:color="auto"/>
              <w:left w:val="single" w:sz="4" w:space="0" w:color="auto"/>
            </w:tcBorders>
            <w:vAlign w:val="center"/>
          </w:tcPr>
          <w:p w14:paraId="05C616EC" w14:textId="4E8DBFB3"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7.3%</w:t>
            </w:r>
          </w:p>
        </w:tc>
        <w:tc>
          <w:tcPr>
            <w:tcW w:w="763" w:type="dxa"/>
            <w:tcBorders>
              <w:top w:val="single" w:sz="4" w:space="0" w:color="auto"/>
            </w:tcBorders>
            <w:vAlign w:val="center"/>
          </w:tcPr>
          <w:p w14:paraId="1B69FF1A" w14:textId="2F0010E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5.2%</w:t>
            </w:r>
          </w:p>
        </w:tc>
        <w:tc>
          <w:tcPr>
            <w:tcW w:w="764" w:type="dxa"/>
            <w:tcBorders>
              <w:top w:val="single" w:sz="4" w:space="0" w:color="auto"/>
            </w:tcBorders>
            <w:vAlign w:val="center"/>
          </w:tcPr>
          <w:p w14:paraId="4C6C5818" w14:textId="3095C783"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10.9%</w:t>
            </w:r>
          </w:p>
        </w:tc>
        <w:tc>
          <w:tcPr>
            <w:tcW w:w="764" w:type="dxa"/>
            <w:tcBorders>
              <w:top w:val="single" w:sz="4" w:space="0" w:color="auto"/>
            </w:tcBorders>
            <w:vAlign w:val="center"/>
          </w:tcPr>
          <w:p w14:paraId="737C6DC7" w14:textId="7D13B2A5"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8.3%</w:t>
            </w:r>
          </w:p>
        </w:tc>
        <w:tc>
          <w:tcPr>
            <w:tcW w:w="764" w:type="dxa"/>
            <w:tcBorders>
              <w:top w:val="single" w:sz="4" w:space="0" w:color="auto"/>
            </w:tcBorders>
            <w:vAlign w:val="center"/>
          </w:tcPr>
          <w:p w14:paraId="078C5C10" w14:textId="77B95DC6"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6.2%</w:t>
            </w:r>
          </w:p>
        </w:tc>
      </w:tr>
      <w:tr w:rsidR="00194F6F" w:rsidRPr="00733BD9" w14:paraId="0DAC77FE" w14:textId="77777777" w:rsidTr="00273924">
        <w:trPr>
          <w:trHeight w:val="240"/>
        </w:trPr>
        <w:tc>
          <w:tcPr>
            <w:tcW w:w="2875" w:type="dxa"/>
            <w:tcBorders>
              <w:right w:val="single" w:sz="4" w:space="0" w:color="auto"/>
            </w:tcBorders>
            <w:shd w:val="clear" w:color="auto" w:fill="auto"/>
            <w:noWrap/>
            <w:vAlign w:val="center"/>
            <w:hideMark/>
          </w:tcPr>
          <w:p w14:paraId="608C60FB" w14:textId="1F25D22E"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 xml:space="preserve">Mining </w:t>
            </w:r>
          </w:p>
        </w:tc>
        <w:tc>
          <w:tcPr>
            <w:tcW w:w="759" w:type="dxa"/>
            <w:tcBorders>
              <w:left w:val="single" w:sz="4" w:space="0" w:color="auto"/>
            </w:tcBorders>
            <w:vAlign w:val="center"/>
          </w:tcPr>
          <w:p w14:paraId="04716D35"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vAlign w:val="center"/>
          </w:tcPr>
          <w:p w14:paraId="0E772C93" w14:textId="1D4F5C1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258.2</w:t>
            </w:r>
          </w:p>
        </w:tc>
        <w:tc>
          <w:tcPr>
            <w:tcW w:w="763" w:type="dxa"/>
            <w:vAlign w:val="center"/>
          </w:tcPr>
          <w:p w14:paraId="0CF5BE39" w14:textId="088D564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322.2</w:t>
            </w:r>
          </w:p>
        </w:tc>
        <w:tc>
          <w:tcPr>
            <w:tcW w:w="763" w:type="dxa"/>
            <w:vAlign w:val="center"/>
          </w:tcPr>
          <w:p w14:paraId="4A8F5ABC" w14:textId="313456F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367.2</w:t>
            </w:r>
          </w:p>
        </w:tc>
        <w:tc>
          <w:tcPr>
            <w:tcW w:w="761" w:type="dxa"/>
            <w:tcBorders>
              <w:right w:val="single" w:sz="4" w:space="0" w:color="auto"/>
            </w:tcBorders>
            <w:vAlign w:val="center"/>
          </w:tcPr>
          <w:p w14:paraId="7898C9D1" w14:textId="3FF8DB6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360.2</w:t>
            </w:r>
          </w:p>
        </w:tc>
        <w:tc>
          <w:tcPr>
            <w:tcW w:w="763" w:type="dxa"/>
            <w:tcBorders>
              <w:left w:val="single" w:sz="4" w:space="0" w:color="auto"/>
            </w:tcBorders>
            <w:vAlign w:val="center"/>
          </w:tcPr>
          <w:p w14:paraId="188349DE" w14:textId="4906F06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6.0%</w:t>
            </w:r>
          </w:p>
        </w:tc>
        <w:tc>
          <w:tcPr>
            <w:tcW w:w="763" w:type="dxa"/>
            <w:vAlign w:val="center"/>
          </w:tcPr>
          <w:p w14:paraId="7FB5958C" w14:textId="2A41EA1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11.1%</w:t>
            </w:r>
          </w:p>
        </w:tc>
        <w:tc>
          <w:tcPr>
            <w:tcW w:w="764" w:type="dxa"/>
            <w:vAlign w:val="center"/>
          </w:tcPr>
          <w:p w14:paraId="74371C22" w14:textId="3DBEA7E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4.5%</w:t>
            </w:r>
          </w:p>
        </w:tc>
        <w:tc>
          <w:tcPr>
            <w:tcW w:w="764" w:type="dxa"/>
            <w:vAlign w:val="center"/>
          </w:tcPr>
          <w:p w14:paraId="013F435C" w14:textId="563B6B08"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2.6%</w:t>
            </w:r>
          </w:p>
        </w:tc>
        <w:tc>
          <w:tcPr>
            <w:tcW w:w="764" w:type="dxa"/>
            <w:vAlign w:val="center"/>
          </w:tcPr>
          <w:p w14:paraId="7307CF66" w14:textId="4085FB41"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-0.6%</w:t>
            </w:r>
          </w:p>
        </w:tc>
      </w:tr>
      <w:tr w:rsidR="00194F6F" w:rsidRPr="00733BD9" w14:paraId="4CF68952" w14:textId="77777777" w:rsidTr="00273924">
        <w:trPr>
          <w:trHeight w:val="240"/>
        </w:trPr>
        <w:tc>
          <w:tcPr>
            <w:tcW w:w="2875" w:type="dxa"/>
            <w:tcBorders>
              <w:right w:val="single" w:sz="4" w:space="0" w:color="auto"/>
            </w:tcBorders>
            <w:shd w:val="clear" w:color="auto" w:fill="auto"/>
            <w:noWrap/>
            <w:vAlign w:val="center"/>
            <w:hideMark/>
          </w:tcPr>
          <w:p w14:paraId="2C83F48F" w14:textId="6D0768DC"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Manufacturing</w:t>
            </w:r>
          </w:p>
        </w:tc>
        <w:tc>
          <w:tcPr>
            <w:tcW w:w="759" w:type="dxa"/>
            <w:tcBorders>
              <w:left w:val="single" w:sz="4" w:space="0" w:color="auto"/>
            </w:tcBorders>
            <w:vAlign w:val="center"/>
          </w:tcPr>
          <w:p w14:paraId="5D49EF02"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vAlign w:val="center"/>
          </w:tcPr>
          <w:p w14:paraId="7863107E" w14:textId="6F04D549"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151.5</w:t>
            </w:r>
          </w:p>
        </w:tc>
        <w:tc>
          <w:tcPr>
            <w:tcW w:w="763" w:type="dxa"/>
            <w:vAlign w:val="center"/>
          </w:tcPr>
          <w:p w14:paraId="0B7C99C7" w14:textId="2777483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357.9</w:t>
            </w:r>
          </w:p>
        </w:tc>
        <w:tc>
          <w:tcPr>
            <w:tcW w:w="763" w:type="dxa"/>
            <w:vAlign w:val="center"/>
          </w:tcPr>
          <w:p w14:paraId="46241F44" w14:textId="2619E84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804.4</w:t>
            </w:r>
          </w:p>
        </w:tc>
        <w:tc>
          <w:tcPr>
            <w:tcW w:w="761" w:type="dxa"/>
            <w:tcBorders>
              <w:right w:val="single" w:sz="4" w:space="0" w:color="auto"/>
            </w:tcBorders>
            <w:vAlign w:val="center"/>
          </w:tcPr>
          <w:p w14:paraId="72D0417A" w14:textId="4AF1C403"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929.0</w:t>
            </w:r>
          </w:p>
        </w:tc>
        <w:tc>
          <w:tcPr>
            <w:tcW w:w="763" w:type="dxa"/>
            <w:tcBorders>
              <w:left w:val="single" w:sz="4" w:space="0" w:color="auto"/>
            </w:tcBorders>
            <w:vAlign w:val="center"/>
          </w:tcPr>
          <w:p w14:paraId="3A6CD3FD" w14:textId="37F992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10.7%</w:t>
            </w:r>
          </w:p>
        </w:tc>
        <w:tc>
          <w:tcPr>
            <w:tcW w:w="763" w:type="dxa"/>
            <w:vAlign w:val="center"/>
          </w:tcPr>
          <w:p w14:paraId="7C0D75AF" w14:textId="7C749DDE"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4.7%</w:t>
            </w:r>
          </w:p>
        </w:tc>
        <w:tc>
          <w:tcPr>
            <w:tcW w:w="764" w:type="dxa"/>
            <w:vAlign w:val="center"/>
          </w:tcPr>
          <w:p w14:paraId="2B68C68B" w14:textId="20D94829"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18.8%</w:t>
            </w:r>
          </w:p>
        </w:tc>
        <w:tc>
          <w:tcPr>
            <w:tcW w:w="764" w:type="dxa"/>
            <w:vAlign w:val="center"/>
          </w:tcPr>
          <w:p w14:paraId="6D9581A8" w14:textId="4AB1FFC5"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17.6%</w:t>
            </w:r>
          </w:p>
        </w:tc>
        <w:tc>
          <w:tcPr>
            <w:tcW w:w="764" w:type="dxa"/>
            <w:vAlign w:val="center"/>
          </w:tcPr>
          <w:p w14:paraId="1B9C0EF5" w14:textId="29AE0F38"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4.9%</w:t>
            </w:r>
          </w:p>
        </w:tc>
      </w:tr>
      <w:tr w:rsidR="00194F6F" w:rsidRPr="00733BD9" w14:paraId="4CCB7A79" w14:textId="77777777" w:rsidTr="00273924">
        <w:trPr>
          <w:trHeight w:val="240"/>
        </w:trPr>
        <w:tc>
          <w:tcPr>
            <w:tcW w:w="2875" w:type="dxa"/>
            <w:tcBorders>
              <w:right w:val="single" w:sz="4" w:space="0" w:color="auto"/>
            </w:tcBorders>
            <w:shd w:val="clear" w:color="auto" w:fill="auto"/>
            <w:noWrap/>
            <w:vAlign w:val="center"/>
            <w:hideMark/>
          </w:tcPr>
          <w:p w14:paraId="28FEF119" w14:textId="75D1B887"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Construction</w:t>
            </w:r>
          </w:p>
        </w:tc>
        <w:tc>
          <w:tcPr>
            <w:tcW w:w="759" w:type="dxa"/>
            <w:tcBorders>
              <w:left w:val="single" w:sz="4" w:space="0" w:color="auto"/>
            </w:tcBorders>
            <w:vAlign w:val="center"/>
          </w:tcPr>
          <w:p w14:paraId="57740B8C"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vAlign w:val="center"/>
          </w:tcPr>
          <w:p w14:paraId="19EBCDEE" w14:textId="158AAB5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105.3</w:t>
            </w:r>
          </w:p>
        </w:tc>
        <w:tc>
          <w:tcPr>
            <w:tcW w:w="763" w:type="dxa"/>
            <w:vAlign w:val="center"/>
          </w:tcPr>
          <w:p w14:paraId="0647F5A9" w14:textId="03DBF3D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198.4</w:t>
            </w:r>
          </w:p>
        </w:tc>
        <w:tc>
          <w:tcPr>
            <w:tcW w:w="763" w:type="dxa"/>
            <w:vAlign w:val="center"/>
          </w:tcPr>
          <w:p w14:paraId="11A811D7" w14:textId="28261A4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280.6</w:t>
            </w:r>
          </w:p>
        </w:tc>
        <w:tc>
          <w:tcPr>
            <w:tcW w:w="761" w:type="dxa"/>
            <w:tcBorders>
              <w:right w:val="single" w:sz="4" w:space="0" w:color="auto"/>
            </w:tcBorders>
            <w:vAlign w:val="center"/>
          </w:tcPr>
          <w:p w14:paraId="77C1167B" w14:textId="58CBF9B3"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283.2</w:t>
            </w:r>
          </w:p>
        </w:tc>
        <w:tc>
          <w:tcPr>
            <w:tcW w:w="763" w:type="dxa"/>
            <w:tcBorders>
              <w:left w:val="single" w:sz="4" w:space="0" w:color="auto"/>
            </w:tcBorders>
            <w:vAlign w:val="center"/>
          </w:tcPr>
          <w:p w14:paraId="4588616C" w14:textId="2437404A"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4.8%</w:t>
            </w:r>
          </w:p>
        </w:tc>
        <w:tc>
          <w:tcPr>
            <w:tcW w:w="763" w:type="dxa"/>
            <w:vAlign w:val="center"/>
          </w:tcPr>
          <w:p w14:paraId="1C0E45ED" w14:textId="76AA1ED0"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0.6%</w:t>
            </w:r>
          </w:p>
        </w:tc>
        <w:tc>
          <w:tcPr>
            <w:tcW w:w="764" w:type="dxa"/>
            <w:vAlign w:val="center"/>
          </w:tcPr>
          <w:p w14:paraId="6A9D58D5" w14:textId="776CF9C9"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13.5%</w:t>
            </w:r>
          </w:p>
        </w:tc>
        <w:tc>
          <w:tcPr>
            <w:tcW w:w="764" w:type="dxa"/>
            <w:vAlign w:val="center"/>
          </w:tcPr>
          <w:p w14:paraId="3165C503" w14:textId="2AB78756"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7.2%</w:t>
            </w:r>
          </w:p>
        </w:tc>
        <w:tc>
          <w:tcPr>
            <w:tcW w:w="764" w:type="dxa"/>
            <w:vAlign w:val="center"/>
          </w:tcPr>
          <w:p w14:paraId="2843D191" w14:textId="5DCFB6B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0.3%</w:t>
            </w:r>
          </w:p>
        </w:tc>
      </w:tr>
      <w:tr w:rsidR="00194F6F" w:rsidRPr="00733BD9" w14:paraId="2F990C88" w14:textId="77777777" w:rsidTr="00273924">
        <w:trPr>
          <w:trHeight w:val="240"/>
        </w:trPr>
        <w:tc>
          <w:tcPr>
            <w:tcW w:w="2875" w:type="dxa"/>
            <w:tcBorders>
              <w:right w:val="single" w:sz="4" w:space="0" w:color="auto"/>
            </w:tcBorders>
            <w:shd w:val="clear" w:color="auto" w:fill="auto"/>
            <w:noWrap/>
            <w:vAlign w:val="center"/>
            <w:hideMark/>
          </w:tcPr>
          <w:p w14:paraId="352642C8" w14:textId="01DC9B8A"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Wholesale and retail</w:t>
            </w:r>
          </w:p>
        </w:tc>
        <w:tc>
          <w:tcPr>
            <w:tcW w:w="759" w:type="dxa"/>
            <w:tcBorders>
              <w:left w:val="single" w:sz="4" w:space="0" w:color="auto"/>
            </w:tcBorders>
            <w:vAlign w:val="center"/>
          </w:tcPr>
          <w:p w14:paraId="17DCCFCB"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vAlign w:val="center"/>
          </w:tcPr>
          <w:p w14:paraId="0D1C701F" w14:textId="04A0BD4F"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135.5</w:t>
            </w:r>
          </w:p>
        </w:tc>
        <w:tc>
          <w:tcPr>
            <w:tcW w:w="763" w:type="dxa"/>
            <w:vAlign w:val="center"/>
          </w:tcPr>
          <w:p w14:paraId="170612C8" w14:textId="258B2FBB"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192.7</w:t>
            </w:r>
          </w:p>
        </w:tc>
        <w:tc>
          <w:tcPr>
            <w:tcW w:w="763" w:type="dxa"/>
            <w:vAlign w:val="center"/>
          </w:tcPr>
          <w:p w14:paraId="5F0B3B00" w14:textId="67B2DCF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266.4</w:t>
            </w:r>
          </w:p>
        </w:tc>
        <w:tc>
          <w:tcPr>
            <w:tcW w:w="761" w:type="dxa"/>
            <w:tcBorders>
              <w:right w:val="single" w:sz="4" w:space="0" w:color="auto"/>
            </w:tcBorders>
            <w:vAlign w:val="center"/>
          </w:tcPr>
          <w:p w14:paraId="4CE35F9E" w14:textId="53D3ED3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292.0</w:t>
            </w:r>
          </w:p>
        </w:tc>
        <w:tc>
          <w:tcPr>
            <w:tcW w:w="763" w:type="dxa"/>
            <w:tcBorders>
              <w:left w:val="single" w:sz="4" w:space="0" w:color="auto"/>
            </w:tcBorders>
            <w:vAlign w:val="center"/>
          </w:tcPr>
          <w:p w14:paraId="49D80A76" w14:textId="0440FA28"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5.0%</w:t>
            </w:r>
          </w:p>
        </w:tc>
        <w:tc>
          <w:tcPr>
            <w:tcW w:w="763" w:type="dxa"/>
            <w:vAlign w:val="center"/>
          </w:tcPr>
          <w:p w14:paraId="00163773" w14:textId="4BC97E76"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3.4%</w:t>
            </w:r>
          </w:p>
        </w:tc>
        <w:tc>
          <w:tcPr>
            <w:tcW w:w="764" w:type="dxa"/>
            <w:vAlign w:val="center"/>
          </w:tcPr>
          <w:p w14:paraId="6F59DD70" w14:textId="0C055BF9"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7.3%</w:t>
            </w:r>
          </w:p>
        </w:tc>
        <w:tc>
          <w:tcPr>
            <w:tcW w:w="764" w:type="dxa"/>
            <w:vAlign w:val="center"/>
          </w:tcPr>
          <w:p w14:paraId="65910766" w14:textId="44A61089"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6.7%</w:t>
            </w:r>
          </w:p>
        </w:tc>
        <w:tc>
          <w:tcPr>
            <w:tcW w:w="764" w:type="dxa"/>
            <w:vAlign w:val="center"/>
          </w:tcPr>
          <w:p w14:paraId="07D5C952" w14:textId="31D530A3"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3.1%</w:t>
            </w:r>
          </w:p>
        </w:tc>
      </w:tr>
      <w:tr w:rsidR="00194F6F" w:rsidRPr="00733BD9" w14:paraId="1D870F28" w14:textId="77777777" w:rsidTr="00273924">
        <w:trPr>
          <w:trHeight w:val="240"/>
        </w:trPr>
        <w:tc>
          <w:tcPr>
            <w:tcW w:w="2875" w:type="dxa"/>
            <w:tcBorders>
              <w:right w:val="single" w:sz="4" w:space="0" w:color="auto"/>
            </w:tcBorders>
            <w:shd w:val="clear" w:color="auto" w:fill="auto"/>
            <w:noWrap/>
            <w:vAlign w:val="center"/>
            <w:hideMark/>
          </w:tcPr>
          <w:p w14:paraId="1D828AA9" w14:textId="63D947A6"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 xml:space="preserve">Transport, storage, </w:t>
            </w:r>
            <w:proofErr w:type="spellStart"/>
            <w:r w:rsidRPr="00733BD9">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340E3349"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vAlign w:val="center"/>
          </w:tcPr>
          <w:p w14:paraId="1FD252B6" w14:textId="5AB7A10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176.6</w:t>
            </w:r>
          </w:p>
        </w:tc>
        <w:tc>
          <w:tcPr>
            <w:tcW w:w="763" w:type="dxa"/>
            <w:vAlign w:val="center"/>
          </w:tcPr>
          <w:p w14:paraId="62BBC5C4" w14:textId="51A94BC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290.5</w:t>
            </w:r>
          </w:p>
        </w:tc>
        <w:tc>
          <w:tcPr>
            <w:tcW w:w="763" w:type="dxa"/>
            <w:vAlign w:val="center"/>
          </w:tcPr>
          <w:p w14:paraId="589ECC24" w14:textId="66CD0102"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436.6</w:t>
            </w:r>
          </w:p>
        </w:tc>
        <w:tc>
          <w:tcPr>
            <w:tcW w:w="761" w:type="dxa"/>
            <w:tcBorders>
              <w:right w:val="single" w:sz="4" w:space="0" w:color="auto"/>
            </w:tcBorders>
            <w:vAlign w:val="center"/>
          </w:tcPr>
          <w:p w14:paraId="5F0A560C" w14:textId="61ACA342"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508.9</w:t>
            </w:r>
          </w:p>
        </w:tc>
        <w:tc>
          <w:tcPr>
            <w:tcW w:w="763" w:type="dxa"/>
            <w:tcBorders>
              <w:left w:val="single" w:sz="4" w:space="0" w:color="auto"/>
            </w:tcBorders>
            <w:vAlign w:val="center"/>
          </w:tcPr>
          <w:p w14:paraId="2A93E373" w14:textId="37000CA5"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7.7%</w:t>
            </w:r>
          </w:p>
        </w:tc>
        <w:tc>
          <w:tcPr>
            <w:tcW w:w="763" w:type="dxa"/>
            <w:vAlign w:val="center"/>
          </w:tcPr>
          <w:p w14:paraId="06898B7F" w14:textId="17F1DE7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6.5%</w:t>
            </w:r>
          </w:p>
        </w:tc>
        <w:tc>
          <w:tcPr>
            <w:tcW w:w="764" w:type="dxa"/>
            <w:vAlign w:val="center"/>
          </w:tcPr>
          <w:p w14:paraId="65B93D02" w14:textId="34F09B34"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10.5%</w:t>
            </w:r>
          </w:p>
        </w:tc>
        <w:tc>
          <w:tcPr>
            <w:tcW w:w="764" w:type="dxa"/>
            <w:vAlign w:val="center"/>
          </w:tcPr>
          <w:p w14:paraId="0E666692" w14:textId="0D7EEC2A"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8.5%</w:t>
            </w:r>
          </w:p>
        </w:tc>
        <w:tc>
          <w:tcPr>
            <w:tcW w:w="764" w:type="dxa"/>
            <w:vAlign w:val="center"/>
          </w:tcPr>
          <w:p w14:paraId="0979B7A6" w14:textId="5936CBA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5.2%</w:t>
            </w:r>
          </w:p>
        </w:tc>
      </w:tr>
      <w:tr w:rsidR="00194F6F" w:rsidRPr="00733BD9" w14:paraId="54E24796" w14:textId="77777777" w:rsidTr="00273924">
        <w:trPr>
          <w:trHeight w:val="240"/>
        </w:trPr>
        <w:tc>
          <w:tcPr>
            <w:tcW w:w="2875" w:type="dxa"/>
            <w:tcBorders>
              <w:bottom w:val="single" w:sz="4" w:space="0" w:color="auto"/>
              <w:right w:val="single" w:sz="4" w:space="0" w:color="auto"/>
            </w:tcBorders>
            <w:shd w:val="clear" w:color="auto" w:fill="auto"/>
            <w:noWrap/>
            <w:vAlign w:val="center"/>
            <w:hideMark/>
          </w:tcPr>
          <w:p w14:paraId="615D3FAE" w14:textId="595AD29E" w:rsidR="00194F6F" w:rsidRPr="00733BD9" w:rsidRDefault="00194F6F" w:rsidP="00194F6F">
            <w:pPr>
              <w:rPr>
                <w:rFonts w:ascii="Arial" w:eastAsia="Times New Roman" w:hAnsi="Arial" w:cs="Arial"/>
                <w:sz w:val="17"/>
                <w:szCs w:val="17"/>
                <w:lang w:eastAsia="en-GB"/>
              </w:rPr>
            </w:pPr>
            <w:r w:rsidRPr="00733BD9">
              <w:rPr>
                <w:rFonts w:ascii="Arial" w:eastAsia="Times New Roman" w:hAnsi="Arial" w:cs="Arial"/>
                <w:sz w:val="17"/>
                <w:szCs w:val="17"/>
                <w:lang w:eastAsia="en-GB"/>
              </w:rPr>
              <w:t>Other (</w:t>
            </w:r>
            <w:proofErr w:type="spellStart"/>
            <w:r w:rsidRPr="00733BD9">
              <w:rPr>
                <w:rFonts w:ascii="Arial" w:eastAsia="Times New Roman" w:hAnsi="Arial" w:cs="Arial"/>
                <w:sz w:val="17"/>
                <w:szCs w:val="17"/>
                <w:lang w:eastAsia="en-GB"/>
              </w:rPr>
              <w:t>inc.</w:t>
            </w:r>
            <w:proofErr w:type="spellEnd"/>
            <w:r w:rsidRPr="00733BD9">
              <w:rPr>
                <w:rFonts w:ascii="Arial" w:eastAsia="Times New Roman" w:hAnsi="Arial" w:cs="Arial"/>
                <w:sz w:val="17"/>
                <w:szCs w:val="17"/>
                <w:lang w:eastAsia="en-GB"/>
              </w:rPr>
              <w:t xml:space="preserve"> hotels/restaurants and gas/electricity)</w:t>
            </w:r>
          </w:p>
        </w:tc>
        <w:tc>
          <w:tcPr>
            <w:tcW w:w="759" w:type="dxa"/>
            <w:tcBorders>
              <w:left w:val="single" w:sz="4" w:space="0" w:color="auto"/>
              <w:bottom w:val="single" w:sz="4" w:space="0" w:color="auto"/>
            </w:tcBorders>
            <w:vAlign w:val="center"/>
          </w:tcPr>
          <w:p w14:paraId="5160E15C" w14:textId="77777777"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7"/>
                <w:lang w:eastAsia="en-GB"/>
              </w:rPr>
              <w:t>100</w:t>
            </w:r>
          </w:p>
        </w:tc>
        <w:tc>
          <w:tcPr>
            <w:tcW w:w="763" w:type="dxa"/>
            <w:tcBorders>
              <w:bottom w:val="single" w:sz="4" w:space="0" w:color="auto"/>
            </w:tcBorders>
            <w:vAlign w:val="center"/>
          </w:tcPr>
          <w:p w14:paraId="0CB25686" w14:textId="263032BE"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114.9</w:t>
            </w:r>
          </w:p>
        </w:tc>
        <w:tc>
          <w:tcPr>
            <w:tcW w:w="763" w:type="dxa"/>
            <w:tcBorders>
              <w:bottom w:val="single" w:sz="4" w:space="0" w:color="auto"/>
            </w:tcBorders>
            <w:vAlign w:val="center"/>
          </w:tcPr>
          <w:p w14:paraId="30AE0CD3" w14:textId="221771C6"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161.4</w:t>
            </w:r>
          </w:p>
        </w:tc>
        <w:tc>
          <w:tcPr>
            <w:tcW w:w="763" w:type="dxa"/>
            <w:tcBorders>
              <w:bottom w:val="single" w:sz="4" w:space="0" w:color="auto"/>
            </w:tcBorders>
            <w:vAlign w:val="center"/>
          </w:tcPr>
          <w:p w14:paraId="202ED2B2" w14:textId="78748F18"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194.9</w:t>
            </w:r>
          </w:p>
        </w:tc>
        <w:tc>
          <w:tcPr>
            <w:tcW w:w="761" w:type="dxa"/>
            <w:tcBorders>
              <w:bottom w:val="single" w:sz="4" w:space="0" w:color="auto"/>
              <w:right w:val="single" w:sz="4" w:space="0" w:color="auto"/>
            </w:tcBorders>
            <w:vAlign w:val="center"/>
          </w:tcPr>
          <w:p w14:paraId="3F55BA8D" w14:textId="2AA28794"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243.1</w:t>
            </w:r>
          </w:p>
        </w:tc>
        <w:tc>
          <w:tcPr>
            <w:tcW w:w="763" w:type="dxa"/>
            <w:tcBorders>
              <w:left w:val="single" w:sz="4" w:space="0" w:color="auto"/>
              <w:bottom w:val="single" w:sz="4" w:space="0" w:color="auto"/>
            </w:tcBorders>
            <w:vAlign w:val="center"/>
          </w:tcPr>
          <w:p w14:paraId="56E27C6D" w14:textId="3837F5FC" w:rsidR="00194F6F" w:rsidRPr="00733BD9" w:rsidRDefault="00194F6F" w:rsidP="00194F6F">
            <w:pPr>
              <w:ind w:left="72" w:right="72"/>
              <w:jc w:val="right"/>
              <w:rPr>
                <w:rFonts w:ascii="Arial" w:eastAsia="Times New Roman" w:hAnsi="Arial" w:cs="Arial"/>
                <w:sz w:val="17"/>
                <w:szCs w:val="17"/>
                <w:lang w:eastAsia="en-GB"/>
              </w:rPr>
            </w:pPr>
            <w:r w:rsidRPr="00733BD9">
              <w:rPr>
                <w:rFonts w:ascii="Arial" w:eastAsia="Times New Roman" w:hAnsi="Arial" w:cs="Arial"/>
                <w:sz w:val="17"/>
                <w:szCs w:val="18"/>
                <w:lang w:eastAsia="en-GB"/>
              </w:rPr>
              <w:t>4.1%</w:t>
            </w:r>
          </w:p>
        </w:tc>
        <w:tc>
          <w:tcPr>
            <w:tcW w:w="763" w:type="dxa"/>
            <w:tcBorders>
              <w:bottom w:val="single" w:sz="4" w:space="0" w:color="auto"/>
            </w:tcBorders>
            <w:vAlign w:val="center"/>
          </w:tcPr>
          <w:p w14:paraId="49CC4D32" w14:textId="55E48762"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1.6%</w:t>
            </w:r>
          </w:p>
        </w:tc>
        <w:tc>
          <w:tcPr>
            <w:tcW w:w="764" w:type="dxa"/>
            <w:tcBorders>
              <w:bottom w:val="single" w:sz="4" w:space="0" w:color="auto"/>
            </w:tcBorders>
            <w:vAlign w:val="center"/>
          </w:tcPr>
          <w:p w14:paraId="3DBA4AB6" w14:textId="3B2A9557"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7.0%</w:t>
            </w:r>
          </w:p>
        </w:tc>
        <w:tc>
          <w:tcPr>
            <w:tcW w:w="764" w:type="dxa"/>
            <w:tcBorders>
              <w:bottom w:val="single" w:sz="4" w:space="0" w:color="auto"/>
            </w:tcBorders>
            <w:vAlign w:val="center"/>
          </w:tcPr>
          <w:p w14:paraId="2ED0EFE6" w14:textId="6BB0032B"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3.8%</w:t>
            </w:r>
          </w:p>
        </w:tc>
        <w:tc>
          <w:tcPr>
            <w:tcW w:w="764" w:type="dxa"/>
            <w:tcBorders>
              <w:bottom w:val="single" w:sz="4" w:space="0" w:color="auto"/>
            </w:tcBorders>
            <w:vAlign w:val="center"/>
          </w:tcPr>
          <w:p w14:paraId="209024D8" w14:textId="5A767D48" w:rsidR="00194F6F" w:rsidRPr="00733BD9" w:rsidRDefault="00194F6F" w:rsidP="00194F6F">
            <w:pPr>
              <w:ind w:left="72" w:right="72"/>
              <w:jc w:val="right"/>
              <w:rPr>
                <w:rFonts w:ascii="Arial" w:hAnsi="Arial" w:cs="Arial"/>
                <w:sz w:val="17"/>
                <w:szCs w:val="17"/>
              </w:rPr>
            </w:pPr>
            <w:r w:rsidRPr="00733BD9">
              <w:rPr>
                <w:rFonts w:ascii="Arial" w:eastAsia="Times New Roman" w:hAnsi="Arial" w:cs="Arial"/>
                <w:sz w:val="17"/>
                <w:szCs w:val="18"/>
                <w:lang w:eastAsia="en-GB"/>
              </w:rPr>
              <w:t>7.6%</w:t>
            </w:r>
          </w:p>
        </w:tc>
      </w:tr>
      <w:tr w:rsidR="00194F6F" w:rsidRPr="00733BD9" w14:paraId="443151D5" w14:textId="77777777" w:rsidTr="00273924">
        <w:trPr>
          <w:trHeight w:val="240"/>
        </w:trPr>
        <w:tc>
          <w:tcPr>
            <w:tcW w:w="2875" w:type="dxa"/>
            <w:tcBorders>
              <w:bottom w:val="single" w:sz="4" w:space="0" w:color="auto"/>
              <w:right w:val="single" w:sz="4" w:space="0" w:color="auto"/>
            </w:tcBorders>
            <w:shd w:val="clear" w:color="auto" w:fill="auto"/>
            <w:noWrap/>
            <w:vAlign w:val="center"/>
          </w:tcPr>
          <w:p w14:paraId="07E12C86" w14:textId="77777777" w:rsidR="00194F6F" w:rsidRPr="00733BD9" w:rsidRDefault="00194F6F" w:rsidP="00194F6F">
            <w:pPr>
              <w:rPr>
                <w:rFonts w:ascii="Arial" w:eastAsia="Times New Roman" w:hAnsi="Arial" w:cs="Arial"/>
                <w:b/>
                <w:iCs/>
                <w:sz w:val="17"/>
                <w:szCs w:val="17"/>
                <w:lang w:eastAsia="en-GB"/>
              </w:rPr>
            </w:pPr>
            <w:r w:rsidRPr="00733BD9">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6475BACA" w14:textId="77777777" w:rsidR="00194F6F" w:rsidRPr="00733BD9" w:rsidRDefault="00194F6F" w:rsidP="00194F6F">
            <w:pPr>
              <w:ind w:left="72" w:right="72"/>
              <w:jc w:val="right"/>
              <w:rPr>
                <w:rFonts w:ascii="Arial" w:eastAsia="Times New Roman" w:hAnsi="Arial" w:cs="Arial"/>
                <w:b/>
                <w:i/>
                <w:iCs/>
                <w:sz w:val="17"/>
                <w:szCs w:val="17"/>
                <w:lang w:eastAsia="en-GB"/>
              </w:rPr>
            </w:pPr>
            <w:r w:rsidRPr="00733BD9">
              <w:rPr>
                <w:rFonts w:ascii="Arial" w:eastAsia="Times New Roman" w:hAnsi="Arial" w:cs="Arial"/>
                <w:b/>
                <w:sz w:val="17"/>
                <w:szCs w:val="17"/>
                <w:lang w:eastAsia="en-GB"/>
              </w:rPr>
              <w:t>100</w:t>
            </w:r>
          </w:p>
        </w:tc>
        <w:tc>
          <w:tcPr>
            <w:tcW w:w="763" w:type="dxa"/>
            <w:tcBorders>
              <w:bottom w:val="single" w:sz="4" w:space="0" w:color="auto"/>
            </w:tcBorders>
            <w:vAlign w:val="center"/>
          </w:tcPr>
          <w:p w14:paraId="138BB45F" w14:textId="0EB12C52" w:rsidR="00194F6F" w:rsidRPr="00733BD9" w:rsidRDefault="00194F6F" w:rsidP="00194F6F">
            <w:pPr>
              <w:ind w:left="72" w:right="72"/>
              <w:jc w:val="right"/>
              <w:rPr>
                <w:rFonts w:ascii="Arial" w:eastAsia="Times New Roman" w:hAnsi="Arial" w:cs="Arial"/>
                <w:b/>
                <w:i/>
                <w:iCs/>
                <w:sz w:val="17"/>
                <w:szCs w:val="17"/>
                <w:lang w:eastAsia="en-GB"/>
              </w:rPr>
            </w:pPr>
            <w:r w:rsidRPr="00733BD9">
              <w:rPr>
                <w:rFonts w:ascii="Arial" w:eastAsia="Times New Roman" w:hAnsi="Arial" w:cs="Arial"/>
                <w:b/>
                <w:sz w:val="17"/>
                <w:szCs w:val="18"/>
                <w:lang w:eastAsia="en-GB"/>
              </w:rPr>
              <w:t>154.3</w:t>
            </w:r>
          </w:p>
        </w:tc>
        <w:tc>
          <w:tcPr>
            <w:tcW w:w="763" w:type="dxa"/>
            <w:tcBorders>
              <w:bottom w:val="single" w:sz="4" w:space="0" w:color="auto"/>
            </w:tcBorders>
            <w:vAlign w:val="center"/>
          </w:tcPr>
          <w:p w14:paraId="719363F2" w14:textId="3DFDEE40" w:rsidR="00194F6F" w:rsidRPr="00733BD9" w:rsidRDefault="00194F6F" w:rsidP="00194F6F">
            <w:pPr>
              <w:ind w:left="72" w:right="72"/>
              <w:jc w:val="right"/>
              <w:rPr>
                <w:rFonts w:ascii="Arial" w:eastAsia="Times New Roman" w:hAnsi="Arial" w:cs="Arial"/>
                <w:b/>
                <w:i/>
                <w:iCs/>
                <w:sz w:val="17"/>
                <w:szCs w:val="17"/>
                <w:lang w:eastAsia="en-GB"/>
              </w:rPr>
            </w:pPr>
            <w:r w:rsidRPr="00733BD9">
              <w:rPr>
                <w:rFonts w:ascii="Arial" w:eastAsia="Times New Roman" w:hAnsi="Arial" w:cs="Arial"/>
                <w:b/>
                <w:sz w:val="17"/>
                <w:szCs w:val="18"/>
                <w:lang w:eastAsia="en-GB"/>
              </w:rPr>
              <w:t>263.7</w:t>
            </w:r>
          </w:p>
        </w:tc>
        <w:tc>
          <w:tcPr>
            <w:tcW w:w="763" w:type="dxa"/>
            <w:tcBorders>
              <w:bottom w:val="single" w:sz="4" w:space="0" w:color="auto"/>
            </w:tcBorders>
            <w:vAlign w:val="center"/>
          </w:tcPr>
          <w:p w14:paraId="3E6E2709" w14:textId="51A9EA63" w:rsidR="00194F6F" w:rsidRPr="00733BD9" w:rsidRDefault="00194F6F" w:rsidP="00194F6F">
            <w:pPr>
              <w:ind w:left="72" w:right="72"/>
              <w:jc w:val="right"/>
              <w:rPr>
                <w:rFonts w:ascii="Arial" w:eastAsia="Times New Roman" w:hAnsi="Arial" w:cs="Arial"/>
                <w:b/>
                <w:i/>
                <w:iCs/>
                <w:sz w:val="17"/>
                <w:szCs w:val="17"/>
                <w:lang w:eastAsia="en-GB"/>
              </w:rPr>
            </w:pPr>
            <w:r w:rsidRPr="00733BD9">
              <w:rPr>
                <w:rFonts w:ascii="Arial" w:eastAsia="Times New Roman" w:hAnsi="Arial" w:cs="Arial"/>
                <w:b/>
                <w:sz w:val="17"/>
                <w:szCs w:val="18"/>
                <w:lang w:eastAsia="en-GB"/>
              </w:rPr>
              <w:t>415.5</w:t>
            </w:r>
          </w:p>
        </w:tc>
        <w:tc>
          <w:tcPr>
            <w:tcW w:w="761" w:type="dxa"/>
            <w:tcBorders>
              <w:bottom w:val="single" w:sz="4" w:space="0" w:color="auto"/>
              <w:right w:val="single" w:sz="4" w:space="0" w:color="auto"/>
            </w:tcBorders>
            <w:vAlign w:val="center"/>
          </w:tcPr>
          <w:p w14:paraId="22DC624F" w14:textId="7E91A955" w:rsidR="00194F6F" w:rsidRPr="00733BD9" w:rsidRDefault="00194F6F" w:rsidP="00194F6F">
            <w:pPr>
              <w:ind w:left="72" w:right="72"/>
              <w:jc w:val="right"/>
              <w:rPr>
                <w:rFonts w:ascii="Arial" w:eastAsia="Times New Roman" w:hAnsi="Arial" w:cs="Arial"/>
                <w:b/>
                <w:i/>
                <w:iCs/>
                <w:sz w:val="17"/>
                <w:szCs w:val="17"/>
                <w:lang w:eastAsia="en-GB"/>
              </w:rPr>
            </w:pPr>
            <w:r w:rsidRPr="00733BD9">
              <w:rPr>
                <w:rFonts w:ascii="Arial" w:eastAsia="Times New Roman" w:hAnsi="Arial" w:cs="Arial"/>
                <w:b/>
                <w:sz w:val="17"/>
                <w:szCs w:val="18"/>
                <w:lang w:eastAsia="en-GB"/>
              </w:rPr>
              <w:t>483.2</w:t>
            </w:r>
          </w:p>
        </w:tc>
        <w:tc>
          <w:tcPr>
            <w:tcW w:w="763" w:type="dxa"/>
            <w:tcBorders>
              <w:left w:val="single" w:sz="4" w:space="0" w:color="auto"/>
              <w:bottom w:val="single" w:sz="4" w:space="0" w:color="auto"/>
            </w:tcBorders>
            <w:vAlign w:val="center"/>
          </w:tcPr>
          <w:p w14:paraId="7BB42299" w14:textId="351A2C1F" w:rsidR="00194F6F" w:rsidRPr="00733BD9" w:rsidRDefault="00194F6F" w:rsidP="00194F6F">
            <w:pPr>
              <w:ind w:left="72" w:right="72"/>
              <w:jc w:val="right"/>
              <w:rPr>
                <w:rFonts w:ascii="Arial" w:eastAsia="Times New Roman" w:hAnsi="Arial" w:cs="Arial"/>
                <w:b/>
                <w:i/>
                <w:iCs/>
                <w:sz w:val="17"/>
                <w:szCs w:val="17"/>
                <w:lang w:eastAsia="en-GB"/>
              </w:rPr>
            </w:pPr>
            <w:r w:rsidRPr="00733BD9">
              <w:rPr>
                <w:rFonts w:ascii="Arial" w:eastAsia="Times New Roman" w:hAnsi="Arial" w:cs="Arial"/>
                <w:b/>
                <w:sz w:val="17"/>
                <w:szCs w:val="18"/>
                <w:lang w:eastAsia="en-GB"/>
              </w:rPr>
              <w:t>7.4%</w:t>
            </w:r>
          </w:p>
        </w:tc>
        <w:tc>
          <w:tcPr>
            <w:tcW w:w="763" w:type="dxa"/>
            <w:tcBorders>
              <w:bottom w:val="single" w:sz="4" w:space="0" w:color="auto"/>
            </w:tcBorders>
            <w:vAlign w:val="center"/>
          </w:tcPr>
          <w:p w14:paraId="48A046BC" w14:textId="481B800C"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sz w:val="17"/>
                <w:szCs w:val="18"/>
                <w:lang w:eastAsia="en-GB"/>
              </w:rPr>
              <w:t>4.9%</w:t>
            </w:r>
          </w:p>
        </w:tc>
        <w:tc>
          <w:tcPr>
            <w:tcW w:w="764" w:type="dxa"/>
            <w:tcBorders>
              <w:bottom w:val="single" w:sz="4" w:space="0" w:color="auto"/>
            </w:tcBorders>
            <w:vAlign w:val="center"/>
          </w:tcPr>
          <w:p w14:paraId="47C67D94" w14:textId="620C1D94"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sz w:val="17"/>
                <w:szCs w:val="18"/>
                <w:lang w:eastAsia="en-GB"/>
              </w:rPr>
              <w:t>11.3%</w:t>
            </w:r>
          </w:p>
        </w:tc>
        <w:tc>
          <w:tcPr>
            <w:tcW w:w="764" w:type="dxa"/>
            <w:tcBorders>
              <w:bottom w:val="single" w:sz="4" w:space="0" w:color="auto"/>
            </w:tcBorders>
            <w:vAlign w:val="center"/>
          </w:tcPr>
          <w:p w14:paraId="24CC6418" w14:textId="05D7B313"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sz w:val="17"/>
                <w:szCs w:val="18"/>
                <w:lang w:eastAsia="en-GB"/>
              </w:rPr>
              <w:t>9.5%</w:t>
            </w:r>
          </w:p>
        </w:tc>
        <w:tc>
          <w:tcPr>
            <w:tcW w:w="764" w:type="dxa"/>
            <w:tcBorders>
              <w:bottom w:val="single" w:sz="4" w:space="0" w:color="auto"/>
            </w:tcBorders>
            <w:vAlign w:val="center"/>
          </w:tcPr>
          <w:p w14:paraId="5028B194" w14:textId="3EFDA07E" w:rsidR="00194F6F" w:rsidRPr="00733BD9" w:rsidRDefault="00194F6F" w:rsidP="00194F6F">
            <w:pPr>
              <w:ind w:left="72" w:right="72"/>
              <w:jc w:val="right"/>
              <w:rPr>
                <w:rFonts w:ascii="Arial" w:eastAsia="Times New Roman" w:hAnsi="Arial" w:cs="Arial"/>
                <w:b/>
                <w:sz w:val="17"/>
                <w:szCs w:val="17"/>
                <w:lang w:eastAsia="en-GB"/>
              </w:rPr>
            </w:pPr>
            <w:r w:rsidRPr="00733BD9">
              <w:rPr>
                <w:rFonts w:ascii="Arial" w:eastAsia="Times New Roman" w:hAnsi="Arial" w:cs="Arial"/>
                <w:b/>
                <w:sz w:val="17"/>
                <w:szCs w:val="18"/>
                <w:lang w:eastAsia="en-GB"/>
              </w:rPr>
              <w:t>5.2%</w:t>
            </w:r>
          </w:p>
        </w:tc>
      </w:tr>
    </w:tbl>
    <w:p w14:paraId="331D34C4" w14:textId="4FA8AB11" w:rsidR="00194F6F" w:rsidRDefault="00194F6F" w:rsidP="00194F6F">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2"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3" w:history="1">
        <w:r w:rsidRPr="00DC3FEA">
          <w:rPr>
            <w:rStyle w:val="Hyperlink"/>
          </w:rPr>
          <w:t>http://www.ilo.org/global/research/global-reports/weso/2015/lang--en/index.htm</w:t>
        </w:r>
      </w:hyperlink>
      <w:r>
        <w:t>). NB: in the gross value added data for DR Congo, ‘restaurants and hotels’ and ‘gas and electricity’ are included under ‘other’ activities rather than with ‘wholesale and retail’ and ‘mining and utilities’ respectively; to ensure comparability, this was taken into account when aggregating the employment data.</w:t>
      </w:r>
    </w:p>
    <w:p w14:paraId="66CF250C" w14:textId="77777777" w:rsidR="00194F6F" w:rsidRDefault="00194F6F" w:rsidP="00194F6F">
      <w:pPr>
        <w:pStyle w:val="BodyText"/>
      </w:pPr>
    </w:p>
    <w:p w14:paraId="572C5969" w14:textId="77777777" w:rsidR="00194F6F" w:rsidRDefault="00194F6F" w:rsidP="00194F6F">
      <w:pPr>
        <w:pStyle w:val="BodyText"/>
      </w:pPr>
    </w:p>
    <w:p w14:paraId="33CD274F" w14:textId="77777777" w:rsidR="00194F6F" w:rsidRDefault="00194F6F" w:rsidP="00194F6F">
      <w:pPr>
        <w:pStyle w:val="BodyText"/>
      </w:pPr>
    </w:p>
    <w:p w14:paraId="6069D564" w14:textId="77777777" w:rsidR="00194F6F" w:rsidRDefault="00194F6F" w:rsidP="00194F6F">
      <w:pPr>
        <w:pStyle w:val="BodyText"/>
        <w:sectPr w:rsidR="00194F6F" w:rsidSect="00194F6F">
          <w:pgSz w:w="16839" w:h="11907" w:orient="landscape" w:code="9"/>
          <w:pgMar w:top="965" w:right="1469" w:bottom="1440" w:left="1368" w:header="706" w:footer="706" w:gutter="0"/>
          <w:cols w:space="708"/>
          <w:docGrid w:linePitch="360"/>
        </w:sectPr>
      </w:pPr>
    </w:p>
    <w:p w14:paraId="1F37B442" w14:textId="4D819EC3" w:rsidR="00194F6F" w:rsidRDefault="00194F6F" w:rsidP="00194F6F">
      <w:pPr>
        <w:pStyle w:val="FigureHeading"/>
        <w:numPr>
          <w:ilvl w:val="0"/>
          <w:numId w:val="1"/>
        </w:numPr>
        <w:tabs>
          <w:tab w:val="right" w:pos="9806"/>
        </w:tabs>
        <w:rPr>
          <w:color w:val="FF0000"/>
        </w:rPr>
      </w:pPr>
      <w:bookmarkStart w:id="15" w:name="_Toc427753256"/>
      <w:bookmarkStart w:id="16" w:name="_Toc427767257"/>
      <w:bookmarkStart w:id="17" w:name="_Toc427768420"/>
      <w:bookmarkStart w:id="18" w:name="_Toc427857729"/>
      <w:bookmarkStart w:id="19" w:name="_Toc404582444"/>
      <w:r>
        <w:t xml:space="preserve">Relative productivity and changes in employment shares by sector, </w:t>
      </w:r>
      <w:r>
        <w:rPr>
          <w:noProof/>
        </w:rPr>
        <w:t>Myanmar</w:t>
      </w:r>
      <w:r>
        <w:tab/>
      </w:r>
      <w:r w:rsidRPr="001B0E3C">
        <w:rPr>
          <w:color w:val="FF0000"/>
        </w:rPr>
        <w:t>NEW</w:t>
      </w:r>
      <w:bookmarkEnd w:id="15"/>
      <w:bookmarkEnd w:id="16"/>
      <w:bookmarkEnd w:id="17"/>
      <w:bookmarkEnd w:id="18"/>
    </w:p>
    <w:p w14:paraId="370B0CC3" w14:textId="3681A7E2" w:rsidR="00194F6F" w:rsidRPr="000D1333" w:rsidRDefault="00194F6F" w:rsidP="00194F6F">
      <w:pPr>
        <w:pStyle w:val="BodyText"/>
        <w:tabs>
          <w:tab w:val="left" w:pos="1200"/>
        </w:tabs>
      </w:pPr>
      <w:r>
        <w:rPr>
          <w:noProof/>
          <w:lang w:eastAsia="en-GB"/>
        </w:rPr>
        <w:drawing>
          <wp:inline distT="0" distB="0" distL="0" distR="0" wp14:anchorId="7401B329" wp14:editId="0043334B">
            <wp:extent cx="5400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94F6F">
        <w:rPr>
          <w:noProof/>
          <w:lang w:eastAsia="en-GB"/>
        </w:rPr>
        <w:t xml:space="preserve"> </w:t>
      </w:r>
      <w:r>
        <w:rPr>
          <w:noProof/>
          <w:lang w:eastAsia="en-GB"/>
        </w:rPr>
        <w:drawing>
          <wp:inline distT="0" distB="0" distL="0" distR="0" wp14:anchorId="68166EF6" wp14:editId="3FABCD93">
            <wp:extent cx="5400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94F6F">
        <w:rPr>
          <w:noProof/>
          <w:lang w:eastAsia="en-GB"/>
        </w:rPr>
        <w:t xml:space="preserve"> </w:t>
      </w:r>
      <w:r>
        <w:rPr>
          <w:noProof/>
          <w:lang w:eastAsia="en-GB"/>
        </w:rPr>
        <w:drawing>
          <wp:inline distT="0" distB="0" distL="0" distR="0" wp14:anchorId="66DDE81E" wp14:editId="6A1EB138">
            <wp:extent cx="5400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F564F0" w14:textId="7B22F154" w:rsidR="00194F6F" w:rsidRDefault="00194F6F" w:rsidP="00194F6F">
      <w:pPr>
        <w:pStyle w:val="BodyText"/>
        <w:spacing w:before="39" w:after="0" w:line="240" w:lineRule="auto"/>
        <w:jc w:val="left"/>
        <w:rPr>
          <w:noProof/>
          <w:lang w:eastAsia="en-GB"/>
        </w:rPr>
      </w:pPr>
      <w:r>
        <w:rPr>
          <w:noProof/>
          <w:lang w:eastAsia="en-GB"/>
        </w:rPr>
        <w:drawing>
          <wp:inline distT="0" distB="0" distL="0" distR="0" wp14:anchorId="06912AB1" wp14:editId="0A1F6F7E">
            <wp:extent cx="54000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4F23B5" w14:textId="6F695FEE" w:rsidR="00194F6F" w:rsidRPr="00065CA6" w:rsidRDefault="00194F6F" w:rsidP="00194F6F">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28"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29"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r w:rsidR="00CD2A59" w:rsidRPr="00CD2A59">
        <w:t xml:space="preserve"> </w:t>
      </w:r>
      <w:r w:rsidR="00CD2A59">
        <w:t>NB: in the gross value added data for DR Congo, ‘restaurants and hotels’ and ‘gas and electricity’ are included under ‘other’ activities rather than with ‘wholesale and retail’ and ‘mining and utilities’ respectively; this was taken into account when aggregating the employment data.</w:t>
      </w:r>
    </w:p>
    <w:p w14:paraId="7F199AA3" w14:textId="490EAF08" w:rsidR="00194F6F" w:rsidRDefault="00194F6F" w:rsidP="00194F6F">
      <w:pPr>
        <w:rPr>
          <w:rFonts w:ascii="Arial" w:hAnsi="Arial"/>
          <w:i/>
          <w:sz w:val="16"/>
        </w:rPr>
      </w:pPr>
    </w:p>
    <w:p w14:paraId="144E4EC9" w14:textId="00B48C04" w:rsidR="00194F6F" w:rsidRDefault="00194F6F" w:rsidP="00194F6F">
      <w:pPr>
        <w:pStyle w:val="FigureHeading"/>
        <w:numPr>
          <w:ilvl w:val="0"/>
          <w:numId w:val="1"/>
        </w:numPr>
        <w:tabs>
          <w:tab w:val="right" w:pos="9806"/>
        </w:tabs>
      </w:pPr>
      <w:bookmarkStart w:id="20" w:name="_Toc427753257"/>
      <w:bookmarkStart w:id="21" w:name="_Toc427767259"/>
      <w:bookmarkStart w:id="22" w:name="_Toc427768422"/>
      <w:bookmarkStart w:id="23" w:name="_Toc427857730"/>
      <w:bookmarkEnd w:id="19"/>
      <w:r>
        <w:t xml:space="preserve">Decomposition of labour productivity change, </w:t>
      </w:r>
      <w:r w:rsidR="00CD2A59">
        <w:rPr>
          <w:noProof/>
        </w:rPr>
        <w:t>Myanmar</w:t>
      </w:r>
      <w:r>
        <w:t>, 1991–2013</w:t>
      </w:r>
      <w:r>
        <w:tab/>
      </w:r>
      <w:r w:rsidRPr="00DB6A0A">
        <w:rPr>
          <w:color w:val="FF0000"/>
        </w:rPr>
        <w:t>NEW</w:t>
      </w:r>
      <w:bookmarkEnd w:id="20"/>
      <w:bookmarkEnd w:id="21"/>
      <w:bookmarkEnd w:id="22"/>
      <w:bookmarkEnd w:id="23"/>
    </w:p>
    <w:p w14:paraId="1B313A55" w14:textId="49CD489A" w:rsidR="00194F6F" w:rsidRPr="00BC3613" w:rsidRDefault="00CD2A59" w:rsidP="00194F6F">
      <w:pPr>
        <w:pStyle w:val="BodyText"/>
      </w:pPr>
      <w:r>
        <w:rPr>
          <w:noProof/>
          <w:lang w:eastAsia="en-GB"/>
        </w:rPr>
        <w:drawing>
          <wp:inline distT="0" distB="0" distL="0" distR="0" wp14:anchorId="63671BC7" wp14:editId="05A18759">
            <wp:extent cx="4572000" cy="2834640"/>
            <wp:effectExtent l="0" t="0" r="0" b="381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978307" w14:textId="38922FC3" w:rsidR="00194F6F" w:rsidRPr="00E05679" w:rsidRDefault="00194F6F" w:rsidP="00194F6F">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31"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32"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r w:rsidR="00CD2A59" w:rsidRPr="00CD2A59">
        <w:t xml:space="preserve"> </w:t>
      </w:r>
      <w:r w:rsidR="00CD2A59">
        <w:t>NB: in the gross value added data for DR Congo, ‘restaurants and hotels’ and ‘gas and electricity’ are included under ‘other’ activities rather than with ‘wholesale and retail’ and ‘mining and utilities’ respectively; this was taken into account when aggregating the employment data.</w:t>
      </w:r>
    </w:p>
    <w:p w14:paraId="2B65CE57" w14:textId="77777777" w:rsidR="00194F6F" w:rsidRDefault="00194F6F" w:rsidP="00194F6F">
      <w:pPr>
        <w:rPr>
          <w:rFonts w:ascii="Arial" w:hAnsi="Arial"/>
          <w:b/>
          <w:color w:val="006C67" w:themeColor="accent1"/>
          <w:sz w:val="24"/>
        </w:rPr>
      </w:pPr>
      <w:bookmarkStart w:id="24" w:name="_Toc404582445"/>
      <w:bookmarkStart w:id="25" w:name="_Toc406411724"/>
      <w:r>
        <w:br w:type="page"/>
      </w:r>
    </w:p>
    <w:p w14:paraId="7BA9B133" w14:textId="296C1B85" w:rsidR="00194F6F" w:rsidRDefault="00194F6F" w:rsidP="00CD2A59">
      <w:pPr>
        <w:pStyle w:val="FigureHeading"/>
        <w:numPr>
          <w:ilvl w:val="0"/>
          <w:numId w:val="1"/>
        </w:numPr>
        <w:tabs>
          <w:tab w:val="right" w:pos="9806"/>
        </w:tabs>
      </w:pPr>
      <w:bookmarkStart w:id="26" w:name="_Toc427753258"/>
      <w:bookmarkStart w:id="27" w:name="_Toc427767261"/>
      <w:bookmarkStart w:id="28" w:name="_Toc427768424"/>
      <w:bookmarkStart w:id="29" w:name="_Toc427857731"/>
      <w:bookmarkEnd w:id="24"/>
      <w:bookmarkEnd w:id="25"/>
      <w:r w:rsidRPr="00BA5FA0">
        <w:t>Productivity gaps in</w:t>
      </w:r>
      <w:r>
        <w:t xml:space="preserve"> </w:t>
      </w:r>
      <w:r w:rsidR="00CD2A59">
        <w:rPr>
          <w:noProof/>
        </w:rPr>
        <w:t>Myanmar</w:t>
      </w:r>
      <w:r w:rsidRPr="00BA5FA0">
        <w:t>, 201</w:t>
      </w:r>
      <w:r>
        <w:t>3</w:t>
      </w:r>
      <w:r>
        <w:tab/>
      </w:r>
      <w:r w:rsidRPr="00DB6A0A">
        <w:rPr>
          <w:color w:val="FF0000"/>
        </w:rPr>
        <w:t>NEW</w:t>
      </w:r>
      <w:bookmarkEnd w:id="26"/>
      <w:bookmarkEnd w:id="27"/>
      <w:bookmarkEnd w:id="28"/>
      <w:bookmarkEnd w:id="29"/>
    </w:p>
    <w:p w14:paraId="37FFEA50" w14:textId="5C1F2F6E" w:rsidR="00194F6F" w:rsidRDefault="00CD2A59" w:rsidP="00194F6F">
      <w:pPr>
        <w:pStyle w:val="Source"/>
        <w:spacing w:after="0"/>
      </w:pPr>
      <w:r>
        <w:rPr>
          <w:noProof/>
          <w:lang w:eastAsia="en-GB"/>
        </w:rPr>
        <w:drawing>
          <wp:inline distT="0" distB="0" distL="0" distR="0" wp14:anchorId="336B76E3" wp14:editId="3CBCB9D5">
            <wp:extent cx="5400000"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54E8CE" w14:textId="5B3F20E2" w:rsidR="00CD2A59" w:rsidRDefault="00194F6F" w:rsidP="00CD2A59">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34"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35" w:history="1">
        <w:r w:rsidRPr="00BC3613">
          <w:rPr>
            <w:rStyle w:val="Hyperlink"/>
            <w:rFonts w:asciiTheme="majorHAnsi" w:hAnsiTheme="majorHAnsi" w:cstheme="majorHAnsi"/>
            <w:i w:val="0"/>
            <w:szCs w:val="16"/>
          </w:rPr>
          <w:t>http://www.ilo.org/global/research/global-reports/weso/2015/lang--en/index.htm</w:t>
        </w:r>
      </w:hyperlink>
      <w:r w:rsidR="00CD2A59">
        <w:rPr>
          <w:rStyle w:val="Hyperlink"/>
          <w:rFonts w:asciiTheme="majorHAnsi" w:hAnsiTheme="majorHAnsi" w:cstheme="majorHAnsi"/>
          <w:i w:val="0"/>
          <w:szCs w:val="16"/>
        </w:rPr>
        <w:t xml:space="preserve">. </w:t>
      </w:r>
      <w:r w:rsidR="00CD2A59">
        <w:t>NB: in the gross value added data for DR Congo, ‘restaurants and hotels’ and ‘gas and electricity’ are included under ‘other’ activities rather than with ‘wholesale and retail’ and ‘mining and utilities’ respectively; this was taken into account when aggregating the employment data.</w:t>
      </w:r>
    </w:p>
    <w:p w14:paraId="200F0D67" w14:textId="77777777" w:rsidR="00CD2A59" w:rsidRDefault="00CD2A59" w:rsidP="00CD2A59">
      <w:pPr>
        <w:pStyle w:val="BodyText"/>
      </w:pPr>
    </w:p>
    <w:p w14:paraId="58AD20F7" w14:textId="33687B49" w:rsidR="007A78D8" w:rsidRDefault="007A78D8" w:rsidP="007A78D8">
      <w:pPr>
        <w:pStyle w:val="FigureHeading"/>
      </w:pPr>
      <w:bookmarkStart w:id="30" w:name="_Toc427857732"/>
      <w:r>
        <w:t xml:space="preserve">Total employment by sex and </w:t>
      </w:r>
      <w:r w:rsidR="00CD2A59">
        <w:t xml:space="preserve">broad </w:t>
      </w:r>
      <w:r>
        <w:t xml:space="preserve">sector, </w:t>
      </w:r>
      <w:bookmarkEnd w:id="10"/>
      <w:r>
        <w:t>Myanmar</w:t>
      </w:r>
      <w:bookmarkEnd w:id="30"/>
    </w:p>
    <w:p w14:paraId="58AD20F8" w14:textId="77777777" w:rsidR="007A78D8" w:rsidRDefault="007A78D8" w:rsidP="007A78D8">
      <w:pPr>
        <w:pStyle w:val="BodyText"/>
        <w:tabs>
          <w:tab w:val="right" w:pos="8840"/>
        </w:tabs>
        <w:spacing w:before="39" w:after="0" w:line="240" w:lineRule="auto"/>
        <w:jc w:val="left"/>
      </w:pPr>
      <w:r>
        <w:rPr>
          <w:noProof/>
          <w:lang w:eastAsia="en-GB"/>
        </w:rPr>
        <mc:AlternateContent>
          <mc:Choice Requires="wpg">
            <w:drawing>
              <wp:inline distT="0" distB="0" distL="0" distR="0" wp14:anchorId="58AD233C" wp14:editId="58AD233D">
                <wp:extent cx="4720590" cy="2592000"/>
                <wp:effectExtent l="0" t="0" r="3810" b="0"/>
                <wp:docPr id="10"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2" name="Chart 12"/>
                        <wpg:cNvFrPr/>
                        <wpg:xfrm>
                          <a:off x="0" y="0"/>
                          <a:ext cx="2268000" cy="259200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5" name="Chart 15"/>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">
                  <v:imagedata r:id="rId38" o:title=""/>
                  <o:lock v:ext="edit" aspectratio="f"/>
                </v:shape>
                <v:shape id="Chart 15"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">
                  <v:imagedata r:id="rId39" o:title=""/>
                  <o:lock v:ext="edit" aspectratio="f"/>
                </v:shape>
                <w10:anchorlock/>
              </v:group>
            </w:pict>
          </mc:Fallback>
        </mc:AlternateContent>
      </w:r>
      <w:r>
        <w:tab/>
      </w:r>
    </w:p>
    <w:p w14:paraId="58AD20F9" w14:textId="77777777" w:rsidR="007A78D8" w:rsidRDefault="007A78D8" w:rsidP="007A78D8">
      <w:pPr>
        <w:pStyle w:val="Source"/>
      </w:pPr>
      <w:r>
        <w:t>Source: ILO Global Employment Trends 2014 (</w:t>
      </w:r>
      <w:hyperlink r:id="rId40" w:history="1">
        <w:r w:rsidRPr="000B7E15">
          <w:rPr>
            <w:rStyle w:val="Hyperlink"/>
          </w:rPr>
          <w:t>http://www.ilo.org/global/research/global-reports/global-employment-trends/2014/WCMS_234879/lang--en/index.htm</w:t>
        </w:r>
      </w:hyperlink>
      <w:r>
        <w:t>).</w:t>
      </w:r>
    </w:p>
    <w:p w14:paraId="746AA731" w14:textId="77777777" w:rsidR="00CD2A59" w:rsidRDefault="00CD2A59" w:rsidP="00CD2A59">
      <w:pPr>
        <w:pStyle w:val="BodyText"/>
      </w:pPr>
      <w:bookmarkStart w:id="31" w:name="_Toc408401695"/>
      <w:bookmarkStart w:id="32" w:name="_Toc427857733"/>
    </w:p>
    <w:p w14:paraId="345DF0FA" w14:textId="77777777" w:rsidR="00CD2A59" w:rsidRDefault="00CD2A59" w:rsidP="00CD2A59">
      <w:pPr>
        <w:pStyle w:val="BodyText"/>
        <w:rPr>
          <w:rFonts w:ascii="Arial" w:hAnsi="Arial"/>
          <w:color w:val="006C67" w:themeColor="accent1"/>
          <w:sz w:val="24"/>
        </w:rPr>
      </w:pPr>
      <w:r>
        <w:br w:type="page"/>
      </w:r>
    </w:p>
    <w:p w14:paraId="58AD20FA" w14:textId="3A9D01E1" w:rsidR="007A78D8" w:rsidRDefault="00CD2A59" w:rsidP="007A78D8">
      <w:pPr>
        <w:pStyle w:val="FigureHeading"/>
      </w:pPr>
      <w:r>
        <w:t>Broad s</w:t>
      </w:r>
      <w:r w:rsidR="007A78D8">
        <w:t xml:space="preserve">ectoral employment by sex, </w:t>
      </w:r>
      <w:bookmarkEnd w:id="31"/>
      <w:r w:rsidR="007A78D8">
        <w:t>Myanmar</w:t>
      </w:r>
      <w:bookmarkEnd w:id="32"/>
    </w:p>
    <w:p w14:paraId="58AD20FB" w14:textId="77777777" w:rsidR="007A78D8" w:rsidRDefault="007A78D8" w:rsidP="007A78D8">
      <w:pPr>
        <w:pStyle w:val="Source"/>
        <w:spacing w:after="0"/>
      </w:pPr>
      <w:r>
        <w:rPr>
          <w:noProof/>
          <w:lang w:eastAsia="en-GB"/>
        </w:rPr>
        <mc:AlternateContent>
          <mc:Choice Requires="wpg">
            <w:drawing>
              <wp:inline distT="0" distB="0" distL="0" distR="0" wp14:anchorId="58AD233E" wp14:editId="58AD233F">
                <wp:extent cx="5687568" cy="2578608"/>
                <wp:effectExtent l="0" t="0" r="8890" b="0"/>
                <wp:docPr id="16"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17" name="Chart 17"/>
                        <wpg:cNvFrPr/>
                        <wpg:xfrm>
                          <a:off x="0" y="0"/>
                          <a:ext cx="2268000" cy="246600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18" name="Chart 18"/>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0" name="Chart 20"/>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">
                <o:lock v:ext="edit" aspectratio="t"/>
                <v:shape id="Chart 17"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">
                  <v:imagedata r:id="rId44" o:title=""/>
                  <o:lock v:ext="edit" aspectratio="f"/>
                </v:shape>
                <v:shape id="Chart 18"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">
                  <v:imagedata r:id="rId45" o:title=""/>
                  <o:lock v:ext="edit" aspectratio="f"/>
                </v:shape>
                <v:shape id="Chart 20"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">
                  <v:imagedata r:id="rId46" o:title=""/>
                  <o:lock v:ext="edit" aspectratio="f"/>
                </v:shape>
                <w10:anchorlock/>
              </v:group>
            </w:pict>
          </mc:Fallback>
        </mc:AlternateContent>
      </w:r>
    </w:p>
    <w:p w14:paraId="58AD20FC" w14:textId="77777777" w:rsidR="007A78D8" w:rsidRDefault="007A78D8" w:rsidP="007A78D8">
      <w:pPr>
        <w:pStyle w:val="Source"/>
      </w:pPr>
      <w:r>
        <w:t>Source: Authors’ calculations using data from the ILO’s Global Employment Trends 2014 (</w:t>
      </w:r>
      <w:hyperlink r:id="rId47" w:history="1">
        <w:r w:rsidRPr="000B7E15">
          <w:rPr>
            <w:rStyle w:val="Hyperlink"/>
          </w:rPr>
          <w:t>http://www.ilo.org/global/research/global-reports/global-employment-trends/2014/WCMS_234879/lang--en/index.htm</w:t>
        </w:r>
      </w:hyperlink>
      <w:r>
        <w:t>).</w:t>
      </w:r>
    </w:p>
    <w:p w14:paraId="023A0917" w14:textId="68184F8A" w:rsidR="00CD2A59" w:rsidRDefault="00CD2A59" w:rsidP="00CD2A59">
      <w:pPr>
        <w:pStyle w:val="BodyText"/>
      </w:pPr>
    </w:p>
    <w:p w14:paraId="40C6D488" w14:textId="2BBCF486" w:rsidR="00CD2A59" w:rsidRDefault="00CD2A59" w:rsidP="00CD2A59">
      <w:pPr>
        <w:pStyle w:val="FigureHeading"/>
        <w:tabs>
          <w:tab w:val="right" w:pos="9806"/>
        </w:tabs>
      </w:pPr>
      <w:bookmarkStart w:id="33" w:name="_Toc427753261"/>
      <w:bookmarkStart w:id="34" w:name="_Toc427767264"/>
      <w:bookmarkStart w:id="35" w:name="_Toc427768427"/>
      <w:bookmarkStart w:id="36" w:name="_Toc427857734"/>
      <w:bookmarkStart w:id="37" w:name="_Toc407106172"/>
      <w:bookmarkStart w:id="38" w:name="_Toc406411725"/>
      <w:bookmarkEnd w:id="4"/>
      <w:bookmarkEnd w:id="5"/>
      <w:bookmarkEnd w:id="6"/>
      <w:bookmarkEnd w:id="7"/>
      <w:r>
        <w:t xml:space="preserve">Sectoral employment by sex, </w:t>
      </w:r>
      <w:r>
        <w:rPr>
          <w:noProof/>
        </w:rPr>
        <w:t>Myanmar</w:t>
      </w:r>
      <w:r>
        <w:tab/>
      </w:r>
      <w:r w:rsidRPr="00DB6A0A">
        <w:rPr>
          <w:color w:val="FF0000"/>
        </w:rPr>
        <w:t>NEW</w:t>
      </w:r>
      <w:bookmarkEnd w:id="33"/>
      <w:bookmarkEnd w:id="34"/>
      <w:bookmarkEnd w:id="35"/>
      <w:bookmarkEnd w:id="36"/>
    </w:p>
    <w:p w14:paraId="26D4432E" w14:textId="715FA9E4" w:rsidR="00CD2A59" w:rsidRPr="00D65C18" w:rsidRDefault="00CD2A59" w:rsidP="00CD2A59">
      <w:pPr>
        <w:pStyle w:val="BodyText"/>
      </w:pPr>
      <w:r>
        <w:rPr>
          <w:noProof/>
          <w:lang w:eastAsia="en-GB"/>
        </w:rPr>
        <mc:AlternateContent>
          <mc:Choice Requires="wpg">
            <w:drawing>
              <wp:inline distT="0" distB="0" distL="0" distR="0" wp14:anchorId="06742BD6" wp14:editId="1756F53B">
                <wp:extent cx="6336792" cy="2468880"/>
                <wp:effectExtent l="0" t="0" r="6985" b="7620"/>
                <wp:docPr id="49"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6792" cy="2468880"/>
                          <a:chOff x="0" y="0"/>
                          <a:chExt cx="7044690" cy="2743200"/>
                        </a:xfrm>
                      </wpg:grpSpPr>
                      <wpg:graphicFrame>
                        <wpg:cNvPr id="51" name="Chart 51"/>
                        <wpg:cNvFrPr/>
                        <wpg:xfrm>
                          <a:off x="0" y="0"/>
                          <a:ext cx="4572000" cy="27432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52" name="Chart 52"/>
                        <wpg:cNvFrPr>
                          <a:graphicFrameLocks/>
                        </wpg:cNvFrPr>
                        <wpg:xfrm>
                          <a:off x="2876550" y="0"/>
                          <a:ext cx="4168140" cy="27432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2" o:spid="_x0000_s1026" style="width:498.95pt;height:194.4pt;mso-position-horizontal-relative:char;mso-position-vertical-relative:line" coordsize="70446,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1" o:spid="_x0000_s1027" type="#_x0000_t75" style="position:absolute;width:45744;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">
                  <v:imagedata r:id="rId50" o:title=""/>
                  <o:lock v:ext="edit" aspectratio="f"/>
                </v:shape>
                <v:shape id="Chart 52" o:spid="_x0000_s1028" type="#_x0000_t75" style="position:absolute;left:28734;width:4167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">
                  <v:imagedata r:id="rId51" o:title=""/>
                  <o:lock v:ext="edit" aspectratio="f"/>
                </v:shape>
                <w10:anchorlock/>
              </v:group>
            </w:pict>
          </mc:Fallback>
        </mc:AlternateContent>
      </w:r>
    </w:p>
    <w:p w14:paraId="38220ECF" w14:textId="77777777" w:rsidR="00CD2A59" w:rsidRDefault="00CD2A59" w:rsidP="00CD2A59">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52"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0D9EDF8A" w14:textId="77777777" w:rsidR="00CD2A59" w:rsidRDefault="00CD2A59" w:rsidP="00CD2A59">
      <w:pPr>
        <w:pStyle w:val="BodyText"/>
      </w:pPr>
    </w:p>
    <w:p w14:paraId="7BEE59DC" w14:textId="77777777" w:rsidR="00CD2A59" w:rsidRDefault="00CD2A59" w:rsidP="00CD2A59">
      <w:pPr>
        <w:pStyle w:val="BodyText"/>
      </w:pPr>
      <w:r>
        <w:br w:type="page"/>
      </w:r>
    </w:p>
    <w:p w14:paraId="58AD20FD" w14:textId="4CAF4B73" w:rsidR="00B12AEC" w:rsidRDefault="00B12AEC" w:rsidP="00B12AEC">
      <w:pPr>
        <w:pStyle w:val="Heading1"/>
      </w:pPr>
      <w:bookmarkStart w:id="39" w:name="_Toc427857735"/>
      <w:r>
        <w:t>Trade</w:t>
      </w:r>
      <w:bookmarkEnd w:id="37"/>
      <w:bookmarkEnd w:id="39"/>
    </w:p>
    <w:p w14:paraId="58AD20FE" w14:textId="77777777" w:rsidR="007E38A7" w:rsidRDefault="005D716A" w:rsidP="005D716A">
      <w:pPr>
        <w:pStyle w:val="Heading2"/>
      </w:pPr>
      <w:bookmarkStart w:id="40" w:name="_Toc427857736"/>
      <w:r>
        <w:t>Basic data</w:t>
      </w:r>
      <w:bookmarkEnd w:id="40"/>
      <w:r w:rsidR="007E38A7">
        <w:t xml:space="preserve"> </w:t>
      </w:r>
    </w:p>
    <w:p w14:paraId="58AD20FF" w14:textId="77777777" w:rsidR="00575A8E" w:rsidRDefault="00575A8E" w:rsidP="00575A8E">
      <w:pPr>
        <w:pStyle w:val="FigureHeading"/>
      </w:pPr>
      <w:bookmarkStart w:id="41" w:name="_Toc408669812"/>
      <w:bookmarkStart w:id="42" w:name="_Toc427857737"/>
      <w:bookmarkStart w:id="43" w:name="_Toc408671493"/>
      <w:r>
        <w:t>Total value of trade, Myanmar, 2008–1</w:t>
      </w:r>
      <w:bookmarkEnd w:id="41"/>
      <w:r>
        <w:t>3</w:t>
      </w:r>
      <w:bookmarkEnd w:id="42"/>
      <w:r>
        <w:t xml:space="preserve"> </w:t>
      </w:r>
      <w:bookmarkEnd w:id="43"/>
    </w:p>
    <w:p w14:paraId="58AD2100" w14:textId="77777777" w:rsidR="00575A8E" w:rsidRPr="00D13184" w:rsidRDefault="00575A8E" w:rsidP="00575A8E">
      <w:pPr>
        <w:pStyle w:val="BodyText"/>
        <w:spacing w:before="39" w:after="0" w:line="240" w:lineRule="auto"/>
        <w:jc w:val="left"/>
      </w:pPr>
      <w:r>
        <w:rPr>
          <w:noProof/>
          <w:lang w:eastAsia="en-GB"/>
        </w:rPr>
        <w:drawing>
          <wp:inline distT="0" distB="0" distL="0" distR="0" wp14:anchorId="58AD2340" wp14:editId="58AD2341">
            <wp:extent cx="4187190" cy="2376000"/>
            <wp:effectExtent l="0" t="0" r="3810" b="571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AD2101" w14:textId="77777777" w:rsidR="00575A8E" w:rsidRDefault="00575A8E" w:rsidP="00575A8E">
      <w:pPr>
        <w:pStyle w:val="Source"/>
      </w:pPr>
      <w:r>
        <w:rPr>
          <w:noProof/>
          <w:lang w:eastAsia="en-GB"/>
        </w:rPr>
        <w:t xml:space="preserve">Source: ITC Trade Map. </w:t>
      </w:r>
      <w:r>
        <w:t>Note the use of mirror data, which is indicative only and should be treated with caution. In particular, the total number of reporters may vary from year to year.</w:t>
      </w:r>
    </w:p>
    <w:p w14:paraId="58AD2102" w14:textId="77777777" w:rsidR="00575A8E" w:rsidRDefault="00575A8E" w:rsidP="00575A8E">
      <w:pPr>
        <w:pStyle w:val="Source"/>
      </w:pPr>
      <w:r>
        <w:br w:type="page"/>
      </w:r>
    </w:p>
    <w:bookmarkEnd w:id="38"/>
    <w:p w14:paraId="58AD2103" w14:textId="77777777" w:rsidR="005A6FA7" w:rsidRDefault="00254E99" w:rsidP="005A6FA7">
      <w:pPr>
        <w:pStyle w:val="FigureHeading"/>
        <w:spacing w:before="0"/>
      </w:pPr>
      <w:r>
        <w:t xml:space="preserve"> </w:t>
      </w:r>
      <w:bookmarkStart w:id="44" w:name="_Toc405451563"/>
      <w:bookmarkStart w:id="45" w:name="_Toc405467952"/>
      <w:bookmarkStart w:id="46" w:name="_Toc406600304"/>
      <w:bookmarkStart w:id="47" w:name="_Toc407106174"/>
      <w:bookmarkStart w:id="48" w:name="_Toc427857738"/>
      <w:r w:rsidR="005A6FA7">
        <w:t xml:space="preserve">Exports by broad HS Section, </w:t>
      </w:r>
      <w:r w:rsidR="005D716A">
        <w:t>Myanmar</w:t>
      </w:r>
      <w:r w:rsidR="005A6FA7">
        <w:t xml:space="preserve">, </w:t>
      </w:r>
      <w:r w:rsidR="00160FA2">
        <w:t xml:space="preserve">2010 (own data) and </w:t>
      </w:r>
      <w:bookmarkEnd w:id="44"/>
      <w:r w:rsidR="005A6FA7">
        <w:t>20</w:t>
      </w:r>
      <w:r w:rsidR="00160FA2">
        <w:t>11</w:t>
      </w:r>
      <w:r w:rsidR="005A6FA7">
        <w:t>–1</w:t>
      </w:r>
      <w:bookmarkEnd w:id="45"/>
      <w:bookmarkEnd w:id="46"/>
      <w:r w:rsidR="00B80895">
        <w:t>3</w:t>
      </w:r>
      <w:r w:rsidR="00160FA2">
        <w:t xml:space="preserve"> (mirror data)</w:t>
      </w:r>
      <w:bookmarkEnd w:id="47"/>
      <w:bookmarkEnd w:id="48"/>
    </w:p>
    <w:p w14:paraId="58AD2104" w14:textId="77777777" w:rsidR="00160FA2" w:rsidRPr="00160FA2" w:rsidRDefault="00160FA2" w:rsidP="00160FA2">
      <w:pPr>
        <w:pStyle w:val="BodyText"/>
        <w:spacing w:before="39" w:after="0" w:line="240" w:lineRule="auto"/>
        <w:jc w:val="left"/>
      </w:pPr>
      <w:r>
        <w:rPr>
          <w:noProof/>
          <w:lang w:eastAsia="en-GB"/>
        </w:rPr>
        <w:drawing>
          <wp:inline distT="0" distB="0" distL="0" distR="0" wp14:anchorId="58AD2342" wp14:editId="58AD2343">
            <wp:extent cx="5486400" cy="2468880"/>
            <wp:effectExtent l="0" t="0" r="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noProof/>
          <w:lang w:eastAsia="en-GB"/>
        </w:rPr>
        <w:drawing>
          <wp:inline distT="0" distB="0" distL="0" distR="0" wp14:anchorId="58AD2344" wp14:editId="58AD2345">
            <wp:extent cx="5486400" cy="2468880"/>
            <wp:effectExtent l="0" t="0" r="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5A6FA7" w:rsidRPr="00C91C87" w14:paraId="58AD2107" w14:textId="77777777" w:rsidTr="00B80895">
        <w:tc>
          <w:tcPr>
            <w:tcW w:w="630" w:type="dxa"/>
            <w:tcBorders>
              <w:top w:val="nil"/>
              <w:left w:val="nil"/>
              <w:bottom w:val="nil"/>
              <w:right w:val="nil"/>
            </w:tcBorders>
            <w:shd w:val="clear" w:color="auto" w:fill="auto"/>
            <w:noWrap/>
          </w:tcPr>
          <w:p w14:paraId="58AD2105" w14:textId="77777777" w:rsidR="005A6FA7" w:rsidRPr="00A364CB" w:rsidRDefault="005A6FA7" w:rsidP="00B8089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8AD2106" w14:textId="77777777" w:rsidR="005A6FA7" w:rsidRDefault="005A6FA7" w:rsidP="00B80895">
            <w:pPr>
              <w:rPr>
                <w:rFonts w:ascii="Calibri" w:eastAsia="Times New Roman" w:hAnsi="Calibri"/>
                <w:color w:val="000000"/>
                <w:sz w:val="16"/>
                <w:szCs w:val="16"/>
                <w:lang w:eastAsia="en-GB"/>
              </w:rPr>
            </w:pPr>
          </w:p>
        </w:tc>
      </w:tr>
      <w:tr w:rsidR="005A6FA7" w:rsidRPr="00C91C87" w14:paraId="58AD210A" w14:textId="77777777" w:rsidTr="00B80895">
        <w:tc>
          <w:tcPr>
            <w:tcW w:w="630" w:type="dxa"/>
            <w:tcBorders>
              <w:top w:val="nil"/>
              <w:left w:val="nil"/>
              <w:bottom w:val="nil"/>
              <w:right w:val="nil"/>
            </w:tcBorders>
            <w:shd w:val="clear" w:color="auto" w:fill="auto"/>
            <w:noWrap/>
          </w:tcPr>
          <w:p w14:paraId="58AD2108"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8AD2109"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5A6FA7" w:rsidRPr="00C91C87" w14:paraId="58AD210D" w14:textId="77777777" w:rsidTr="00B80895">
        <w:tc>
          <w:tcPr>
            <w:tcW w:w="630" w:type="dxa"/>
            <w:tcBorders>
              <w:top w:val="nil"/>
              <w:left w:val="nil"/>
              <w:bottom w:val="nil"/>
              <w:right w:val="nil"/>
            </w:tcBorders>
            <w:shd w:val="clear" w:color="auto" w:fill="auto"/>
            <w:noWrap/>
            <w:hideMark/>
          </w:tcPr>
          <w:p w14:paraId="58AD210B"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8AD210C"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5A6FA7" w:rsidRPr="00C91C87" w14:paraId="58AD2110" w14:textId="77777777" w:rsidTr="00B80895">
        <w:tc>
          <w:tcPr>
            <w:tcW w:w="630" w:type="dxa"/>
            <w:tcBorders>
              <w:top w:val="nil"/>
              <w:left w:val="nil"/>
              <w:bottom w:val="nil"/>
              <w:right w:val="nil"/>
            </w:tcBorders>
            <w:shd w:val="clear" w:color="auto" w:fill="auto"/>
            <w:noWrap/>
            <w:hideMark/>
          </w:tcPr>
          <w:p w14:paraId="58AD210E"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8AD210F"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5A6FA7" w:rsidRPr="00C91C87" w14:paraId="58AD2113" w14:textId="77777777" w:rsidTr="00B80895">
        <w:tc>
          <w:tcPr>
            <w:tcW w:w="630" w:type="dxa"/>
            <w:tcBorders>
              <w:top w:val="nil"/>
              <w:left w:val="nil"/>
              <w:bottom w:val="nil"/>
              <w:right w:val="nil"/>
            </w:tcBorders>
            <w:shd w:val="clear" w:color="auto" w:fill="auto"/>
            <w:noWrap/>
            <w:hideMark/>
          </w:tcPr>
          <w:p w14:paraId="58AD2111"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8AD2112"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5A6FA7" w:rsidRPr="00C91C87" w14:paraId="58AD2116" w14:textId="77777777" w:rsidTr="00B80895">
        <w:tc>
          <w:tcPr>
            <w:tcW w:w="630" w:type="dxa"/>
            <w:tcBorders>
              <w:top w:val="nil"/>
              <w:left w:val="nil"/>
              <w:bottom w:val="nil"/>
              <w:right w:val="nil"/>
            </w:tcBorders>
            <w:shd w:val="clear" w:color="auto" w:fill="auto"/>
            <w:noWrap/>
            <w:hideMark/>
          </w:tcPr>
          <w:p w14:paraId="58AD2114"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8AD2115"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5A6FA7" w:rsidRPr="00C91C87" w14:paraId="58AD2119" w14:textId="77777777" w:rsidTr="00B80895">
        <w:tc>
          <w:tcPr>
            <w:tcW w:w="630" w:type="dxa"/>
            <w:tcBorders>
              <w:top w:val="nil"/>
              <w:left w:val="nil"/>
              <w:bottom w:val="nil"/>
              <w:right w:val="nil"/>
            </w:tcBorders>
            <w:shd w:val="clear" w:color="auto" w:fill="auto"/>
            <w:noWrap/>
            <w:hideMark/>
          </w:tcPr>
          <w:p w14:paraId="58AD2117"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8AD2118"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5A6FA7" w:rsidRPr="00C91C87" w14:paraId="58AD211C" w14:textId="77777777" w:rsidTr="00B80895">
        <w:tc>
          <w:tcPr>
            <w:tcW w:w="630" w:type="dxa"/>
            <w:tcBorders>
              <w:top w:val="nil"/>
              <w:left w:val="nil"/>
              <w:bottom w:val="nil"/>
              <w:right w:val="nil"/>
            </w:tcBorders>
            <w:shd w:val="clear" w:color="auto" w:fill="auto"/>
            <w:noWrap/>
            <w:hideMark/>
          </w:tcPr>
          <w:p w14:paraId="58AD211A"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8AD211B"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5A6FA7" w:rsidRPr="00C91C87" w14:paraId="58AD211F" w14:textId="77777777" w:rsidTr="00B80895">
        <w:tc>
          <w:tcPr>
            <w:tcW w:w="630" w:type="dxa"/>
            <w:tcBorders>
              <w:top w:val="nil"/>
              <w:left w:val="nil"/>
              <w:bottom w:val="nil"/>
              <w:right w:val="nil"/>
            </w:tcBorders>
            <w:shd w:val="clear" w:color="auto" w:fill="auto"/>
            <w:noWrap/>
            <w:hideMark/>
          </w:tcPr>
          <w:p w14:paraId="58AD211D"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8AD211E"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5A6FA7" w:rsidRPr="00C91C87" w14:paraId="58AD2122" w14:textId="77777777" w:rsidTr="00B80895">
        <w:tc>
          <w:tcPr>
            <w:tcW w:w="630" w:type="dxa"/>
            <w:tcBorders>
              <w:top w:val="nil"/>
              <w:left w:val="nil"/>
              <w:bottom w:val="nil"/>
              <w:right w:val="nil"/>
            </w:tcBorders>
            <w:shd w:val="clear" w:color="auto" w:fill="auto"/>
            <w:noWrap/>
            <w:hideMark/>
          </w:tcPr>
          <w:p w14:paraId="58AD2120"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8AD2121"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5A6FA7" w:rsidRPr="00C91C87" w14:paraId="58AD2125" w14:textId="77777777" w:rsidTr="00B80895">
        <w:tc>
          <w:tcPr>
            <w:tcW w:w="630" w:type="dxa"/>
            <w:tcBorders>
              <w:top w:val="nil"/>
              <w:left w:val="nil"/>
              <w:bottom w:val="nil"/>
              <w:right w:val="nil"/>
            </w:tcBorders>
            <w:shd w:val="clear" w:color="auto" w:fill="auto"/>
            <w:noWrap/>
            <w:hideMark/>
          </w:tcPr>
          <w:p w14:paraId="58AD2123"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8AD2124"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5A6FA7" w:rsidRPr="00C91C87" w14:paraId="58AD2128" w14:textId="77777777" w:rsidTr="00B80895">
        <w:tc>
          <w:tcPr>
            <w:tcW w:w="630" w:type="dxa"/>
            <w:tcBorders>
              <w:top w:val="nil"/>
              <w:left w:val="nil"/>
              <w:bottom w:val="nil"/>
              <w:right w:val="nil"/>
            </w:tcBorders>
            <w:shd w:val="clear" w:color="auto" w:fill="auto"/>
            <w:noWrap/>
            <w:hideMark/>
          </w:tcPr>
          <w:p w14:paraId="58AD2126"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8AD2127"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5A6FA7" w:rsidRPr="00C91C87" w14:paraId="58AD212B" w14:textId="77777777" w:rsidTr="00B80895">
        <w:tc>
          <w:tcPr>
            <w:tcW w:w="630" w:type="dxa"/>
            <w:tcBorders>
              <w:top w:val="nil"/>
              <w:left w:val="nil"/>
              <w:bottom w:val="nil"/>
              <w:right w:val="nil"/>
            </w:tcBorders>
            <w:shd w:val="clear" w:color="auto" w:fill="auto"/>
            <w:noWrap/>
            <w:hideMark/>
          </w:tcPr>
          <w:p w14:paraId="58AD2129"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8AD212A"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5A6FA7" w:rsidRPr="00C91C87" w14:paraId="58AD212E" w14:textId="77777777" w:rsidTr="00B80895">
        <w:tc>
          <w:tcPr>
            <w:tcW w:w="630" w:type="dxa"/>
            <w:tcBorders>
              <w:top w:val="nil"/>
              <w:left w:val="nil"/>
              <w:bottom w:val="nil"/>
              <w:right w:val="nil"/>
            </w:tcBorders>
            <w:shd w:val="clear" w:color="auto" w:fill="auto"/>
            <w:noWrap/>
            <w:hideMark/>
          </w:tcPr>
          <w:p w14:paraId="58AD212C"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8AD212D"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5A6FA7" w:rsidRPr="00C91C87" w14:paraId="58AD2131" w14:textId="77777777" w:rsidTr="00B80895">
        <w:tc>
          <w:tcPr>
            <w:tcW w:w="630" w:type="dxa"/>
            <w:tcBorders>
              <w:top w:val="nil"/>
              <w:left w:val="nil"/>
              <w:bottom w:val="nil"/>
              <w:right w:val="nil"/>
            </w:tcBorders>
            <w:shd w:val="clear" w:color="auto" w:fill="auto"/>
            <w:noWrap/>
            <w:hideMark/>
          </w:tcPr>
          <w:p w14:paraId="58AD212F"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8AD2130"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5A6FA7" w:rsidRPr="00C91C87" w14:paraId="58AD2134" w14:textId="77777777" w:rsidTr="00B80895">
        <w:tc>
          <w:tcPr>
            <w:tcW w:w="630" w:type="dxa"/>
            <w:tcBorders>
              <w:top w:val="nil"/>
              <w:left w:val="nil"/>
              <w:bottom w:val="nil"/>
              <w:right w:val="nil"/>
            </w:tcBorders>
            <w:shd w:val="clear" w:color="auto" w:fill="auto"/>
            <w:noWrap/>
            <w:hideMark/>
          </w:tcPr>
          <w:p w14:paraId="58AD2132"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8AD2133"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5A6FA7" w:rsidRPr="00C91C87" w14:paraId="58AD2137" w14:textId="77777777" w:rsidTr="00B80895">
        <w:tc>
          <w:tcPr>
            <w:tcW w:w="630" w:type="dxa"/>
            <w:tcBorders>
              <w:top w:val="nil"/>
              <w:left w:val="nil"/>
              <w:bottom w:val="nil"/>
              <w:right w:val="nil"/>
            </w:tcBorders>
            <w:shd w:val="clear" w:color="auto" w:fill="auto"/>
            <w:noWrap/>
            <w:hideMark/>
          </w:tcPr>
          <w:p w14:paraId="58AD2135"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8AD2136"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5A6FA7" w:rsidRPr="00C91C87" w14:paraId="58AD213A" w14:textId="77777777" w:rsidTr="00B80895">
        <w:tc>
          <w:tcPr>
            <w:tcW w:w="630" w:type="dxa"/>
            <w:tcBorders>
              <w:top w:val="nil"/>
              <w:left w:val="nil"/>
              <w:bottom w:val="nil"/>
              <w:right w:val="nil"/>
            </w:tcBorders>
            <w:shd w:val="clear" w:color="auto" w:fill="auto"/>
            <w:noWrap/>
            <w:hideMark/>
          </w:tcPr>
          <w:p w14:paraId="58AD2138"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8AD2139"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5A6FA7" w:rsidRPr="00C91C87" w14:paraId="58AD213D" w14:textId="77777777" w:rsidTr="00B80895">
        <w:tc>
          <w:tcPr>
            <w:tcW w:w="630" w:type="dxa"/>
            <w:tcBorders>
              <w:top w:val="nil"/>
              <w:left w:val="nil"/>
              <w:bottom w:val="nil"/>
              <w:right w:val="nil"/>
            </w:tcBorders>
            <w:shd w:val="clear" w:color="auto" w:fill="auto"/>
            <w:noWrap/>
            <w:hideMark/>
          </w:tcPr>
          <w:p w14:paraId="58AD213B"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8AD213C"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5A6FA7" w:rsidRPr="00C91C87" w14:paraId="58AD2140" w14:textId="77777777" w:rsidTr="00B80895">
        <w:tc>
          <w:tcPr>
            <w:tcW w:w="630" w:type="dxa"/>
            <w:tcBorders>
              <w:top w:val="nil"/>
              <w:left w:val="nil"/>
              <w:bottom w:val="nil"/>
              <w:right w:val="nil"/>
            </w:tcBorders>
            <w:shd w:val="clear" w:color="auto" w:fill="auto"/>
            <w:noWrap/>
            <w:hideMark/>
          </w:tcPr>
          <w:p w14:paraId="58AD213E"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8AD213F"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5A6FA7" w:rsidRPr="00C91C87" w14:paraId="58AD2143" w14:textId="77777777" w:rsidTr="00B80895">
        <w:tc>
          <w:tcPr>
            <w:tcW w:w="630" w:type="dxa"/>
            <w:tcBorders>
              <w:top w:val="nil"/>
              <w:left w:val="nil"/>
              <w:bottom w:val="nil"/>
              <w:right w:val="nil"/>
            </w:tcBorders>
            <w:shd w:val="clear" w:color="auto" w:fill="auto"/>
            <w:noWrap/>
            <w:hideMark/>
          </w:tcPr>
          <w:p w14:paraId="58AD2141"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8AD2142"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5A6FA7" w:rsidRPr="00C91C87" w14:paraId="58AD2146" w14:textId="77777777" w:rsidTr="00B80895">
        <w:tc>
          <w:tcPr>
            <w:tcW w:w="630" w:type="dxa"/>
            <w:tcBorders>
              <w:top w:val="nil"/>
              <w:left w:val="nil"/>
              <w:bottom w:val="nil"/>
              <w:right w:val="nil"/>
            </w:tcBorders>
            <w:shd w:val="clear" w:color="auto" w:fill="auto"/>
            <w:noWrap/>
            <w:hideMark/>
          </w:tcPr>
          <w:p w14:paraId="58AD2144"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8AD2145"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5A6FA7" w:rsidRPr="00C91C87" w14:paraId="58AD2149" w14:textId="77777777" w:rsidTr="00B80895">
        <w:tc>
          <w:tcPr>
            <w:tcW w:w="630" w:type="dxa"/>
            <w:tcBorders>
              <w:top w:val="nil"/>
              <w:left w:val="nil"/>
              <w:bottom w:val="nil"/>
              <w:right w:val="nil"/>
            </w:tcBorders>
            <w:shd w:val="clear" w:color="auto" w:fill="auto"/>
            <w:noWrap/>
            <w:hideMark/>
          </w:tcPr>
          <w:p w14:paraId="58AD2147"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8AD2148"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8AD214A" w14:textId="77777777" w:rsidR="005A6FA7" w:rsidRDefault="005A6FA7" w:rsidP="005A6FA7">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w:t>
      </w:r>
      <w:r w:rsidR="00160FA2">
        <w:t xml:space="preserve">ITC’s Trade Map. Note the use of mirror data, which </w:t>
      </w:r>
      <w:r w:rsidR="00EF749C">
        <w:t xml:space="preserve">is indicative only and </w:t>
      </w:r>
      <w:r w:rsidR="00160FA2">
        <w:t xml:space="preserve">should be treated with </w:t>
      </w:r>
      <w:r w:rsidR="00CF32B9">
        <w:t>caution</w:t>
      </w:r>
      <w:r w:rsidR="00160FA2">
        <w:t>.</w:t>
      </w:r>
    </w:p>
    <w:p w14:paraId="58AD214B" w14:textId="77777777" w:rsidR="005A6FA7" w:rsidRDefault="005A6FA7" w:rsidP="005A6FA7">
      <w:pPr>
        <w:pStyle w:val="FigureHeading"/>
        <w:spacing w:before="0"/>
      </w:pPr>
      <w:bookmarkStart w:id="49" w:name="_Toc405451000"/>
      <w:bookmarkStart w:id="50" w:name="_Toc405451564"/>
      <w:bookmarkStart w:id="51" w:name="_Toc405467953"/>
      <w:bookmarkStart w:id="52" w:name="_Toc406600305"/>
      <w:bookmarkStart w:id="53" w:name="_Toc407106175"/>
      <w:bookmarkStart w:id="54" w:name="_Toc427857739"/>
      <w:r>
        <w:t xml:space="preserve">Change in export share by HS Section, </w:t>
      </w:r>
      <w:r w:rsidR="005D716A">
        <w:t>Myanmar</w:t>
      </w:r>
      <w:r>
        <w:t xml:space="preserve">, </w:t>
      </w:r>
      <w:r w:rsidR="00160FA2">
        <w:t>2010</w:t>
      </w:r>
      <w:r>
        <w:t xml:space="preserve"> </w:t>
      </w:r>
      <w:r w:rsidR="00160FA2">
        <w:t xml:space="preserve">(own data) </w:t>
      </w:r>
      <w:r>
        <w:t>and 20</w:t>
      </w:r>
      <w:r w:rsidR="00160FA2">
        <w:t>11</w:t>
      </w:r>
      <w:r>
        <w:t>–1</w:t>
      </w:r>
      <w:bookmarkEnd w:id="49"/>
      <w:bookmarkEnd w:id="50"/>
      <w:bookmarkEnd w:id="51"/>
      <w:bookmarkEnd w:id="52"/>
      <w:r w:rsidR="00B80895">
        <w:t>3</w:t>
      </w:r>
      <w:r w:rsidR="00160FA2">
        <w:t xml:space="preserve"> (mirror data)</w:t>
      </w:r>
      <w:bookmarkEnd w:id="53"/>
      <w:bookmarkEnd w:id="54"/>
    </w:p>
    <w:p w14:paraId="58AD214C" w14:textId="77777777" w:rsidR="00CE01BB" w:rsidRPr="00CE01BB" w:rsidRDefault="00CE01BB" w:rsidP="00CE01BB">
      <w:pPr>
        <w:pStyle w:val="BodyText"/>
      </w:pPr>
      <w:r>
        <w:rPr>
          <w:noProof/>
          <w:lang w:eastAsia="en-GB"/>
        </w:rPr>
        <w:drawing>
          <wp:inline distT="0" distB="0" distL="0" distR="0" wp14:anchorId="58AD2346" wp14:editId="58AD2347">
            <wp:extent cx="4572000" cy="2286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5A6FA7" w:rsidRPr="00C91C87" w14:paraId="58AD214F" w14:textId="77777777" w:rsidTr="00B80895">
        <w:tc>
          <w:tcPr>
            <w:tcW w:w="630" w:type="dxa"/>
            <w:tcBorders>
              <w:top w:val="nil"/>
              <w:left w:val="nil"/>
              <w:bottom w:val="nil"/>
              <w:right w:val="nil"/>
            </w:tcBorders>
            <w:shd w:val="clear" w:color="auto" w:fill="auto"/>
            <w:noWrap/>
          </w:tcPr>
          <w:p w14:paraId="58AD214D" w14:textId="77777777" w:rsidR="005A6FA7" w:rsidRPr="00A364CB" w:rsidRDefault="005A6FA7" w:rsidP="00CE01BB">
            <w:pPr>
              <w:spacing w:before="39"/>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8AD214E" w14:textId="77777777" w:rsidR="005A6FA7" w:rsidRDefault="005A6FA7" w:rsidP="00B80895">
            <w:pPr>
              <w:rPr>
                <w:rFonts w:ascii="Calibri" w:eastAsia="Times New Roman" w:hAnsi="Calibri"/>
                <w:color w:val="000000"/>
                <w:sz w:val="16"/>
                <w:szCs w:val="16"/>
                <w:lang w:eastAsia="en-GB"/>
              </w:rPr>
            </w:pPr>
          </w:p>
        </w:tc>
      </w:tr>
      <w:tr w:rsidR="005A6FA7" w:rsidRPr="00C91C87" w14:paraId="58AD2152" w14:textId="77777777" w:rsidTr="00B80895">
        <w:tc>
          <w:tcPr>
            <w:tcW w:w="630" w:type="dxa"/>
            <w:tcBorders>
              <w:top w:val="nil"/>
              <w:left w:val="nil"/>
              <w:bottom w:val="nil"/>
              <w:right w:val="nil"/>
            </w:tcBorders>
            <w:shd w:val="clear" w:color="auto" w:fill="auto"/>
            <w:noWrap/>
          </w:tcPr>
          <w:p w14:paraId="58AD2150"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8AD2151"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5A6FA7" w:rsidRPr="00C91C87" w14:paraId="58AD2155" w14:textId="77777777" w:rsidTr="00B80895">
        <w:tc>
          <w:tcPr>
            <w:tcW w:w="630" w:type="dxa"/>
            <w:tcBorders>
              <w:top w:val="nil"/>
              <w:left w:val="nil"/>
              <w:bottom w:val="nil"/>
              <w:right w:val="nil"/>
            </w:tcBorders>
            <w:shd w:val="clear" w:color="auto" w:fill="auto"/>
            <w:noWrap/>
            <w:hideMark/>
          </w:tcPr>
          <w:p w14:paraId="58AD2153"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8AD2154"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5A6FA7" w:rsidRPr="00C91C87" w14:paraId="58AD2158" w14:textId="77777777" w:rsidTr="00B80895">
        <w:tc>
          <w:tcPr>
            <w:tcW w:w="630" w:type="dxa"/>
            <w:tcBorders>
              <w:top w:val="nil"/>
              <w:left w:val="nil"/>
              <w:bottom w:val="nil"/>
              <w:right w:val="nil"/>
            </w:tcBorders>
            <w:shd w:val="clear" w:color="auto" w:fill="auto"/>
            <w:noWrap/>
            <w:hideMark/>
          </w:tcPr>
          <w:p w14:paraId="58AD2156"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8AD2157"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5A6FA7" w:rsidRPr="00C91C87" w14:paraId="58AD215B" w14:textId="77777777" w:rsidTr="00B80895">
        <w:tc>
          <w:tcPr>
            <w:tcW w:w="630" w:type="dxa"/>
            <w:tcBorders>
              <w:top w:val="nil"/>
              <w:left w:val="nil"/>
              <w:bottom w:val="nil"/>
              <w:right w:val="nil"/>
            </w:tcBorders>
            <w:shd w:val="clear" w:color="auto" w:fill="auto"/>
            <w:noWrap/>
            <w:hideMark/>
          </w:tcPr>
          <w:p w14:paraId="58AD2159"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8AD215A"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5A6FA7" w:rsidRPr="00C91C87" w14:paraId="58AD215E" w14:textId="77777777" w:rsidTr="00B80895">
        <w:tc>
          <w:tcPr>
            <w:tcW w:w="630" w:type="dxa"/>
            <w:tcBorders>
              <w:top w:val="nil"/>
              <w:left w:val="nil"/>
              <w:bottom w:val="nil"/>
              <w:right w:val="nil"/>
            </w:tcBorders>
            <w:shd w:val="clear" w:color="auto" w:fill="auto"/>
            <w:noWrap/>
            <w:hideMark/>
          </w:tcPr>
          <w:p w14:paraId="58AD215C"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8AD215D"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5A6FA7" w:rsidRPr="00C91C87" w14:paraId="58AD2161" w14:textId="77777777" w:rsidTr="00B80895">
        <w:tc>
          <w:tcPr>
            <w:tcW w:w="630" w:type="dxa"/>
            <w:tcBorders>
              <w:top w:val="nil"/>
              <w:left w:val="nil"/>
              <w:bottom w:val="nil"/>
              <w:right w:val="nil"/>
            </w:tcBorders>
            <w:shd w:val="clear" w:color="auto" w:fill="auto"/>
            <w:noWrap/>
            <w:hideMark/>
          </w:tcPr>
          <w:p w14:paraId="58AD215F"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8AD2160"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5A6FA7" w:rsidRPr="00C91C87" w14:paraId="58AD2164" w14:textId="77777777" w:rsidTr="00B80895">
        <w:tc>
          <w:tcPr>
            <w:tcW w:w="630" w:type="dxa"/>
            <w:tcBorders>
              <w:top w:val="nil"/>
              <w:left w:val="nil"/>
              <w:bottom w:val="nil"/>
              <w:right w:val="nil"/>
            </w:tcBorders>
            <w:shd w:val="clear" w:color="auto" w:fill="auto"/>
            <w:noWrap/>
            <w:hideMark/>
          </w:tcPr>
          <w:p w14:paraId="58AD2162"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8AD2163"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5A6FA7" w:rsidRPr="00C91C87" w14:paraId="58AD2167" w14:textId="77777777" w:rsidTr="00B80895">
        <w:tc>
          <w:tcPr>
            <w:tcW w:w="630" w:type="dxa"/>
            <w:tcBorders>
              <w:top w:val="nil"/>
              <w:left w:val="nil"/>
              <w:bottom w:val="nil"/>
              <w:right w:val="nil"/>
            </w:tcBorders>
            <w:shd w:val="clear" w:color="auto" w:fill="auto"/>
            <w:noWrap/>
            <w:hideMark/>
          </w:tcPr>
          <w:p w14:paraId="58AD2165"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8AD2166"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5A6FA7" w:rsidRPr="00C91C87" w14:paraId="58AD216A" w14:textId="77777777" w:rsidTr="00B80895">
        <w:tc>
          <w:tcPr>
            <w:tcW w:w="630" w:type="dxa"/>
            <w:tcBorders>
              <w:top w:val="nil"/>
              <w:left w:val="nil"/>
              <w:bottom w:val="nil"/>
              <w:right w:val="nil"/>
            </w:tcBorders>
            <w:shd w:val="clear" w:color="auto" w:fill="auto"/>
            <w:noWrap/>
            <w:hideMark/>
          </w:tcPr>
          <w:p w14:paraId="58AD2168"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8AD2169"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5A6FA7" w:rsidRPr="00C91C87" w14:paraId="58AD216D" w14:textId="77777777" w:rsidTr="00B80895">
        <w:tc>
          <w:tcPr>
            <w:tcW w:w="630" w:type="dxa"/>
            <w:tcBorders>
              <w:top w:val="nil"/>
              <w:left w:val="nil"/>
              <w:bottom w:val="nil"/>
              <w:right w:val="nil"/>
            </w:tcBorders>
            <w:shd w:val="clear" w:color="auto" w:fill="auto"/>
            <w:noWrap/>
            <w:hideMark/>
          </w:tcPr>
          <w:p w14:paraId="58AD216B"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8AD216C"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5A6FA7" w:rsidRPr="00C91C87" w14:paraId="58AD2170" w14:textId="77777777" w:rsidTr="00B80895">
        <w:tc>
          <w:tcPr>
            <w:tcW w:w="630" w:type="dxa"/>
            <w:tcBorders>
              <w:top w:val="nil"/>
              <w:left w:val="nil"/>
              <w:bottom w:val="nil"/>
              <w:right w:val="nil"/>
            </w:tcBorders>
            <w:shd w:val="clear" w:color="auto" w:fill="auto"/>
            <w:noWrap/>
            <w:hideMark/>
          </w:tcPr>
          <w:p w14:paraId="58AD216E"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8AD216F"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5A6FA7" w:rsidRPr="00C91C87" w14:paraId="58AD2173" w14:textId="77777777" w:rsidTr="00B80895">
        <w:tc>
          <w:tcPr>
            <w:tcW w:w="630" w:type="dxa"/>
            <w:tcBorders>
              <w:top w:val="nil"/>
              <w:left w:val="nil"/>
              <w:bottom w:val="nil"/>
              <w:right w:val="nil"/>
            </w:tcBorders>
            <w:shd w:val="clear" w:color="auto" w:fill="auto"/>
            <w:noWrap/>
            <w:hideMark/>
          </w:tcPr>
          <w:p w14:paraId="58AD2171"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8AD2172"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5A6FA7" w:rsidRPr="00C91C87" w14:paraId="58AD2176" w14:textId="77777777" w:rsidTr="00B80895">
        <w:tc>
          <w:tcPr>
            <w:tcW w:w="630" w:type="dxa"/>
            <w:tcBorders>
              <w:top w:val="nil"/>
              <w:left w:val="nil"/>
              <w:bottom w:val="nil"/>
              <w:right w:val="nil"/>
            </w:tcBorders>
            <w:shd w:val="clear" w:color="auto" w:fill="auto"/>
            <w:noWrap/>
            <w:hideMark/>
          </w:tcPr>
          <w:p w14:paraId="58AD2174"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8AD2175"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5A6FA7" w:rsidRPr="00C91C87" w14:paraId="58AD2179" w14:textId="77777777" w:rsidTr="00B80895">
        <w:tc>
          <w:tcPr>
            <w:tcW w:w="630" w:type="dxa"/>
            <w:tcBorders>
              <w:top w:val="nil"/>
              <w:left w:val="nil"/>
              <w:bottom w:val="nil"/>
              <w:right w:val="nil"/>
            </w:tcBorders>
            <w:shd w:val="clear" w:color="auto" w:fill="auto"/>
            <w:noWrap/>
            <w:hideMark/>
          </w:tcPr>
          <w:p w14:paraId="58AD2177"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8AD2178"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5A6FA7" w:rsidRPr="00C91C87" w14:paraId="58AD217C" w14:textId="77777777" w:rsidTr="00B80895">
        <w:tc>
          <w:tcPr>
            <w:tcW w:w="630" w:type="dxa"/>
            <w:tcBorders>
              <w:top w:val="nil"/>
              <w:left w:val="nil"/>
              <w:bottom w:val="nil"/>
              <w:right w:val="nil"/>
            </w:tcBorders>
            <w:shd w:val="clear" w:color="auto" w:fill="auto"/>
            <w:noWrap/>
            <w:hideMark/>
          </w:tcPr>
          <w:p w14:paraId="58AD217A"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8AD217B"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5A6FA7" w:rsidRPr="00C91C87" w14:paraId="58AD217F" w14:textId="77777777" w:rsidTr="00B80895">
        <w:tc>
          <w:tcPr>
            <w:tcW w:w="630" w:type="dxa"/>
            <w:tcBorders>
              <w:top w:val="nil"/>
              <w:left w:val="nil"/>
              <w:bottom w:val="nil"/>
              <w:right w:val="nil"/>
            </w:tcBorders>
            <w:shd w:val="clear" w:color="auto" w:fill="auto"/>
            <w:noWrap/>
            <w:hideMark/>
          </w:tcPr>
          <w:p w14:paraId="58AD217D"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8AD217E"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5A6FA7" w:rsidRPr="00C91C87" w14:paraId="58AD2182" w14:textId="77777777" w:rsidTr="00B80895">
        <w:tc>
          <w:tcPr>
            <w:tcW w:w="630" w:type="dxa"/>
            <w:tcBorders>
              <w:top w:val="nil"/>
              <w:left w:val="nil"/>
              <w:bottom w:val="nil"/>
              <w:right w:val="nil"/>
            </w:tcBorders>
            <w:shd w:val="clear" w:color="auto" w:fill="auto"/>
            <w:noWrap/>
            <w:hideMark/>
          </w:tcPr>
          <w:p w14:paraId="58AD2180"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8AD2181"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5A6FA7" w:rsidRPr="00C91C87" w14:paraId="58AD2185" w14:textId="77777777" w:rsidTr="00B80895">
        <w:tc>
          <w:tcPr>
            <w:tcW w:w="630" w:type="dxa"/>
            <w:tcBorders>
              <w:top w:val="nil"/>
              <w:left w:val="nil"/>
              <w:bottom w:val="nil"/>
              <w:right w:val="nil"/>
            </w:tcBorders>
            <w:shd w:val="clear" w:color="auto" w:fill="auto"/>
            <w:noWrap/>
            <w:hideMark/>
          </w:tcPr>
          <w:p w14:paraId="58AD2183"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8AD2184"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5A6FA7" w:rsidRPr="00C91C87" w14:paraId="58AD2188" w14:textId="77777777" w:rsidTr="00B80895">
        <w:tc>
          <w:tcPr>
            <w:tcW w:w="630" w:type="dxa"/>
            <w:tcBorders>
              <w:top w:val="nil"/>
              <w:left w:val="nil"/>
              <w:bottom w:val="nil"/>
              <w:right w:val="nil"/>
            </w:tcBorders>
            <w:shd w:val="clear" w:color="auto" w:fill="auto"/>
            <w:noWrap/>
            <w:hideMark/>
          </w:tcPr>
          <w:p w14:paraId="58AD2186"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8AD2187"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5A6FA7" w:rsidRPr="00C91C87" w14:paraId="58AD218B" w14:textId="77777777" w:rsidTr="00B80895">
        <w:tc>
          <w:tcPr>
            <w:tcW w:w="630" w:type="dxa"/>
            <w:tcBorders>
              <w:top w:val="nil"/>
              <w:left w:val="nil"/>
              <w:bottom w:val="nil"/>
              <w:right w:val="nil"/>
            </w:tcBorders>
            <w:shd w:val="clear" w:color="auto" w:fill="auto"/>
            <w:noWrap/>
            <w:hideMark/>
          </w:tcPr>
          <w:p w14:paraId="58AD2189"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8AD218A"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5A6FA7" w:rsidRPr="00C91C87" w14:paraId="58AD218E" w14:textId="77777777" w:rsidTr="00B80895">
        <w:tc>
          <w:tcPr>
            <w:tcW w:w="630" w:type="dxa"/>
            <w:tcBorders>
              <w:top w:val="nil"/>
              <w:left w:val="nil"/>
              <w:bottom w:val="nil"/>
              <w:right w:val="nil"/>
            </w:tcBorders>
            <w:shd w:val="clear" w:color="auto" w:fill="auto"/>
            <w:noWrap/>
            <w:hideMark/>
          </w:tcPr>
          <w:p w14:paraId="58AD218C"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8AD218D"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5A6FA7" w:rsidRPr="00C91C87" w14:paraId="58AD2191" w14:textId="77777777" w:rsidTr="00B80895">
        <w:tc>
          <w:tcPr>
            <w:tcW w:w="630" w:type="dxa"/>
            <w:tcBorders>
              <w:top w:val="nil"/>
              <w:left w:val="nil"/>
              <w:bottom w:val="nil"/>
              <w:right w:val="nil"/>
            </w:tcBorders>
            <w:shd w:val="clear" w:color="auto" w:fill="auto"/>
            <w:noWrap/>
            <w:hideMark/>
          </w:tcPr>
          <w:p w14:paraId="58AD218F"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8AD2190"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8AD2192" w14:textId="77777777" w:rsidR="005A6FA7" w:rsidRDefault="005A6FA7" w:rsidP="005A6FA7">
      <w:pPr>
        <w:pStyle w:val="Source"/>
      </w:pPr>
      <w:r>
        <w:t xml:space="preserve">Source: Authors’ calculation using data from </w:t>
      </w:r>
      <w:r w:rsidR="00160FA2">
        <w:t xml:space="preserve">ITC’s Trade Map. </w:t>
      </w:r>
      <w:r w:rsidR="00EF749C">
        <w:t xml:space="preserve">Note the use of mirror data, which is indicative only and should be treated with </w:t>
      </w:r>
      <w:r w:rsidR="00CF32B9">
        <w:t>caution</w:t>
      </w:r>
      <w:r w:rsidR="00EF749C">
        <w:t>.</w:t>
      </w:r>
    </w:p>
    <w:p w14:paraId="58AD2193" w14:textId="77777777" w:rsidR="005A6FA7" w:rsidRPr="00092E42" w:rsidRDefault="005A6FA7" w:rsidP="005A6FA7"/>
    <w:p w14:paraId="58AD2194" w14:textId="77777777" w:rsidR="005A6FA7" w:rsidRDefault="005A6FA7" w:rsidP="005A6FA7">
      <w:pPr>
        <w:rPr>
          <w:rFonts w:ascii="Arial" w:hAnsi="Arial"/>
          <w:b/>
          <w:iCs/>
          <w:color w:val="006C67" w:themeColor="accent1"/>
          <w:sz w:val="24"/>
          <w:szCs w:val="18"/>
        </w:rPr>
      </w:pPr>
      <w:r>
        <w:br w:type="page"/>
      </w:r>
    </w:p>
    <w:p w14:paraId="58AD2195" w14:textId="77777777" w:rsidR="005A6FA7" w:rsidRDefault="005A6FA7" w:rsidP="005A6FA7">
      <w:pPr>
        <w:pStyle w:val="FigureHeading"/>
        <w:spacing w:before="0"/>
      </w:pPr>
      <w:bookmarkStart w:id="55" w:name="_Toc405451001"/>
      <w:bookmarkStart w:id="56" w:name="_Toc405451565"/>
      <w:bookmarkStart w:id="57" w:name="_Toc405467954"/>
      <w:bookmarkStart w:id="58" w:name="_Toc406600306"/>
      <w:bookmarkStart w:id="59" w:name="_Toc407106176"/>
      <w:bookmarkStart w:id="60" w:name="_Toc427857740"/>
      <w:r>
        <w:t xml:space="preserve">Export visualisation, </w:t>
      </w:r>
      <w:r w:rsidR="005D716A">
        <w:t>Myanmar</w:t>
      </w:r>
      <w:r>
        <w:t>, 2005 and 201</w:t>
      </w:r>
      <w:bookmarkEnd w:id="55"/>
      <w:bookmarkEnd w:id="56"/>
      <w:r>
        <w:t>2</w:t>
      </w:r>
      <w:bookmarkEnd w:id="57"/>
      <w:bookmarkEnd w:id="58"/>
      <w:bookmarkEnd w:id="59"/>
      <w:bookmarkEnd w:id="60"/>
    </w:p>
    <w:tbl>
      <w:tblPr>
        <w:tblStyle w:val="TableGrid"/>
        <w:tblW w:w="37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70"/>
      </w:tblGrid>
      <w:tr w:rsidR="005A6FA7" w:rsidRPr="00E81E7D" w14:paraId="58AD2197" w14:textId="77777777" w:rsidTr="00EF749C">
        <w:trPr>
          <w:trHeight w:hRule="exact" w:val="259"/>
        </w:trPr>
        <w:tc>
          <w:tcPr>
            <w:tcW w:w="6570" w:type="dxa"/>
            <w:vAlign w:val="bottom"/>
          </w:tcPr>
          <w:p w14:paraId="58AD2196" w14:textId="77777777" w:rsidR="005A6FA7" w:rsidRPr="00E81E7D" w:rsidRDefault="005A6FA7" w:rsidP="00B80895">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5A6FA7" w14:paraId="58AD2199" w14:textId="77777777" w:rsidTr="00EF749C">
        <w:trPr>
          <w:trHeight w:hRule="exact" w:val="5400"/>
        </w:trPr>
        <w:tc>
          <w:tcPr>
            <w:tcW w:w="6570" w:type="dxa"/>
          </w:tcPr>
          <w:p w14:paraId="58AD2198" w14:textId="77777777" w:rsidR="005A6FA7" w:rsidRDefault="00EF749C" w:rsidP="00B80895">
            <w:r>
              <w:rPr>
                <w:noProof/>
                <w:lang w:eastAsia="en-GB"/>
              </w:rPr>
              <w:drawing>
                <wp:inline distT="0" distB="0" distL="0" distR="0" wp14:anchorId="58AD2348" wp14:editId="58AD2349">
                  <wp:extent cx="4151376" cy="341071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6868" t="28034" r="26712" b="22906"/>
                          <a:stretch/>
                        </pic:blipFill>
                        <pic:spPr bwMode="auto">
                          <a:xfrm>
                            <a:off x="0" y="0"/>
                            <a:ext cx="4151376"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5A6FA7" w14:paraId="58AD219B" w14:textId="77777777" w:rsidTr="00EF749C">
        <w:trPr>
          <w:trHeight w:hRule="exact" w:val="259"/>
        </w:trPr>
        <w:tc>
          <w:tcPr>
            <w:tcW w:w="6570" w:type="dxa"/>
            <w:vAlign w:val="bottom"/>
          </w:tcPr>
          <w:p w14:paraId="58AD219A" w14:textId="77777777" w:rsidR="005A6FA7" w:rsidRDefault="005A6FA7" w:rsidP="00B80895">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5A6FA7" w14:paraId="58AD219D" w14:textId="77777777" w:rsidTr="00EF749C">
        <w:trPr>
          <w:trHeight w:hRule="exact" w:val="5400"/>
        </w:trPr>
        <w:tc>
          <w:tcPr>
            <w:tcW w:w="6570" w:type="dxa"/>
          </w:tcPr>
          <w:p w14:paraId="58AD219C" w14:textId="77777777" w:rsidR="005A6FA7" w:rsidRDefault="00EF749C" w:rsidP="00B80895">
            <w:pPr>
              <w:rPr>
                <w:noProof/>
                <w:lang w:eastAsia="en-GB"/>
              </w:rPr>
            </w:pPr>
            <w:r>
              <w:rPr>
                <w:noProof/>
                <w:lang w:eastAsia="en-GB"/>
              </w:rPr>
              <w:drawing>
                <wp:inline distT="0" distB="0" distL="0" distR="0" wp14:anchorId="58AD234A" wp14:editId="58AD234B">
                  <wp:extent cx="4160520" cy="33741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6868" t="28035" r="26580" b="23419"/>
                          <a:stretch/>
                        </pic:blipFill>
                        <pic:spPr bwMode="auto">
                          <a:xfrm>
                            <a:off x="0" y="0"/>
                            <a:ext cx="4160520" cy="33741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AD219E" w14:textId="77777777" w:rsidR="005A6FA7" w:rsidRDefault="00EF749C" w:rsidP="00EF749C">
      <w:pPr>
        <w:pStyle w:val="Source"/>
        <w:rPr>
          <w:b/>
          <w:color w:val="006C67" w:themeColor="accent1"/>
          <w:sz w:val="24"/>
        </w:rPr>
      </w:pPr>
      <w:bookmarkStart w:id="61" w:name="_Toc405451002"/>
      <w:bookmarkStart w:id="62" w:name="_Toc405451566"/>
      <w:r>
        <w:t>Source: MIT Observatory of Economic Complexity (</w:t>
      </w:r>
      <w:hyperlink r:id="rId59" w:history="1">
        <w:r w:rsidRPr="009257D9">
          <w:rPr>
            <w:rStyle w:val="Hyperlink"/>
          </w:rPr>
          <w:t>http://atlas.media.mit.edu/explore/tree_map/hs/export/rwa/all/show/2012/</w:t>
        </w:r>
      </w:hyperlink>
      <w:r>
        <w:t>).</w:t>
      </w:r>
      <w:r w:rsidR="005A6FA7">
        <w:br w:type="page"/>
      </w:r>
    </w:p>
    <w:p w14:paraId="58AD219F" w14:textId="77777777" w:rsidR="005A6FA7" w:rsidRDefault="005A6FA7" w:rsidP="005A6FA7">
      <w:pPr>
        <w:pStyle w:val="FigureHeading"/>
        <w:spacing w:before="0"/>
      </w:pPr>
      <w:bookmarkStart w:id="63" w:name="_Toc405451003"/>
      <w:bookmarkStart w:id="64" w:name="_Toc405451567"/>
      <w:bookmarkStart w:id="65" w:name="_Toc405467956"/>
      <w:bookmarkStart w:id="66" w:name="_Toc406600308"/>
      <w:bookmarkStart w:id="67" w:name="_Toc407106178"/>
      <w:bookmarkStart w:id="68" w:name="_Toc427857741"/>
      <w:bookmarkEnd w:id="61"/>
      <w:bookmarkEnd w:id="62"/>
      <w:r>
        <w:t xml:space="preserve">Top export products, </w:t>
      </w:r>
      <w:r w:rsidR="005D716A">
        <w:t>Myanmar</w:t>
      </w:r>
      <w:r w:rsidR="00CE01BB">
        <w:t xml:space="preserve"> (2010</w:t>
      </w:r>
      <w:bookmarkEnd w:id="63"/>
      <w:bookmarkEnd w:id="64"/>
      <w:bookmarkEnd w:id="65"/>
      <w:bookmarkEnd w:id="66"/>
      <w:r w:rsidR="00CE01BB">
        <w:t>)</w:t>
      </w:r>
      <w:bookmarkEnd w:id="67"/>
      <w:bookmarkEnd w:id="68"/>
    </w:p>
    <w:p w14:paraId="58AD21A0" w14:textId="77777777" w:rsidR="00CE01BB" w:rsidRPr="00CE01BB" w:rsidRDefault="00CE01BB" w:rsidP="00CE01BB">
      <w:pPr>
        <w:pStyle w:val="BodyText"/>
        <w:spacing w:before="39" w:after="0" w:line="240" w:lineRule="auto"/>
        <w:jc w:val="left"/>
      </w:pPr>
      <w:r>
        <w:rPr>
          <w:noProof/>
          <w:lang w:eastAsia="en-GB"/>
        </w:rPr>
        <w:drawing>
          <wp:inline distT="0" distB="0" distL="0" distR="0" wp14:anchorId="58AD234C" wp14:editId="58AD234D">
            <wp:extent cx="4849210" cy="25146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l="9910" b="2367"/>
                    <a:stretch/>
                  </pic:blipFill>
                  <pic:spPr bwMode="auto">
                    <a:xfrm>
                      <a:off x="0" y="0"/>
                      <a:ext cx="4855188" cy="2517700"/>
                    </a:xfrm>
                    <a:prstGeom prst="rect">
                      <a:avLst/>
                    </a:prstGeom>
                    <a:noFill/>
                    <a:ln>
                      <a:noFill/>
                    </a:ln>
                    <a:extLst>
                      <a:ext uri="{53640926-AAD7-44D8-BBD7-CCE9431645EC}">
                        <a14:shadowObscured xmlns:a14="http://schemas.microsoft.com/office/drawing/2010/main"/>
                      </a:ext>
                    </a:extLst>
                  </pic:spPr>
                </pic:pic>
              </a:graphicData>
            </a:graphic>
          </wp:inline>
        </w:drawing>
      </w:r>
    </w:p>
    <w:p w14:paraId="58AD21A1" w14:textId="77777777" w:rsidR="005A6FA7" w:rsidRDefault="005A6FA7" w:rsidP="005A6FA7">
      <w:pPr>
        <w:pStyle w:val="Source"/>
      </w:pPr>
      <w:r>
        <w:t>Note: At Harmonised System 6-digit level.</w:t>
      </w:r>
      <w:r>
        <w:br/>
        <w:t xml:space="preserve">Source: Authors’ calculations using data from </w:t>
      </w:r>
      <w:r w:rsidR="00CE01BB">
        <w:t>ITC’s Trade Map.</w:t>
      </w:r>
    </w:p>
    <w:p w14:paraId="58AD21A2" w14:textId="77777777" w:rsidR="007A78D8" w:rsidRDefault="007A78D8" w:rsidP="005A6FA7">
      <w:pPr>
        <w:pStyle w:val="Source"/>
      </w:pPr>
    </w:p>
    <w:p w14:paraId="58AD21A3" w14:textId="77777777" w:rsidR="005A6FA7" w:rsidRDefault="005A6FA7" w:rsidP="005A6FA7">
      <w:pPr>
        <w:pStyle w:val="FigureHeading"/>
        <w:spacing w:before="0"/>
      </w:pPr>
      <w:bookmarkStart w:id="69" w:name="_Toc405451004"/>
      <w:bookmarkStart w:id="70" w:name="_Toc405451568"/>
      <w:bookmarkStart w:id="71" w:name="_Toc405467957"/>
      <w:bookmarkStart w:id="72" w:name="_Toc406600309"/>
      <w:bookmarkStart w:id="73" w:name="_Toc407106179"/>
      <w:bookmarkStart w:id="74" w:name="_Toc427857742"/>
      <w:r>
        <w:t xml:space="preserve">Top export markets, </w:t>
      </w:r>
      <w:r w:rsidR="005D716A">
        <w:t>Myanmar</w:t>
      </w:r>
      <w:r>
        <w:t xml:space="preserve"> (</w:t>
      </w:r>
      <w:r w:rsidR="00CE01BB">
        <w:t>2010</w:t>
      </w:r>
      <w:r>
        <w:t>)</w:t>
      </w:r>
      <w:bookmarkEnd w:id="69"/>
      <w:bookmarkEnd w:id="70"/>
      <w:bookmarkEnd w:id="71"/>
      <w:bookmarkEnd w:id="72"/>
      <w:bookmarkEnd w:id="73"/>
      <w:bookmarkEnd w:id="74"/>
    </w:p>
    <w:p w14:paraId="58AD21A4" w14:textId="77777777" w:rsidR="00531651" w:rsidRPr="00531651" w:rsidRDefault="00531651" w:rsidP="00531651">
      <w:pPr>
        <w:pStyle w:val="BodyText"/>
        <w:spacing w:before="39" w:after="0" w:line="240" w:lineRule="auto"/>
        <w:jc w:val="left"/>
      </w:pPr>
      <w:r>
        <w:rPr>
          <w:noProof/>
          <w:lang w:eastAsia="en-GB"/>
        </w:rPr>
        <w:drawing>
          <wp:inline distT="0" distB="0" distL="0" distR="0" wp14:anchorId="58AD234E" wp14:editId="58AD234F">
            <wp:extent cx="4963510" cy="2491740"/>
            <wp:effectExtent l="0" t="0" r="889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1">
                      <a:extLst>
                        <a:ext uri="{28A0092B-C50C-407E-A947-70E740481C1C}">
                          <a14:useLocalDpi xmlns:a14="http://schemas.microsoft.com/office/drawing/2010/main" val="0"/>
                        </a:ext>
                      </a:extLst>
                    </a:blip>
                    <a:srcRect l="7787" b="3255"/>
                    <a:stretch/>
                  </pic:blipFill>
                  <pic:spPr bwMode="auto">
                    <a:xfrm>
                      <a:off x="0" y="0"/>
                      <a:ext cx="4969629" cy="2494812"/>
                    </a:xfrm>
                    <a:prstGeom prst="rect">
                      <a:avLst/>
                    </a:prstGeom>
                    <a:noFill/>
                    <a:ln>
                      <a:noFill/>
                    </a:ln>
                    <a:extLst>
                      <a:ext uri="{53640926-AAD7-44D8-BBD7-CCE9431645EC}">
                        <a14:shadowObscured xmlns:a14="http://schemas.microsoft.com/office/drawing/2010/main"/>
                      </a:ext>
                    </a:extLst>
                  </pic:spPr>
                </pic:pic>
              </a:graphicData>
            </a:graphic>
          </wp:inline>
        </w:drawing>
      </w:r>
    </w:p>
    <w:p w14:paraId="58AD21A5" w14:textId="77777777" w:rsidR="005A6FA7" w:rsidRDefault="005A6FA7" w:rsidP="005A6FA7">
      <w:pPr>
        <w:pStyle w:val="Source"/>
        <w:rPr>
          <w:b/>
          <w:color w:val="006C67" w:themeColor="accent1"/>
          <w:sz w:val="24"/>
        </w:rPr>
      </w:pPr>
      <w:r>
        <w:t xml:space="preserve">Source: Authors’ calculations using data from </w:t>
      </w:r>
      <w:r w:rsidR="00383E01">
        <w:t xml:space="preserve">the </w:t>
      </w:r>
      <w:r>
        <w:t>UN</w:t>
      </w:r>
      <w:r w:rsidR="00383E01">
        <w:t>’s</w:t>
      </w:r>
      <w:r>
        <w:t xml:space="preserve"> </w:t>
      </w:r>
      <w:proofErr w:type="spellStart"/>
      <w:r>
        <w:t>COMTRADE</w:t>
      </w:r>
      <w:proofErr w:type="spellEnd"/>
      <w:r>
        <w:t xml:space="preserve"> database.</w:t>
      </w:r>
      <w:bookmarkStart w:id="75" w:name="_Toc405451005"/>
      <w:bookmarkStart w:id="76" w:name="_Toc405451569"/>
      <w:r>
        <w:br w:type="page"/>
      </w:r>
    </w:p>
    <w:p w14:paraId="58AD21A6" w14:textId="77777777" w:rsidR="005A6FA7" w:rsidRDefault="005A6FA7" w:rsidP="005A6FA7">
      <w:pPr>
        <w:pStyle w:val="FigureHeading"/>
        <w:spacing w:before="0"/>
      </w:pPr>
      <w:bookmarkStart w:id="77" w:name="_Toc405467958"/>
      <w:bookmarkStart w:id="78" w:name="_Toc406600310"/>
      <w:bookmarkStart w:id="79" w:name="_Toc407106180"/>
      <w:bookmarkStart w:id="80" w:name="_Toc427857743"/>
      <w:r>
        <w:t xml:space="preserve">Imports by broad HS Section, </w:t>
      </w:r>
      <w:r w:rsidR="005D716A">
        <w:t>Myanmar</w:t>
      </w:r>
      <w:r>
        <w:t>, 20</w:t>
      </w:r>
      <w:r w:rsidR="00531651">
        <w:t>10 (own data)</w:t>
      </w:r>
      <w:r>
        <w:t xml:space="preserve"> and 20</w:t>
      </w:r>
      <w:r w:rsidR="00531651">
        <w:t>11</w:t>
      </w:r>
      <w:r>
        <w:t>–1</w:t>
      </w:r>
      <w:bookmarkEnd w:id="75"/>
      <w:bookmarkEnd w:id="76"/>
      <w:bookmarkEnd w:id="77"/>
      <w:bookmarkEnd w:id="78"/>
      <w:r w:rsidR="00B97535">
        <w:t>3</w:t>
      </w:r>
      <w:r w:rsidR="00531651">
        <w:t xml:space="preserve">  (mirror data)</w:t>
      </w:r>
      <w:bookmarkEnd w:id="79"/>
      <w:bookmarkEnd w:id="80"/>
    </w:p>
    <w:p w14:paraId="58AD21A7" w14:textId="77777777" w:rsidR="00B97535" w:rsidRPr="00B97535" w:rsidRDefault="00531651" w:rsidP="00531651">
      <w:pPr>
        <w:pStyle w:val="BodyText"/>
        <w:spacing w:before="39" w:after="0" w:line="240" w:lineRule="auto"/>
        <w:jc w:val="left"/>
      </w:pPr>
      <w:r>
        <w:rPr>
          <w:noProof/>
          <w:lang w:eastAsia="en-GB"/>
        </w:rPr>
        <w:drawing>
          <wp:inline distT="0" distB="0" distL="0" distR="0" wp14:anchorId="58AD2350" wp14:editId="58AD2351">
            <wp:extent cx="5486400" cy="2468880"/>
            <wp:effectExtent l="0" t="0" r="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eastAsia="en-GB"/>
        </w:rPr>
        <w:drawing>
          <wp:inline distT="0" distB="0" distL="0" distR="0" wp14:anchorId="58AD2352" wp14:editId="58AD2353">
            <wp:extent cx="5486400" cy="2468880"/>
            <wp:effectExtent l="0" t="0" r="0" b="762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5A6FA7" w:rsidRPr="00C91C87" w14:paraId="58AD21AA" w14:textId="77777777" w:rsidTr="00B80895">
        <w:tc>
          <w:tcPr>
            <w:tcW w:w="630" w:type="dxa"/>
            <w:tcBorders>
              <w:top w:val="nil"/>
              <w:left w:val="nil"/>
              <w:bottom w:val="nil"/>
              <w:right w:val="nil"/>
            </w:tcBorders>
            <w:shd w:val="clear" w:color="auto" w:fill="auto"/>
            <w:noWrap/>
          </w:tcPr>
          <w:p w14:paraId="58AD21A8" w14:textId="77777777" w:rsidR="005A6FA7" w:rsidRPr="00A364CB" w:rsidRDefault="005A6FA7" w:rsidP="00B8089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8AD21A9" w14:textId="77777777" w:rsidR="005A6FA7" w:rsidRDefault="005A6FA7" w:rsidP="00B80895">
            <w:pPr>
              <w:rPr>
                <w:rFonts w:ascii="Calibri" w:eastAsia="Times New Roman" w:hAnsi="Calibri"/>
                <w:color w:val="000000"/>
                <w:sz w:val="16"/>
                <w:szCs w:val="16"/>
                <w:lang w:eastAsia="en-GB"/>
              </w:rPr>
            </w:pPr>
          </w:p>
        </w:tc>
      </w:tr>
      <w:tr w:rsidR="005A6FA7" w:rsidRPr="00C91C87" w14:paraId="58AD21AD" w14:textId="77777777" w:rsidTr="00B80895">
        <w:tc>
          <w:tcPr>
            <w:tcW w:w="630" w:type="dxa"/>
            <w:tcBorders>
              <w:top w:val="nil"/>
              <w:left w:val="nil"/>
              <w:bottom w:val="nil"/>
              <w:right w:val="nil"/>
            </w:tcBorders>
            <w:shd w:val="clear" w:color="auto" w:fill="auto"/>
            <w:noWrap/>
          </w:tcPr>
          <w:p w14:paraId="58AD21AB"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8AD21AC"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5A6FA7" w:rsidRPr="00C91C87" w14:paraId="58AD21B0" w14:textId="77777777" w:rsidTr="00B80895">
        <w:tc>
          <w:tcPr>
            <w:tcW w:w="630" w:type="dxa"/>
            <w:tcBorders>
              <w:top w:val="nil"/>
              <w:left w:val="nil"/>
              <w:bottom w:val="nil"/>
              <w:right w:val="nil"/>
            </w:tcBorders>
            <w:shd w:val="clear" w:color="auto" w:fill="auto"/>
            <w:noWrap/>
            <w:hideMark/>
          </w:tcPr>
          <w:p w14:paraId="58AD21AE"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8AD21AF"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5A6FA7" w:rsidRPr="00C91C87" w14:paraId="58AD21B3" w14:textId="77777777" w:rsidTr="00B80895">
        <w:tc>
          <w:tcPr>
            <w:tcW w:w="630" w:type="dxa"/>
            <w:tcBorders>
              <w:top w:val="nil"/>
              <w:left w:val="nil"/>
              <w:bottom w:val="nil"/>
              <w:right w:val="nil"/>
            </w:tcBorders>
            <w:shd w:val="clear" w:color="auto" w:fill="auto"/>
            <w:noWrap/>
            <w:hideMark/>
          </w:tcPr>
          <w:p w14:paraId="58AD21B1"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8AD21B2"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5A6FA7" w:rsidRPr="00C91C87" w14:paraId="58AD21B6" w14:textId="77777777" w:rsidTr="00B80895">
        <w:tc>
          <w:tcPr>
            <w:tcW w:w="630" w:type="dxa"/>
            <w:tcBorders>
              <w:top w:val="nil"/>
              <w:left w:val="nil"/>
              <w:bottom w:val="nil"/>
              <w:right w:val="nil"/>
            </w:tcBorders>
            <w:shd w:val="clear" w:color="auto" w:fill="auto"/>
            <w:noWrap/>
            <w:hideMark/>
          </w:tcPr>
          <w:p w14:paraId="58AD21B4"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8AD21B5"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5A6FA7" w:rsidRPr="00C91C87" w14:paraId="58AD21B9" w14:textId="77777777" w:rsidTr="00B80895">
        <w:tc>
          <w:tcPr>
            <w:tcW w:w="630" w:type="dxa"/>
            <w:tcBorders>
              <w:top w:val="nil"/>
              <w:left w:val="nil"/>
              <w:bottom w:val="nil"/>
              <w:right w:val="nil"/>
            </w:tcBorders>
            <w:shd w:val="clear" w:color="auto" w:fill="auto"/>
            <w:noWrap/>
            <w:hideMark/>
          </w:tcPr>
          <w:p w14:paraId="58AD21B7"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8AD21B8"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5A6FA7" w:rsidRPr="00C91C87" w14:paraId="58AD21BC" w14:textId="77777777" w:rsidTr="00B80895">
        <w:tc>
          <w:tcPr>
            <w:tcW w:w="630" w:type="dxa"/>
            <w:tcBorders>
              <w:top w:val="nil"/>
              <w:left w:val="nil"/>
              <w:bottom w:val="nil"/>
              <w:right w:val="nil"/>
            </w:tcBorders>
            <w:shd w:val="clear" w:color="auto" w:fill="auto"/>
            <w:noWrap/>
            <w:hideMark/>
          </w:tcPr>
          <w:p w14:paraId="58AD21BA"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8AD21BB"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5A6FA7" w:rsidRPr="00C91C87" w14:paraId="58AD21BF" w14:textId="77777777" w:rsidTr="00B80895">
        <w:tc>
          <w:tcPr>
            <w:tcW w:w="630" w:type="dxa"/>
            <w:tcBorders>
              <w:top w:val="nil"/>
              <w:left w:val="nil"/>
              <w:bottom w:val="nil"/>
              <w:right w:val="nil"/>
            </w:tcBorders>
            <w:shd w:val="clear" w:color="auto" w:fill="auto"/>
            <w:noWrap/>
            <w:hideMark/>
          </w:tcPr>
          <w:p w14:paraId="58AD21BD"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8AD21BE"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5A6FA7" w:rsidRPr="00C91C87" w14:paraId="58AD21C2" w14:textId="77777777" w:rsidTr="00B80895">
        <w:tc>
          <w:tcPr>
            <w:tcW w:w="630" w:type="dxa"/>
            <w:tcBorders>
              <w:top w:val="nil"/>
              <w:left w:val="nil"/>
              <w:bottom w:val="nil"/>
              <w:right w:val="nil"/>
            </w:tcBorders>
            <w:shd w:val="clear" w:color="auto" w:fill="auto"/>
            <w:noWrap/>
            <w:hideMark/>
          </w:tcPr>
          <w:p w14:paraId="58AD21C0"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8AD21C1"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5A6FA7" w:rsidRPr="00C91C87" w14:paraId="58AD21C5" w14:textId="77777777" w:rsidTr="00B80895">
        <w:tc>
          <w:tcPr>
            <w:tcW w:w="630" w:type="dxa"/>
            <w:tcBorders>
              <w:top w:val="nil"/>
              <w:left w:val="nil"/>
              <w:bottom w:val="nil"/>
              <w:right w:val="nil"/>
            </w:tcBorders>
            <w:shd w:val="clear" w:color="auto" w:fill="auto"/>
            <w:noWrap/>
            <w:hideMark/>
          </w:tcPr>
          <w:p w14:paraId="58AD21C3"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8AD21C4"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5A6FA7" w:rsidRPr="00C91C87" w14:paraId="58AD21C8" w14:textId="77777777" w:rsidTr="00B80895">
        <w:tc>
          <w:tcPr>
            <w:tcW w:w="630" w:type="dxa"/>
            <w:tcBorders>
              <w:top w:val="nil"/>
              <w:left w:val="nil"/>
              <w:bottom w:val="nil"/>
              <w:right w:val="nil"/>
            </w:tcBorders>
            <w:shd w:val="clear" w:color="auto" w:fill="auto"/>
            <w:noWrap/>
            <w:hideMark/>
          </w:tcPr>
          <w:p w14:paraId="58AD21C6"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8AD21C7"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5A6FA7" w:rsidRPr="00C91C87" w14:paraId="58AD21CB" w14:textId="77777777" w:rsidTr="00B80895">
        <w:tc>
          <w:tcPr>
            <w:tcW w:w="630" w:type="dxa"/>
            <w:tcBorders>
              <w:top w:val="nil"/>
              <w:left w:val="nil"/>
              <w:bottom w:val="nil"/>
              <w:right w:val="nil"/>
            </w:tcBorders>
            <w:shd w:val="clear" w:color="auto" w:fill="auto"/>
            <w:noWrap/>
            <w:hideMark/>
          </w:tcPr>
          <w:p w14:paraId="58AD21C9"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8AD21CA"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5A6FA7" w:rsidRPr="00C91C87" w14:paraId="58AD21CE" w14:textId="77777777" w:rsidTr="00B80895">
        <w:tc>
          <w:tcPr>
            <w:tcW w:w="630" w:type="dxa"/>
            <w:tcBorders>
              <w:top w:val="nil"/>
              <w:left w:val="nil"/>
              <w:bottom w:val="nil"/>
              <w:right w:val="nil"/>
            </w:tcBorders>
            <w:shd w:val="clear" w:color="auto" w:fill="auto"/>
            <w:noWrap/>
            <w:hideMark/>
          </w:tcPr>
          <w:p w14:paraId="58AD21CC"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8AD21CD"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5A6FA7" w:rsidRPr="00C91C87" w14:paraId="58AD21D1" w14:textId="77777777" w:rsidTr="00B80895">
        <w:tc>
          <w:tcPr>
            <w:tcW w:w="630" w:type="dxa"/>
            <w:tcBorders>
              <w:top w:val="nil"/>
              <w:left w:val="nil"/>
              <w:bottom w:val="nil"/>
              <w:right w:val="nil"/>
            </w:tcBorders>
            <w:shd w:val="clear" w:color="auto" w:fill="auto"/>
            <w:noWrap/>
            <w:hideMark/>
          </w:tcPr>
          <w:p w14:paraId="58AD21CF"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8AD21D0"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5A6FA7" w:rsidRPr="00C91C87" w14:paraId="58AD21D4" w14:textId="77777777" w:rsidTr="00B80895">
        <w:tc>
          <w:tcPr>
            <w:tcW w:w="630" w:type="dxa"/>
            <w:tcBorders>
              <w:top w:val="nil"/>
              <w:left w:val="nil"/>
              <w:bottom w:val="nil"/>
              <w:right w:val="nil"/>
            </w:tcBorders>
            <w:shd w:val="clear" w:color="auto" w:fill="auto"/>
            <w:noWrap/>
            <w:hideMark/>
          </w:tcPr>
          <w:p w14:paraId="58AD21D2"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8AD21D3"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5A6FA7" w:rsidRPr="00C91C87" w14:paraId="58AD21D7" w14:textId="77777777" w:rsidTr="00B80895">
        <w:tc>
          <w:tcPr>
            <w:tcW w:w="630" w:type="dxa"/>
            <w:tcBorders>
              <w:top w:val="nil"/>
              <w:left w:val="nil"/>
              <w:bottom w:val="nil"/>
              <w:right w:val="nil"/>
            </w:tcBorders>
            <w:shd w:val="clear" w:color="auto" w:fill="auto"/>
            <w:noWrap/>
            <w:hideMark/>
          </w:tcPr>
          <w:p w14:paraId="58AD21D5"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8AD21D6"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5A6FA7" w:rsidRPr="00C91C87" w14:paraId="58AD21DA" w14:textId="77777777" w:rsidTr="00B80895">
        <w:tc>
          <w:tcPr>
            <w:tcW w:w="630" w:type="dxa"/>
            <w:tcBorders>
              <w:top w:val="nil"/>
              <w:left w:val="nil"/>
              <w:bottom w:val="nil"/>
              <w:right w:val="nil"/>
            </w:tcBorders>
            <w:shd w:val="clear" w:color="auto" w:fill="auto"/>
            <w:noWrap/>
            <w:hideMark/>
          </w:tcPr>
          <w:p w14:paraId="58AD21D8"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8AD21D9"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5A6FA7" w:rsidRPr="00C91C87" w14:paraId="58AD21DD" w14:textId="77777777" w:rsidTr="00B80895">
        <w:tc>
          <w:tcPr>
            <w:tcW w:w="630" w:type="dxa"/>
            <w:tcBorders>
              <w:top w:val="nil"/>
              <w:left w:val="nil"/>
              <w:bottom w:val="nil"/>
              <w:right w:val="nil"/>
            </w:tcBorders>
            <w:shd w:val="clear" w:color="auto" w:fill="auto"/>
            <w:noWrap/>
            <w:hideMark/>
          </w:tcPr>
          <w:p w14:paraId="58AD21DB"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8AD21DC"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5A6FA7" w:rsidRPr="00C91C87" w14:paraId="58AD21E0" w14:textId="77777777" w:rsidTr="00B80895">
        <w:tc>
          <w:tcPr>
            <w:tcW w:w="630" w:type="dxa"/>
            <w:tcBorders>
              <w:top w:val="nil"/>
              <w:left w:val="nil"/>
              <w:bottom w:val="nil"/>
              <w:right w:val="nil"/>
            </w:tcBorders>
            <w:shd w:val="clear" w:color="auto" w:fill="auto"/>
            <w:noWrap/>
            <w:hideMark/>
          </w:tcPr>
          <w:p w14:paraId="58AD21DE"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8AD21DF"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5A6FA7" w:rsidRPr="00C91C87" w14:paraId="58AD21E3" w14:textId="77777777" w:rsidTr="00B80895">
        <w:tc>
          <w:tcPr>
            <w:tcW w:w="630" w:type="dxa"/>
            <w:tcBorders>
              <w:top w:val="nil"/>
              <w:left w:val="nil"/>
              <w:bottom w:val="nil"/>
              <w:right w:val="nil"/>
            </w:tcBorders>
            <w:shd w:val="clear" w:color="auto" w:fill="auto"/>
            <w:noWrap/>
            <w:hideMark/>
          </w:tcPr>
          <w:p w14:paraId="58AD21E1"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8AD21E2"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5A6FA7" w:rsidRPr="00C91C87" w14:paraId="58AD21E6" w14:textId="77777777" w:rsidTr="00B80895">
        <w:tc>
          <w:tcPr>
            <w:tcW w:w="630" w:type="dxa"/>
            <w:tcBorders>
              <w:top w:val="nil"/>
              <w:left w:val="nil"/>
              <w:bottom w:val="nil"/>
              <w:right w:val="nil"/>
            </w:tcBorders>
            <w:shd w:val="clear" w:color="auto" w:fill="auto"/>
            <w:noWrap/>
            <w:hideMark/>
          </w:tcPr>
          <w:p w14:paraId="58AD21E4"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8AD21E5"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5A6FA7" w:rsidRPr="00C91C87" w14:paraId="58AD21E9" w14:textId="77777777" w:rsidTr="00B80895">
        <w:tc>
          <w:tcPr>
            <w:tcW w:w="630" w:type="dxa"/>
            <w:tcBorders>
              <w:top w:val="nil"/>
              <w:left w:val="nil"/>
              <w:bottom w:val="nil"/>
              <w:right w:val="nil"/>
            </w:tcBorders>
            <w:shd w:val="clear" w:color="auto" w:fill="auto"/>
            <w:noWrap/>
            <w:hideMark/>
          </w:tcPr>
          <w:p w14:paraId="58AD21E7"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8AD21E8"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5A6FA7" w:rsidRPr="00C91C87" w14:paraId="58AD21EC" w14:textId="77777777" w:rsidTr="00B80895">
        <w:tc>
          <w:tcPr>
            <w:tcW w:w="630" w:type="dxa"/>
            <w:tcBorders>
              <w:top w:val="nil"/>
              <w:left w:val="nil"/>
              <w:bottom w:val="nil"/>
              <w:right w:val="nil"/>
            </w:tcBorders>
            <w:shd w:val="clear" w:color="auto" w:fill="auto"/>
            <w:noWrap/>
            <w:hideMark/>
          </w:tcPr>
          <w:p w14:paraId="58AD21EA"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8AD21EB"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8AD21ED" w14:textId="77777777" w:rsidR="005A6FA7" w:rsidRDefault="005A6FA7" w:rsidP="005A6FA7">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w:t>
      </w:r>
      <w:r w:rsidR="00531651">
        <w:t xml:space="preserve">Authors’ calculation using data from ITC’s Trade Map. Note the use of mirror data, which is indicative only and should be treated with </w:t>
      </w:r>
      <w:r w:rsidR="00CF32B9">
        <w:t>caution</w:t>
      </w:r>
      <w:r w:rsidR="00531651">
        <w:t>.</w:t>
      </w:r>
    </w:p>
    <w:p w14:paraId="58AD21EE" w14:textId="77777777" w:rsidR="005A6FA7" w:rsidRDefault="005A6FA7" w:rsidP="005A6FA7">
      <w:pPr>
        <w:pStyle w:val="FigureHeading"/>
        <w:spacing w:before="0"/>
      </w:pPr>
      <w:bookmarkStart w:id="81" w:name="_Toc405451006"/>
      <w:bookmarkStart w:id="82" w:name="_Toc405451570"/>
      <w:bookmarkStart w:id="83" w:name="_Toc405467959"/>
      <w:bookmarkStart w:id="84" w:name="_Toc406600311"/>
      <w:bookmarkStart w:id="85" w:name="_Toc407106181"/>
      <w:bookmarkStart w:id="86" w:name="_Toc427857744"/>
      <w:r>
        <w:t xml:space="preserve">Change in import share by HS Section, </w:t>
      </w:r>
      <w:r w:rsidR="005D716A">
        <w:t>Myanmar</w:t>
      </w:r>
      <w:r>
        <w:t xml:space="preserve">, </w:t>
      </w:r>
      <w:r w:rsidR="00531651">
        <w:t>2010</w:t>
      </w:r>
      <w:r>
        <w:t xml:space="preserve"> </w:t>
      </w:r>
      <w:r w:rsidR="00531651">
        <w:t xml:space="preserve">(own data) </w:t>
      </w:r>
      <w:r>
        <w:t>and 20</w:t>
      </w:r>
      <w:r w:rsidR="00531651">
        <w:t>11</w:t>
      </w:r>
      <w:r>
        <w:t>–1</w:t>
      </w:r>
      <w:bookmarkEnd w:id="81"/>
      <w:bookmarkEnd w:id="82"/>
      <w:bookmarkEnd w:id="83"/>
      <w:bookmarkEnd w:id="84"/>
      <w:r w:rsidR="00B97535">
        <w:t>3</w:t>
      </w:r>
      <w:r w:rsidR="00531651">
        <w:t xml:space="preserve"> (mirror data)</w:t>
      </w:r>
      <w:bookmarkEnd w:id="85"/>
      <w:bookmarkEnd w:id="86"/>
    </w:p>
    <w:p w14:paraId="58AD21EF" w14:textId="77777777" w:rsidR="00531651" w:rsidRPr="00531651" w:rsidRDefault="00531651" w:rsidP="00531651">
      <w:pPr>
        <w:pStyle w:val="BodyText"/>
        <w:spacing w:before="39" w:after="0" w:line="240" w:lineRule="auto"/>
        <w:jc w:val="left"/>
      </w:pPr>
      <w:r>
        <w:rPr>
          <w:noProof/>
          <w:lang w:eastAsia="en-GB"/>
        </w:rPr>
        <w:drawing>
          <wp:inline distT="0" distB="0" distL="0" distR="0" wp14:anchorId="58AD2354" wp14:editId="58AD2355">
            <wp:extent cx="4572000" cy="22860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5A6FA7" w:rsidRPr="00C91C87" w14:paraId="58AD21F2" w14:textId="77777777" w:rsidTr="00B80895">
        <w:tc>
          <w:tcPr>
            <w:tcW w:w="630" w:type="dxa"/>
            <w:tcBorders>
              <w:top w:val="nil"/>
              <w:left w:val="nil"/>
              <w:bottom w:val="nil"/>
              <w:right w:val="nil"/>
            </w:tcBorders>
            <w:shd w:val="clear" w:color="auto" w:fill="auto"/>
            <w:noWrap/>
          </w:tcPr>
          <w:p w14:paraId="58AD21F0" w14:textId="77777777" w:rsidR="005A6FA7" w:rsidRPr="00A364CB" w:rsidRDefault="005A6FA7" w:rsidP="00B80895">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8AD21F1" w14:textId="77777777" w:rsidR="005A6FA7" w:rsidRDefault="005A6FA7" w:rsidP="00B80895">
            <w:pPr>
              <w:rPr>
                <w:rFonts w:ascii="Calibri" w:eastAsia="Times New Roman" w:hAnsi="Calibri"/>
                <w:color w:val="000000"/>
                <w:sz w:val="16"/>
                <w:szCs w:val="16"/>
                <w:lang w:eastAsia="en-GB"/>
              </w:rPr>
            </w:pPr>
          </w:p>
        </w:tc>
      </w:tr>
      <w:tr w:rsidR="005A6FA7" w:rsidRPr="00C91C87" w14:paraId="58AD21F5" w14:textId="77777777" w:rsidTr="00B80895">
        <w:tc>
          <w:tcPr>
            <w:tcW w:w="630" w:type="dxa"/>
            <w:tcBorders>
              <w:top w:val="nil"/>
              <w:left w:val="nil"/>
              <w:bottom w:val="nil"/>
              <w:right w:val="nil"/>
            </w:tcBorders>
            <w:shd w:val="clear" w:color="auto" w:fill="auto"/>
            <w:noWrap/>
          </w:tcPr>
          <w:p w14:paraId="58AD21F3"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8AD21F4"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5A6FA7" w:rsidRPr="00C91C87" w14:paraId="58AD21F8" w14:textId="77777777" w:rsidTr="00B80895">
        <w:tc>
          <w:tcPr>
            <w:tcW w:w="630" w:type="dxa"/>
            <w:tcBorders>
              <w:top w:val="nil"/>
              <w:left w:val="nil"/>
              <w:bottom w:val="nil"/>
              <w:right w:val="nil"/>
            </w:tcBorders>
            <w:shd w:val="clear" w:color="auto" w:fill="auto"/>
            <w:noWrap/>
            <w:hideMark/>
          </w:tcPr>
          <w:p w14:paraId="58AD21F6"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8AD21F7"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5A6FA7" w:rsidRPr="00C91C87" w14:paraId="58AD21FB" w14:textId="77777777" w:rsidTr="00B80895">
        <w:tc>
          <w:tcPr>
            <w:tcW w:w="630" w:type="dxa"/>
            <w:tcBorders>
              <w:top w:val="nil"/>
              <w:left w:val="nil"/>
              <w:bottom w:val="nil"/>
              <w:right w:val="nil"/>
            </w:tcBorders>
            <w:shd w:val="clear" w:color="auto" w:fill="auto"/>
            <w:noWrap/>
            <w:hideMark/>
          </w:tcPr>
          <w:p w14:paraId="58AD21F9"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8AD21FA"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5A6FA7" w:rsidRPr="00C91C87" w14:paraId="58AD21FE" w14:textId="77777777" w:rsidTr="00B80895">
        <w:tc>
          <w:tcPr>
            <w:tcW w:w="630" w:type="dxa"/>
            <w:tcBorders>
              <w:top w:val="nil"/>
              <w:left w:val="nil"/>
              <w:bottom w:val="nil"/>
              <w:right w:val="nil"/>
            </w:tcBorders>
            <w:shd w:val="clear" w:color="auto" w:fill="auto"/>
            <w:noWrap/>
            <w:hideMark/>
          </w:tcPr>
          <w:p w14:paraId="58AD21FC"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8AD21FD"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5A6FA7" w:rsidRPr="00C91C87" w14:paraId="58AD2201" w14:textId="77777777" w:rsidTr="00B80895">
        <w:tc>
          <w:tcPr>
            <w:tcW w:w="630" w:type="dxa"/>
            <w:tcBorders>
              <w:top w:val="nil"/>
              <w:left w:val="nil"/>
              <w:bottom w:val="nil"/>
              <w:right w:val="nil"/>
            </w:tcBorders>
            <w:shd w:val="clear" w:color="auto" w:fill="auto"/>
            <w:noWrap/>
            <w:hideMark/>
          </w:tcPr>
          <w:p w14:paraId="58AD21FF"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8AD2200"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5A6FA7" w:rsidRPr="00C91C87" w14:paraId="58AD2204" w14:textId="77777777" w:rsidTr="00B80895">
        <w:tc>
          <w:tcPr>
            <w:tcW w:w="630" w:type="dxa"/>
            <w:tcBorders>
              <w:top w:val="nil"/>
              <w:left w:val="nil"/>
              <w:bottom w:val="nil"/>
              <w:right w:val="nil"/>
            </w:tcBorders>
            <w:shd w:val="clear" w:color="auto" w:fill="auto"/>
            <w:noWrap/>
            <w:hideMark/>
          </w:tcPr>
          <w:p w14:paraId="58AD2202"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8AD2203"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5A6FA7" w:rsidRPr="00C91C87" w14:paraId="58AD2207" w14:textId="77777777" w:rsidTr="00B80895">
        <w:tc>
          <w:tcPr>
            <w:tcW w:w="630" w:type="dxa"/>
            <w:tcBorders>
              <w:top w:val="nil"/>
              <w:left w:val="nil"/>
              <w:bottom w:val="nil"/>
              <w:right w:val="nil"/>
            </w:tcBorders>
            <w:shd w:val="clear" w:color="auto" w:fill="auto"/>
            <w:noWrap/>
            <w:hideMark/>
          </w:tcPr>
          <w:p w14:paraId="58AD2205"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8AD2206"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5A6FA7" w:rsidRPr="00C91C87" w14:paraId="58AD220A" w14:textId="77777777" w:rsidTr="00B80895">
        <w:tc>
          <w:tcPr>
            <w:tcW w:w="630" w:type="dxa"/>
            <w:tcBorders>
              <w:top w:val="nil"/>
              <w:left w:val="nil"/>
              <w:bottom w:val="nil"/>
              <w:right w:val="nil"/>
            </w:tcBorders>
            <w:shd w:val="clear" w:color="auto" w:fill="auto"/>
            <w:noWrap/>
            <w:hideMark/>
          </w:tcPr>
          <w:p w14:paraId="58AD2208"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8AD2209"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5A6FA7" w:rsidRPr="00C91C87" w14:paraId="58AD220D" w14:textId="77777777" w:rsidTr="00B80895">
        <w:tc>
          <w:tcPr>
            <w:tcW w:w="630" w:type="dxa"/>
            <w:tcBorders>
              <w:top w:val="nil"/>
              <w:left w:val="nil"/>
              <w:bottom w:val="nil"/>
              <w:right w:val="nil"/>
            </w:tcBorders>
            <w:shd w:val="clear" w:color="auto" w:fill="auto"/>
            <w:noWrap/>
            <w:hideMark/>
          </w:tcPr>
          <w:p w14:paraId="58AD220B"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8AD220C"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5A6FA7" w:rsidRPr="00C91C87" w14:paraId="58AD2210" w14:textId="77777777" w:rsidTr="00B80895">
        <w:tc>
          <w:tcPr>
            <w:tcW w:w="630" w:type="dxa"/>
            <w:tcBorders>
              <w:top w:val="nil"/>
              <w:left w:val="nil"/>
              <w:bottom w:val="nil"/>
              <w:right w:val="nil"/>
            </w:tcBorders>
            <w:shd w:val="clear" w:color="auto" w:fill="auto"/>
            <w:noWrap/>
            <w:hideMark/>
          </w:tcPr>
          <w:p w14:paraId="58AD220E"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8AD220F"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5A6FA7" w:rsidRPr="00C91C87" w14:paraId="58AD2213" w14:textId="77777777" w:rsidTr="00B80895">
        <w:tc>
          <w:tcPr>
            <w:tcW w:w="630" w:type="dxa"/>
            <w:tcBorders>
              <w:top w:val="nil"/>
              <w:left w:val="nil"/>
              <w:bottom w:val="nil"/>
              <w:right w:val="nil"/>
            </w:tcBorders>
            <w:shd w:val="clear" w:color="auto" w:fill="auto"/>
            <w:noWrap/>
            <w:hideMark/>
          </w:tcPr>
          <w:p w14:paraId="58AD2211"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8AD2212"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5A6FA7" w:rsidRPr="00C91C87" w14:paraId="58AD2216" w14:textId="77777777" w:rsidTr="00B80895">
        <w:tc>
          <w:tcPr>
            <w:tcW w:w="630" w:type="dxa"/>
            <w:tcBorders>
              <w:top w:val="nil"/>
              <w:left w:val="nil"/>
              <w:bottom w:val="nil"/>
              <w:right w:val="nil"/>
            </w:tcBorders>
            <w:shd w:val="clear" w:color="auto" w:fill="auto"/>
            <w:noWrap/>
            <w:hideMark/>
          </w:tcPr>
          <w:p w14:paraId="58AD2214"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8AD2215"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5A6FA7" w:rsidRPr="00C91C87" w14:paraId="58AD2219" w14:textId="77777777" w:rsidTr="00B80895">
        <w:tc>
          <w:tcPr>
            <w:tcW w:w="630" w:type="dxa"/>
            <w:tcBorders>
              <w:top w:val="nil"/>
              <w:left w:val="nil"/>
              <w:bottom w:val="nil"/>
              <w:right w:val="nil"/>
            </w:tcBorders>
            <w:shd w:val="clear" w:color="auto" w:fill="auto"/>
            <w:noWrap/>
            <w:hideMark/>
          </w:tcPr>
          <w:p w14:paraId="58AD2217"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8AD2218"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5A6FA7" w:rsidRPr="00C91C87" w14:paraId="58AD221C" w14:textId="77777777" w:rsidTr="00B80895">
        <w:tc>
          <w:tcPr>
            <w:tcW w:w="630" w:type="dxa"/>
            <w:tcBorders>
              <w:top w:val="nil"/>
              <w:left w:val="nil"/>
              <w:bottom w:val="nil"/>
              <w:right w:val="nil"/>
            </w:tcBorders>
            <w:shd w:val="clear" w:color="auto" w:fill="auto"/>
            <w:noWrap/>
            <w:hideMark/>
          </w:tcPr>
          <w:p w14:paraId="58AD221A"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8AD221B"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5A6FA7" w:rsidRPr="00C91C87" w14:paraId="58AD221F" w14:textId="77777777" w:rsidTr="00B80895">
        <w:tc>
          <w:tcPr>
            <w:tcW w:w="630" w:type="dxa"/>
            <w:tcBorders>
              <w:top w:val="nil"/>
              <w:left w:val="nil"/>
              <w:bottom w:val="nil"/>
              <w:right w:val="nil"/>
            </w:tcBorders>
            <w:shd w:val="clear" w:color="auto" w:fill="auto"/>
            <w:noWrap/>
            <w:hideMark/>
          </w:tcPr>
          <w:p w14:paraId="58AD221D"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8AD221E"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5A6FA7" w:rsidRPr="00C91C87" w14:paraId="58AD2222" w14:textId="77777777" w:rsidTr="00B80895">
        <w:tc>
          <w:tcPr>
            <w:tcW w:w="630" w:type="dxa"/>
            <w:tcBorders>
              <w:top w:val="nil"/>
              <w:left w:val="nil"/>
              <w:bottom w:val="nil"/>
              <w:right w:val="nil"/>
            </w:tcBorders>
            <w:shd w:val="clear" w:color="auto" w:fill="auto"/>
            <w:noWrap/>
            <w:hideMark/>
          </w:tcPr>
          <w:p w14:paraId="58AD2220"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8AD2221"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5A6FA7" w:rsidRPr="00C91C87" w14:paraId="58AD2225" w14:textId="77777777" w:rsidTr="00B80895">
        <w:tc>
          <w:tcPr>
            <w:tcW w:w="630" w:type="dxa"/>
            <w:tcBorders>
              <w:top w:val="nil"/>
              <w:left w:val="nil"/>
              <w:bottom w:val="nil"/>
              <w:right w:val="nil"/>
            </w:tcBorders>
            <w:shd w:val="clear" w:color="auto" w:fill="auto"/>
            <w:noWrap/>
            <w:hideMark/>
          </w:tcPr>
          <w:p w14:paraId="58AD2223"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8AD2224"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5A6FA7" w:rsidRPr="00C91C87" w14:paraId="58AD2228" w14:textId="77777777" w:rsidTr="00B80895">
        <w:tc>
          <w:tcPr>
            <w:tcW w:w="630" w:type="dxa"/>
            <w:tcBorders>
              <w:top w:val="nil"/>
              <w:left w:val="nil"/>
              <w:bottom w:val="nil"/>
              <w:right w:val="nil"/>
            </w:tcBorders>
            <w:shd w:val="clear" w:color="auto" w:fill="auto"/>
            <w:noWrap/>
            <w:hideMark/>
          </w:tcPr>
          <w:p w14:paraId="58AD2226"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8AD2227"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5A6FA7" w:rsidRPr="00C91C87" w14:paraId="58AD222B" w14:textId="77777777" w:rsidTr="00B80895">
        <w:tc>
          <w:tcPr>
            <w:tcW w:w="630" w:type="dxa"/>
            <w:tcBorders>
              <w:top w:val="nil"/>
              <w:left w:val="nil"/>
              <w:bottom w:val="nil"/>
              <w:right w:val="nil"/>
            </w:tcBorders>
            <w:shd w:val="clear" w:color="auto" w:fill="auto"/>
            <w:noWrap/>
            <w:hideMark/>
          </w:tcPr>
          <w:p w14:paraId="58AD2229"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8AD222A"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5A6FA7" w:rsidRPr="00C91C87" w14:paraId="58AD222E" w14:textId="77777777" w:rsidTr="00B80895">
        <w:tc>
          <w:tcPr>
            <w:tcW w:w="630" w:type="dxa"/>
            <w:tcBorders>
              <w:top w:val="nil"/>
              <w:left w:val="nil"/>
              <w:bottom w:val="nil"/>
              <w:right w:val="nil"/>
            </w:tcBorders>
            <w:shd w:val="clear" w:color="auto" w:fill="auto"/>
            <w:noWrap/>
            <w:hideMark/>
          </w:tcPr>
          <w:p w14:paraId="58AD222C"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8AD222D"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5A6FA7" w:rsidRPr="00C91C87" w14:paraId="58AD2231" w14:textId="77777777" w:rsidTr="00B80895">
        <w:tc>
          <w:tcPr>
            <w:tcW w:w="630" w:type="dxa"/>
            <w:tcBorders>
              <w:top w:val="nil"/>
              <w:left w:val="nil"/>
              <w:bottom w:val="nil"/>
              <w:right w:val="nil"/>
            </w:tcBorders>
            <w:shd w:val="clear" w:color="auto" w:fill="auto"/>
            <w:noWrap/>
            <w:hideMark/>
          </w:tcPr>
          <w:p w14:paraId="58AD222F"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8AD2230"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5A6FA7" w:rsidRPr="00C91C87" w14:paraId="58AD2234" w14:textId="77777777" w:rsidTr="00B80895">
        <w:tc>
          <w:tcPr>
            <w:tcW w:w="630" w:type="dxa"/>
            <w:tcBorders>
              <w:top w:val="nil"/>
              <w:left w:val="nil"/>
              <w:bottom w:val="nil"/>
              <w:right w:val="nil"/>
            </w:tcBorders>
            <w:shd w:val="clear" w:color="auto" w:fill="auto"/>
            <w:noWrap/>
            <w:hideMark/>
          </w:tcPr>
          <w:p w14:paraId="58AD2232" w14:textId="77777777" w:rsidR="005A6FA7" w:rsidRPr="00A364CB" w:rsidRDefault="005A6FA7" w:rsidP="00B80895">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8AD2233" w14:textId="77777777" w:rsidR="005A6FA7" w:rsidRPr="00A364CB" w:rsidRDefault="005A6FA7" w:rsidP="00B80895">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8AD2235" w14:textId="77777777" w:rsidR="005A6FA7" w:rsidRDefault="005A6FA7" w:rsidP="005A6FA7">
      <w:pPr>
        <w:pStyle w:val="Source"/>
      </w:pPr>
      <w:r>
        <w:t xml:space="preserve">Source: </w:t>
      </w:r>
      <w:r w:rsidR="00531651">
        <w:t xml:space="preserve">Authors’ calculation using data from ITC’s Trade Map. Note the use of mirror data, which is indicative only and should be treated with </w:t>
      </w:r>
      <w:r w:rsidR="00CF32B9">
        <w:t>caution</w:t>
      </w:r>
      <w:r w:rsidR="00531651">
        <w:t>.</w:t>
      </w:r>
    </w:p>
    <w:p w14:paraId="58AD2236" w14:textId="77777777" w:rsidR="005A6FA7" w:rsidRDefault="005A6FA7" w:rsidP="005A6FA7">
      <w:pPr>
        <w:rPr>
          <w:rFonts w:ascii="Arial" w:hAnsi="Arial"/>
          <w:i/>
          <w:sz w:val="16"/>
        </w:rPr>
      </w:pPr>
      <w:r>
        <w:br w:type="page"/>
      </w:r>
    </w:p>
    <w:p w14:paraId="58AD2237" w14:textId="77777777" w:rsidR="005A6FA7" w:rsidRDefault="005A6FA7" w:rsidP="005A6FA7">
      <w:pPr>
        <w:pStyle w:val="FigureHeading"/>
        <w:spacing w:before="0"/>
      </w:pPr>
      <w:bookmarkStart w:id="87" w:name="_Toc405451007"/>
      <w:bookmarkStart w:id="88" w:name="_Toc405451571"/>
      <w:bookmarkStart w:id="89" w:name="_Toc405467960"/>
      <w:bookmarkStart w:id="90" w:name="_Toc406600312"/>
      <w:bookmarkStart w:id="91" w:name="_Toc407106182"/>
      <w:bookmarkStart w:id="92" w:name="_Toc427857745"/>
      <w:r>
        <w:t xml:space="preserve">Import visualisation, </w:t>
      </w:r>
      <w:r w:rsidR="005D716A">
        <w:t>Myanmar</w:t>
      </w:r>
      <w:r>
        <w:t>, 2005 and 201</w:t>
      </w:r>
      <w:bookmarkEnd w:id="87"/>
      <w:bookmarkEnd w:id="88"/>
      <w:r>
        <w:t>2</w:t>
      </w:r>
      <w:bookmarkEnd w:id="89"/>
      <w:bookmarkEnd w:id="90"/>
      <w:bookmarkEnd w:id="91"/>
      <w:bookmarkEnd w:id="92"/>
    </w:p>
    <w:tbl>
      <w:tblPr>
        <w:tblStyle w:val="TableGrid"/>
        <w:tblW w:w="371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70"/>
      </w:tblGrid>
      <w:tr w:rsidR="005A6FA7" w:rsidRPr="00E81E7D" w14:paraId="58AD2239" w14:textId="77777777" w:rsidTr="00CE01BB">
        <w:trPr>
          <w:trHeight w:hRule="exact" w:val="259"/>
        </w:trPr>
        <w:tc>
          <w:tcPr>
            <w:tcW w:w="6570" w:type="dxa"/>
            <w:vAlign w:val="bottom"/>
          </w:tcPr>
          <w:p w14:paraId="58AD2238" w14:textId="77777777" w:rsidR="005A6FA7" w:rsidRPr="00E81E7D" w:rsidRDefault="005A6FA7" w:rsidP="00B80895">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5A6FA7" w14:paraId="58AD223B" w14:textId="77777777" w:rsidTr="00CE01BB">
        <w:trPr>
          <w:trHeight w:hRule="exact" w:val="5400"/>
        </w:trPr>
        <w:tc>
          <w:tcPr>
            <w:tcW w:w="6570" w:type="dxa"/>
          </w:tcPr>
          <w:p w14:paraId="58AD223A" w14:textId="77777777" w:rsidR="005A6FA7" w:rsidRDefault="00CE01BB" w:rsidP="00B80895">
            <w:r>
              <w:rPr>
                <w:noProof/>
                <w:lang w:eastAsia="en-GB"/>
              </w:rPr>
              <w:drawing>
                <wp:inline distT="0" distB="0" distL="0" distR="0" wp14:anchorId="58AD2356" wp14:editId="58AD2357">
                  <wp:extent cx="4206240" cy="3328416"/>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6601" t="28547" r="26313" b="23589"/>
                          <a:stretch/>
                        </pic:blipFill>
                        <pic:spPr bwMode="auto">
                          <a:xfrm>
                            <a:off x="0" y="0"/>
                            <a:ext cx="4206240" cy="3328416"/>
                          </a:xfrm>
                          <a:prstGeom prst="rect">
                            <a:avLst/>
                          </a:prstGeom>
                          <a:ln>
                            <a:noFill/>
                          </a:ln>
                          <a:extLst>
                            <a:ext uri="{53640926-AAD7-44D8-BBD7-CCE9431645EC}">
                              <a14:shadowObscured xmlns:a14="http://schemas.microsoft.com/office/drawing/2010/main"/>
                            </a:ext>
                          </a:extLst>
                        </pic:spPr>
                      </pic:pic>
                    </a:graphicData>
                  </a:graphic>
                </wp:inline>
              </w:drawing>
            </w:r>
          </w:p>
        </w:tc>
      </w:tr>
      <w:tr w:rsidR="005A6FA7" w14:paraId="58AD223D" w14:textId="77777777" w:rsidTr="00CE01BB">
        <w:trPr>
          <w:trHeight w:hRule="exact" w:val="259"/>
        </w:trPr>
        <w:tc>
          <w:tcPr>
            <w:tcW w:w="6570" w:type="dxa"/>
            <w:vAlign w:val="bottom"/>
          </w:tcPr>
          <w:p w14:paraId="58AD223C" w14:textId="77777777" w:rsidR="005A6FA7" w:rsidRDefault="005A6FA7" w:rsidP="00B80895">
            <w:pPr>
              <w:jc w:val="center"/>
              <w:rPr>
                <w:noProof/>
                <w:lang w:eastAsia="en-GB"/>
              </w:rPr>
            </w:pPr>
            <w:r>
              <w:rPr>
                <w:rFonts w:asciiTheme="majorHAnsi" w:hAnsiTheme="majorHAnsi" w:cstheme="majorHAnsi"/>
                <w:b/>
                <w:noProof/>
                <w:sz w:val="16"/>
                <w:szCs w:val="16"/>
                <w:lang w:eastAsia="en-GB"/>
              </w:rPr>
              <w:t>2012</w:t>
            </w:r>
          </w:p>
        </w:tc>
      </w:tr>
      <w:tr w:rsidR="005A6FA7" w14:paraId="58AD223F" w14:textId="77777777" w:rsidTr="00CE01BB">
        <w:trPr>
          <w:trHeight w:hRule="exact" w:val="5400"/>
        </w:trPr>
        <w:tc>
          <w:tcPr>
            <w:tcW w:w="6570" w:type="dxa"/>
          </w:tcPr>
          <w:p w14:paraId="58AD223E" w14:textId="77777777" w:rsidR="005A6FA7" w:rsidRDefault="00CE01BB" w:rsidP="00B80895">
            <w:pPr>
              <w:rPr>
                <w:noProof/>
                <w:lang w:eastAsia="en-GB"/>
              </w:rPr>
            </w:pPr>
            <w:r>
              <w:rPr>
                <w:noProof/>
                <w:lang w:eastAsia="en-GB"/>
              </w:rPr>
              <w:drawing>
                <wp:inline distT="0" distB="0" distL="0" distR="0" wp14:anchorId="58AD2358" wp14:editId="58AD2359">
                  <wp:extent cx="4142232" cy="33832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7001" t="28376" r="26580" b="22906"/>
                          <a:stretch/>
                        </pic:blipFill>
                        <pic:spPr bwMode="auto">
                          <a:xfrm>
                            <a:off x="0" y="0"/>
                            <a:ext cx="4142232" cy="3383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AD2240" w14:textId="77777777" w:rsidR="005A6FA7" w:rsidRPr="00333F79" w:rsidRDefault="00EF749C" w:rsidP="005A6FA7">
      <w:pPr>
        <w:pStyle w:val="Source"/>
        <w:rPr>
          <w:lang w:val="en" w:eastAsia="en-GB"/>
        </w:rPr>
      </w:pPr>
      <w:bookmarkStart w:id="93" w:name="_Toc405451008"/>
      <w:bookmarkStart w:id="94" w:name="_Toc405451572"/>
      <w:r>
        <w:t>Source: MIT Observatory of Economic Complexity (</w:t>
      </w:r>
      <w:hyperlink r:id="rId67" w:history="1">
        <w:r w:rsidRPr="009257D9">
          <w:rPr>
            <w:rStyle w:val="Hyperlink"/>
          </w:rPr>
          <w:t>http://atlas.media.mit.edu/explore/tree_map/hs/export/rwa/all/show/2012/</w:t>
        </w:r>
      </w:hyperlink>
      <w:r>
        <w:t>).</w:t>
      </w:r>
    </w:p>
    <w:p w14:paraId="58AD2241" w14:textId="77777777" w:rsidR="005A6FA7" w:rsidRDefault="005A6FA7" w:rsidP="005A6FA7">
      <w:pPr>
        <w:rPr>
          <w:rFonts w:ascii="Arial" w:hAnsi="Arial"/>
          <w:b/>
          <w:color w:val="006C67" w:themeColor="accent1"/>
          <w:sz w:val="24"/>
        </w:rPr>
      </w:pPr>
      <w:r>
        <w:br w:type="page"/>
      </w:r>
    </w:p>
    <w:p w14:paraId="58AD2242" w14:textId="77777777" w:rsidR="005A6FA7" w:rsidRDefault="005A6FA7" w:rsidP="005A6FA7">
      <w:pPr>
        <w:pStyle w:val="FigureHeading"/>
        <w:spacing w:before="0"/>
      </w:pPr>
      <w:bookmarkStart w:id="95" w:name="_Toc405451009"/>
      <w:bookmarkStart w:id="96" w:name="_Toc405451573"/>
      <w:bookmarkStart w:id="97" w:name="_Toc405467962"/>
      <w:bookmarkStart w:id="98" w:name="_Toc406600314"/>
      <w:bookmarkStart w:id="99" w:name="_Toc407106184"/>
      <w:bookmarkStart w:id="100" w:name="_Toc427857746"/>
      <w:bookmarkEnd w:id="93"/>
      <w:bookmarkEnd w:id="94"/>
      <w:r>
        <w:t xml:space="preserve">Top import products, </w:t>
      </w:r>
      <w:r w:rsidR="005D716A">
        <w:t>Myanmar</w:t>
      </w:r>
      <w:r>
        <w:t xml:space="preserve"> (</w:t>
      </w:r>
      <w:r w:rsidR="00531651">
        <w:t>2010</w:t>
      </w:r>
      <w:r>
        <w:t>)</w:t>
      </w:r>
      <w:bookmarkEnd w:id="95"/>
      <w:bookmarkEnd w:id="96"/>
      <w:bookmarkEnd w:id="97"/>
      <w:bookmarkEnd w:id="98"/>
      <w:bookmarkEnd w:id="99"/>
      <w:bookmarkEnd w:id="100"/>
    </w:p>
    <w:p w14:paraId="58AD2243" w14:textId="77777777" w:rsidR="00383E01" w:rsidRPr="00383E01" w:rsidRDefault="00383E01" w:rsidP="00383E01">
      <w:pPr>
        <w:pStyle w:val="BodyText"/>
        <w:spacing w:before="39" w:after="0" w:line="240" w:lineRule="auto"/>
        <w:jc w:val="left"/>
      </w:pPr>
      <w:r>
        <w:rPr>
          <w:noProof/>
          <w:lang w:eastAsia="en-GB"/>
        </w:rPr>
        <w:drawing>
          <wp:inline distT="0" distB="0" distL="0" distR="0" wp14:anchorId="58AD235A" wp14:editId="58AD235B">
            <wp:extent cx="4922520" cy="2132869"/>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l="12347" t="10547"/>
                    <a:stretch/>
                  </pic:blipFill>
                  <pic:spPr bwMode="auto">
                    <a:xfrm>
                      <a:off x="0" y="0"/>
                      <a:ext cx="4921407" cy="2132387"/>
                    </a:xfrm>
                    <a:prstGeom prst="rect">
                      <a:avLst/>
                    </a:prstGeom>
                    <a:noFill/>
                    <a:ln>
                      <a:noFill/>
                    </a:ln>
                    <a:extLst>
                      <a:ext uri="{53640926-AAD7-44D8-BBD7-CCE9431645EC}">
                        <a14:shadowObscured xmlns:a14="http://schemas.microsoft.com/office/drawing/2010/main"/>
                      </a:ext>
                    </a:extLst>
                  </pic:spPr>
                </pic:pic>
              </a:graphicData>
            </a:graphic>
          </wp:inline>
        </w:drawing>
      </w:r>
    </w:p>
    <w:p w14:paraId="58AD2244" w14:textId="77777777" w:rsidR="005A6FA7" w:rsidRDefault="005A6FA7" w:rsidP="005A6FA7">
      <w:pPr>
        <w:pStyle w:val="Source"/>
      </w:pPr>
      <w:r>
        <w:t>Note: At Harmonised System 6-digit level.</w:t>
      </w:r>
      <w:r>
        <w:br/>
        <w:t xml:space="preserve">Source: Authors’ calculations using data from </w:t>
      </w:r>
      <w:r w:rsidR="00383E01">
        <w:t>ITC’s Trade Map</w:t>
      </w:r>
      <w:r>
        <w:t>.</w:t>
      </w:r>
    </w:p>
    <w:p w14:paraId="58AD2245" w14:textId="77777777" w:rsidR="007A78D8" w:rsidRDefault="007A78D8" w:rsidP="005A6FA7">
      <w:pPr>
        <w:pStyle w:val="Source"/>
      </w:pPr>
    </w:p>
    <w:p w14:paraId="58AD2246" w14:textId="77777777" w:rsidR="005A6FA7" w:rsidRDefault="005A6FA7" w:rsidP="005A6FA7">
      <w:pPr>
        <w:pStyle w:val="FigureHeading"/>
        <w:spacing w:before="0"/>
      </w:pPr>
      <w:bookmarkStart w:id="101" w:name="_Toc405451010"/>
      <w:bookmarkStart w:id="102" w:name="_Toc405451574"/>
      <w:bookmarkStart w:id="103" w:name="_Toc405467963"/>
      <w:bookmarkStart w:id="104" w:name="_Toc406600315"/>
      <w:bookmarkStart w:id="105" w:name="_Toc407106185"/>
      <w:bookmarkStart w:id="106" w:name="_Toc427857747"/>
      <w:r>
        <w:t xml:space="preserve">Top import sources, </w:t>
      </w:r>
      <w:r w:rsidR="005D716A">
        <w:t>Myanmar</w:t>
      </w:r>
      <w:r>
        <w:t xml:space="preserve"> (</w:t>
      </w:r>
      <w:r w:rsidR="00531651">
        <w:t>2010</w:t>
      </w:r>
      <w:r>
        <w:t>)</w:t>
      </w:r>
      <w:bookmarkEnd w:id="101"/>
      <w:bookmarkEnd w:id="102"/>
      <w:bookmarkEnd w:id="103"/>
      <w:bookmarkEnd w:id="104"/>
      <w:bookmarkEnd w:id="105"/>
      <w:bookmarkEnd w:id="106"/>
    </w:p>
    <w:p w14:paraId="58AD2247" w14:textId="77777777" w:rsidR="008C2889" w:rsidRPr="008C2889" w:rsidRDefault="00383E01" w:rsidP="00383E01">
      <w:pPr>
        <w:pStyle w:val="BodyText"/>
        <w:spacing w:before="39" w:after="0" w:line="240" w:lineRule="auto"/>
        <w:jc w:val="left"/>
      </w:pPr>
      <w:r>
        <w:rPr>
          <w:noProof/>
          <w:lang w:eastAsia="en-GB"/>
        </w:rPr>
        <w:drawing>
          <wp:inline distT="0" distB="0" distL="0" distR="0" wp14:anchorId="58AD235C" wp14:editId="58AD235D">
            <wp:extent cx="4937760" cy="22250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l="12076" t="2556" b="4124"/>
                    <a:stretch/>
                  </pic:blipFill>
                  <pic:spPr bwMode="auto">
                    <a:xfrm>
                      <a:off x="0" y="0"/>
                      <a:ext cx="4936644" cy="2224537"/>
                    </a:xfrm>
                    <a:prstGeom prst="rect">
                      <a:avLst/>
                    </a:prstGeom>
                    <a:noFill/>
                    <a:ln>
                      <a:noFill/>
                    </a:ln>
                    <a:extLst>
                      <a:ext uri="{53640926-AAD7-44D8-BBD7-CCE9431645EC}">
                        <a14:shadowObscured xmlns:a14="http://schemas.microsoft.com/office/drawing/2010/main"/>
                      </a:ext>
                    </a:extLst>
                  </pic:spPr>
                </pic:pic>
              </a:graphicData>
            </a:graphic>
          </wp:inline>
        </w:drawing>
      </w:r>
    </w:p>
    <w:p w14:paraId="58AD2248" w14:textId="77777777" w:rsidR="005A6FA7" w:rsidRDefault="005A6FA7" w:rsidP="005A6FA7">
      <w:pPr>
        <w:pStyle w:val="Source"/>
      </w:pPr>
      <w:r>
        <w:t xml:space="preserve">Source: Authors’ calculations using data from </w:t>
      </w:r>
      <w:r w:rsidR="00383E01">
        <w:t xml:space="preserve">the </w:t>
      </w:r>
      <w:r>
        <w:t>UN</w:t>
      </w:r>
      <w:r w:rsidR="00383E01">
        <w:t>’s</w:t>
      </w:r>
      <w:r>
        <w:t xml:space="preserve"> </w:t>
      </w:r>
      <w:proofErr w:type="spellStart"/>
      <w:r>
        <w:t>COMTRADE</w:t>
      </w:r>
      <w:proofErr w:type="spellEnd"/>
      <w:r>
        <w:t xml:space="preserve"> database.</w:t>
      </w:r>
    </w:p>
    <w:p w14:paraId="58AD2249" w14:textId="77777777" w:rsidR="005D716A" w:rsidRDefault="005D716A">
      <w:r>
        <w:br w:type="page"/>
      </w:r>
    </w:p>
    <w:p w14:paraId="58AD224A" w14:textId="77777777" w:rsidR="00A34431" w:rsidRDefault="005D716A" w:rsidP="005D716A">
      <w:pPr>
        <w:pStyle w:val="Heading2"/>
      </w:pPr>
      <w:bookmarkStart w:id="107" w:name="_Toc427857748"/>
      <w:r>
        <w:t>Diversification</w:t>
      </w:r>
      <w:bookmarkEnd w:id="107"/>
    </w:p>
    <w:p w14:paraId="58AD224B" w14:textId="77777777" w:rsidR="005D716A" w:rsidRDefault="005D716A" w:rsidP="005D716A">
      <w:pPr>
        <w:pStyle w:val="FigureHeading"/>
        <w:spacing w:before="0"/>
      </w:pPr>
      <w:bookmarkStart w:id="108" w:name="_Toc407106173"/>
      <w:bookmarkStart w:id="109" w:name="_Toc427857749"/>
      <w:r>
        <w:t>Export diversification index, Myanmar, 1965–2010</w:t>
      </w:r>
      <w:bookmarkEnd w:id="108"/>
      <w:bookmarkEnd w:id="109"/>
    </w:p>
    <w:p w14:paraId="58AD224C" w14:textId="77777777" w:rsidR="005D716A" w:rsidRPr="007111EA" w:rsidRDefault="005D716A" w:rsidP="005D716A">
      <w:pPr>
        <w:pStyle w:val="BodyText"/>
        <w:spacing w:before="39" w:after="0" w:line="240" w:lineRule="auto"/>
        <w:jc w:val="left"/>
      </w:pPr>
      <w:r>
        <w:rPr>
          <w:noProof/>
          <w:lang w:eastAsia="en-GB"/>
        </w:rPr>
        <w:drawing>
          <wp:inline distT="0" distB="0" distL="0" distR="0" wp14:anchorId="58AD235E" wp14:editId="58AD235F">
            <wp:extent cx="4114800" cy="2286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8AD224D" w14:textId="77777777" w:rsidR="005D716A" w:rsidRDefault="005D716A" w:rsidP="005D716A">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1" w:history="1">
        <w:r w:rsidRPr="005C6F94">
          <w:rPr>
            <w:rStyle w:val="Hyperlink"/>
          </w:rPr>
          <w:t>http://www.imf.org/external/np/res/dfidimf/diversification.htm</w:t>
        </w:r>
      </w:hyperlink>
      <w:r>
        <w:t>): Export Diversification Database.</w:t>
      </w:r>
    </w:p>
    <w:p w14:paraId="58AD224E" w14:textId="77777777" w:rsidR="005D716A" w:rsidRDefault="005D716A">
      <w:pPr>
        <w:rPr>
          <w:rFonts w:ascii="Arial" w:hAnsi="Arial"/>
          <w:b/>
          <w:color w:val="006C67" w:themeColor="accent1"/>
          <w:sz w:val="24"/>
        </w:rPr>
      </w:pPr>
      <w:bookmarkStart w:id="110" w:name="_Toc405467955"/>
      <w:bookmarkStart w:id="111" w:name="_Toc406600307"/>
      <w:bookmarkStart w:id="112" w:name="_Toc407106177"/>
      <w:r>
        <w:br w:type="page"/>
      </w:r>
    </w:p>
    <w:p w14:paraId="58AD224F" w14:textId="77777777" w:rsidR="005D716A" w:rsidRDefault="005D716A" w:rsidP="005D716A">
      <w:pPr>
        <w:pStyle w:val="FigureHeading"/>
        <w:spacing w:before="0"/>
      </w:pPr>
      <w:bookmarkStart w:id="113" w:name="_Toc427857750"/>
      <w:r>
        <w:t>Number of export items and markets, Myanmar, 2010–1</w:t>
      </w:r>
      <w:bookmarkEnd w:id="110"/>
      <w:bookmarkEnd w:id="111"/>
      <w:r>
        <w:t>3</w:t>
      </w:r>
      <w:bookmarkEnd w:id="112"/>
      <w:bookmarkEnd w:id="113"/>
    </w:p>
    <w:p w14:paraId="58AD2250" w14:textId="77777777" w:rsidR="005D716A" w:rsidRPr="00CE01BB" w:rsidRDefault="005D716A" w:rsidP="005D716A">
      <w:pPr>
        <w:pStyle w:val="BodyText"/>
        <w:spacing w:before="39" w:after="0" w:line="240" w:lineRule="auto"/>
        <w:jc w:val="left"/>
      </w:pPr>
      <w:r>
        <w:rPr>
          <w:noProof/>
          <w:lang w:eastAsia="en-GB"/>
        </w:rPr>
        <w:drawing>
          <wp:inline distT="0" distB="0" distL="0" distR="0" wp14:anchorId="58AD2360" wp14:editId="58AD2361">
            <wp:extent cx="4114800" cy="2057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8AD2251" w14:textId="77777777" w:rsidR="005D716A" w:rsidRDefault="005D716A" w:rsidP="005D716A">
      <w:pPr>
        <w:pStyle w:val="Source"/>
      </w:pPr>
      <w:r>
        <w:t>Note: EU countries counted individually.</w:t>
      </w:r>
      <w:r>
        <w:br/>
        <w:t xml:space="preserve">Source: Authors’ calculation using data from ITC’s Trade Map and the UN’s </w:t>
      </w:r>
      <w:proofErr w:type="spellStart"/>
      <w:r>
        <w:t>COMTRADE</w:t>
      </w:r>
      <w:proofErr w:type="spellEnd"/>
      <w:r>
        <w:t xml:space="preserve"> database. Note the use of mirror data for 2011 onwards, which is indicative only and should be treated with caution. Mirror data on markets are not available.</w:t>
      </w:r>
    </w:p>
    <w:p w14:paraId="58AD2252" w14:textId="77777777" w:rsidR="007A78D8" w:rsidRDefault="007A78D8" w:rsidP="005D716A">
      <w:pPr>
        <w:pStyle w:val="Source"/>
      </w:pPr>
    </w:p>
    <w:p w14:paraId="58AD2253" w14:textId="77777777" w:rsidR="005D716A" w:rsidRDefault="005D716A" w:rsidP="005D716A">
      <w:pPr>
        <w:pStyle w:val="FigureHeading"/>
        <w:spacing w:before="0"/>
      </w:pPr>
      <w:bookmarkStart w:id="114" w:name="_Toc405467961"/>
      <w:bookmarkStart w:id="115" w:name="_Toc406600313"/>
      <w:bookmarkStart w:id="116" w:name="_Toc407106183"/>
      <w:bookmarkStart w:id="117" w:name="_Toc427857751"/>
      <w:r>
        <w:t>Number of import items and suppliers, Myanmar, 2010–1</w:t>
      </w:r>
      <w:bookmarkEnd w:id="114"/>
      <w:bookmarkEnd w:id="115"/>
      <w:r>
        <w:t>3</w:t>
      </w:r>
      <w:bookmarkEnd w:id="116"/>
      <w:bookmarkEnd w:id="117"/>
    </w:p>
    <w:p w14:paraId="58AD2254" w14:textId="77777777" w:rsidR="005D716A" w:rsidRPr="00531651" w:rsidRDefault="005D716A" w:rsidP="005D716A">
      <w:pPr>
        <w:pStyle w:val="BodyText"/>
        <w:spacing w:before="39" w:after="0" w:line="240" w:lineRule="auto"/>
        <w:jc w:val="left"/>
      </w:pPr>
      <w:r>
        <w:rPr>
          <w:noProof/>
          <w:lang w:eastAsia="en-GB"/>
        </w:rPr>
        <w:drawing>
          <wp:inline distT="0" distB="0" distL="0" distR="0" wp14:anchorId="58AD2362" wp14:editId="58AD2363">
            <wp:extent cx="4572000" cy="2286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8AD2255" w14:textId="77777777" w:rsidR="005D716A" w:rsidRDefault="005D716A" w:rsidP="005D716A">
      <w:pPr>
        <w:pStyle w:val="Source"/>
      </w:pPr>
      <w:r>
        <w:t>Note: EU countries counted individually.</w:t>
      </w:r>
      <w:r>
        <w:br/>
        <w:t xml:space="preserve">Source: Authors’ calculation using data from ITC’s Trade Map and the UN’s </w:t>
      </w:r>
      <w:proofErr w:type="spellStart"/>
      <w:r>
        <w:t>COMTRADE</w:t>
      </w:r>
      <w:proofErr w:type="spellEnd"/>
      <w:r>
        <w:t xml:space="preserve"> database. Note the use of mirror data for 2011 onwards, which is indicative only and should be treated with caution. Mirror data on suppliers are not available.</w:t>
      </w:r>
      <w:r>
        <w:br w:type="page"/>
      </w:r>
    </w:p>
    <w:p w14:paraId="58AD2256" w14:textId="77777777" w:rsidR="00927125" w:rsidRDefault="00927125" w:rsidP="00927125">
      <w:pPr>
        <w:pStyle w:val="Heading2"/>
      </w:pPr>
      <w:bookmarkStart w:id="118" w:name="_Toc409172708"/>
      <w:bookmarkStart w:id="119" w:name="_Toc409174188"/>
      <w:bookmarkStart w:id="120" w:name="_Toc409179346"/>
      <w:bookmarkStart w:id="121" w:name="_Toc427857752"/>
      <w:bookmarkStart w:id="122" w:name="_Toc408311614"/>
      <w:r>
        <w:t>Revealed comparative advantage</w:t>
      </w:r>
      <w:bookmarkEnd w:id="118"/>
      <w:bookmarkEnd w:id="119"/>
      <w:bookmarkEnd w:id="120"/>
      <w:bookmarkEnd w:id="121"/>
    </w:p>
    <w:p w14:paraId="58AD2257" w14:textId="77777777" w:rsidR="00927125" w:rsidRPr="0063355C" w:rsidRDefault="00927125" w:rsidP="00927125">
      <w:pPr>
        <w:pStyle w:val="TableHeading"/>
      </w:pPr>
      <w:bookmarkStart w:id="123" w:name="_Toc409172709"/>
      <w:bookmarkStart w:id="124" w:name="_Toc409174189"/>
      <w:bookmarkStart w:id="125" w:name="_Toc409179347"/>
      <w:bookmarkStart w:id="126" w:name="_Toc427857753"/>
      <w:r>
        <w:t xml:space="preserve">Revealed comparative advantage by HS Section, </w:t>
      </w:r>
      <w:bookmarkEnd w:id="123"/>
      <w:bookmarkEnd w:id="124"/>
      <w:r>
        <w:t>Myanmar</w:t>
      </w:r>
      <w:bookmarkEnd w:id="125"/>
      <w:bookmarkEnd w:id="126"/>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788"/>
        <w:gridCol w:w="4881"/>
        <w:gridCol w:w="792"/>
        <w:gridCol w:w="793"/>
        <w:gridCol w:w="793"/>
        <w:gridCol w:w="793"/>
      </w:tblGrid>
      <w:tr w:rsidR="00927125" w:rsidRPr="0063355C" w14:paraId="58AD225C" w14:textId="77777777" w:rsidTr="00927125">
        <w:trPr>
          <w:trHeight w:val="240"/>
        </w:trPr>
        <w:tc>
          <w:tcPr>
            <w:tcW w:w="788" w:type="dxa"/>
            <w:tcBorders>
              <w:top w:val="nil"/>
              <w:bottom w:val="nil"/>
            </w:tcBorders>
            <w:shd w:val="clear" w:color="auto" w:fill="E0E0E0" w:themeFill="accent4"/>
          </w:tcPr>
          <w:p w14:paraId="58AD2258"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p>
        </w:tc>
        <w:tc>
          <w:tcPr>
            <w:tcW w:w="4881" w:type="dxa"/>
            <w:tcBorders>
              <w:top w:val="nil"/>
              <w:bottom w:val="nil"/>
            </w:tcBorders>
            <w:shd w:val="clear" w:color="auto" w:fill="E0E0E0" w:themeFill="accent4"/>
          </w:tcPr>
          <w:p w14:paraId="58AD2259" w14:textId="77777777" w:rsidR="00927125" w:rsidRPr="0063355C" w:rsidRDefault="00927125" w:rsidP="00A90E4C">
            <w:pPr>
              <w:spacing w:before="60" w:after="40"/>
              <w:ind w:left="72" w:right="72"/>
              <w:jc w:val="center"/>
              <w:rPr>
                <w:rFonts w:asciiTheme="majorHAnsi" w:eastAsia="Times New Roman" w:hAnsiTheme="majorHAnsi" w:cstheme="majorHAnsi"/>
                <w:b/>
                <w:bCs/>
                <w:color w:val="000000"/>
                <w:sz w:val="16"/>
                <w:szCs w:val="16"/>
                <w:lang w:eastAsia="en-GB"/>
              </w:rPr>
            </w:pPr>
          </w:p>
        </w:tc>
        <w:tc>
          <w:tcPr>
            <w:tcW w:w="792" w:type="dxa"/>
            <w:tcBorders>
              <w:top w:val="nil"/>
              <w:bottom w:val="nil"/>
            </w:tcBorders>
            <w:shd w:val="clear" w:color="auto" w:fill="E0E0E0" w:themeFill="accent4"/>
          </w:tcPr>
          <w:p w14:paraId="58AD225A"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Own data</w:t>
            </w:r>
          </w:p>
        </w:tc>
        <w:tc>
          <w:tcPr>
            <w:tcW w:w="2379" w:type="dxa"/>
            <w:gridSpan w:val="3"/>
            <w:tcBorders>
              <w:top w:val="nil"/>
              <w:bottom w:val="single" w:sz="4" w:space="0" w:color="auto"/>
            </w:tcBorders>
            <w:shd w:val="clear" w:color="auto" w:fill="E0E0E0" w:themeFill="accent4"/>
          </w:tcPr>
          <w:p w14:paraId="58AD225B"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Mirror data</w:t>
            </w:r>
          </w:p>
        </w:tc>
      </w:tr>
      <w:tr w:rsidR="00927125" w:rsidRPr="0063355C" w14:paraId="58AD2263" w14:textId="77777777" w:rsidTr="00927125">
        <w:trPr>
          <w:trHeight w:val="240"/>
        </w:trPr>
        <w:tc>
          <w:tcPr>
            <w:tcW w:w="788" w:type="dxa"/>
            <w:tcBorders>
              <w:top w:val="nil"/>
            </w:tcBorders>
            <w:shd w:val="clear" w:color="auto" w:fill="E0E0E0" w:themeFill="accent4"/>
            <w:hideMark/>
          </w:tcPr>
          <w:p w14:paraId="58AD225D"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4881" w:type="dxa"/>
            <w:tcBorders>
              <w:top w:val="nil"/>
            </w:tcBorders>
            <w:shd w:val="clear" w:color="auto" w:fill="E0E0E0" w:themeFill="accent4"/>
            <w:hideMark/>
          </w:tcPr>
          <w:p w14:paraId="58AD225E" w14:textId="77777777" w:rsidR="00927125" w:rsidRPr="0063355C" w:rsidRDefault="00927125" w:rsidP="00A90E4C">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792" w:type="dxa"/>
            <w:tcBorders>
              <w:top w:val="nil"/>
            </w:tcBorders>
            <w:shd w:val="clear" w:color="auto" w:fill="E0E0E0" w:themeFill="accent4"/>
            <w:hideMark/>
          </w:tcPr>
          <w:p w14:paraId="58AD225F"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793" w:type="dxa"/>
            <w:tcBorders>
              <w:top w:val="single" w:sz="4" w:space="0" w:color="auto"/>
            </w:tcBorders>
            <w:shd w:val="clear" w:color="auto" w:fill="E0E0E0" w:themeFill="accent4"/>
            <w:hideMark/>
          </w:tcPr>
          <w:p w14:paraId="58AD2260"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793" w:type="dxa"/>
            <w:tcBorders>
              <w:top w:val="single" w:sz="4" w:space="0" w:color="auto"/>
            </w:tcBorders>
            <w:shd w:val="clear" w:color="auto" w:fill="E0E0E0" w:themeFill="accent4"/>
            <w:hideMark/>
          </w:tcPr>
          <w:p w14:paraId="58AD2261"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793" w:type="dxa"/>
            <w:tcBorders>
              <w:top w:val="single" w:sz="4" w:space="0" w:color="auto"/>
            </w:tcBorders>
            <w:shd w:val="clear" w:color="auto" w:fill="E0E0E0" w:themeFill="accent4"/>
            <w:hideMark/>
          </w:tcPr>
          <w:p w14:paraId="58AD2262" w14:textId="77777777" w:rsidR="00927125" w:rsidRPr="0063355C" w:rsidRDefault="00927125" w:rsidP="00A90E4C">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927125" w:rsidRPr="0063355C" w14:paraId="58AD226A" w14:textId="77777777" w:rsidTr="00927125">
        <w:trPr>
          <w:trHeight w:val="240"/>
        </w:trPr>
        <w:tc>
          <w:tcPr>
            <w:tcW w:w="788" w:type="dxa"/>
            <w:shd w:val="clear" w:color="auto" w:fill="auto"/>
            <w:noWrap/>
            <w:hideMark/>
          </w:tcPr>
          <w:p w14:paraId="58AD2264" w14:textId="77777777" w:rsidR="00927125" w:rsidRPr="0063355C" w:rsidRDefault="00927125" w:rsidP="00A90E4C">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4881" w:type="dxa"/>
            <w:shd w:val="clear" w:color="auto" w:fill="auto"/>
            <w:noWrap/>
            <w:hideMark/>
          </w:tcPr>
          <w:p w14:paraId="58AD2265" w14:textId="77777777" w:rsidR="00927125" w:rsidRPr="0063355C" w:rsidRDefault="00927125" w:rsidP="00A90E4C">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792" w:type="dxa"/>
            <w:shd w:val="clear" w:color="auto" w:fill="auto"/>
            <w:noWrap/>
            <w:vAlign w:val="center"/>
          </w:tcPr>
          <w:p w14:paraId="58AD2266" w14:textId="77777777" w:rsidR="00927125" w:rsidRPr="00927125" w:rsidRDefault="00927125" w:rsidP="00A90E4C">
            <w:pPr>
              <w:spacing w:line="220" w:lineRule="atLeast"/>
              <w:jc w:val="center"/>
              <w:rPr>
                <w:rFonts w:ascii="Arial" w:eastAsia="Times New Roman" w:hAnsi="Arial" w:cs="Arial"/>
                <w:b/>
                <w:bCs/>
                <w:color w:val="000000"/>
                <w:sz w:val="16"/>
                <w:szCs w:val="18"/>
                <w:lang w:eastAsia="en-GB"/>
              </w:rPr>
            </w:pPr>
            <w:r w:rsidRPr="00927125">
              <w:rPr>
                <w:rFonts w:ascii="Arial" w:eastAsia="Times New Roman" w:hAnsi="Arial" w:cs="Arial"/>
                <w:b/>
                <w:bCs/>
                <w:color w:val="000000"/>
                <w:sz w:val="16"/>
                <w:szCs w:val="18"/>
                <w:lang w:eastAsia="en-GB"/>
              </w:rPr>
              <w:t>1.00</w:t>
            </w:r>
          </w:p>
        </w:tc>
        <w:tc>
          <w:tcPr>
            <w:tcW w:w="793" w:type="dxa"/>
            <w:shd w:val="clear" w:color="auto" w:fill="auto"/>
            <w:noWrap/>
            <w:vAlign w:val="center"/>
          </w:tcPr>
          <w:p w14:paraId="58AD2267" w14:textId="77777777" w:rsidR="00927125" w:rsidRPr="00927125" w:rsidRDefault="00927125" w:rsidP="00A90E4C">
            <w:pPr>
              <w:spacing w:line="220" w:lineRule="atLeast"/>
              <w:jc w:val="center"/>
              <w:rPr>
                <w:rFonts w:ascii="Arial" w:eastAsia="Times New Roman" w:hAnsi="Arial" w:cs="Arial"/>
                <w:b/>
                <w:bCs/>
                <w:color w:val="000000"/>
                <w:sz w:val="16"/>
                <w:szCs w:val="18"/>
                <w:lang w:eastAsia="en-GB"/>
              </w:rPr>
            </w:pPr>
            <w:r w:rsidRPr="00927125">
              <w:rPr>
                <w:rFonts w:ascii="Arial" w:eastAsia="Times New Roman" w:hAnsi="Arial" w:cs="Arial"/>
                <w:b/>
                <w:bCs/>
                <w:color w:val="000000"/>
                <w:sz w:val="16"/>
                <w:szCs w:val="18"/>
                <w:lang w:eastAsia="en-GB"/>
              </w:rPr>
              <w:t>1.00</w:t>
            </w:r>
          </w:p>
        </w:tc>
        <w:tc>
          <w:tcPr>
            <w:tcW w:w="793" w:type="dxa"/>
            <w:shd w:val="clear" w:color="auto" w:fill="auto"/>
            <w:noWrap/>
            <w:vAlign w:val="center"/>
          </w:tcPr>
          <w:p w14:paraId="58AD2268" w14:textId="77777777" w:rsidR="00927125" w:rsidRPr="00927125" w:rsidRDefault="00927125" w:rsidP="00A90E4C">
            <w:pPr>
              <w:spacing w:line="220" w:lineRule="atLeast"/>
              <w:jc w:val="center"/>
              <w:rPr>
                <w:rFonts w:ascii="Arial" w:eastAsia="Times New Roman" w:hAnsi="Arial" w:cs="Arial"/>
                <w:b/>
                <w:bCs/>
                <w:color w:val="000000"/>
                <w:sz w:val="16"/>
                <w:szCs w:val="18"/>
                <w:lang w:eastAsia="en-GB"/>
              </w:rPr>
            </w:pPr>
            <w:r w:rsidRPr="00927125">
              <w:rPr>
                <w:rFonts w:ascii="Arial" w:eastAsia="Times New Roman" w:hAnsi="Arial" w:cs="Arial"/>
                <w:b/>
                <w:bCs/>
                <w:color w:val="000000"/>
                <w:sz w:val="16"/>
                <w:szCs w:val="18"/>
                <w:lang w:eastAsia="en-GB"/>
              </w:rPr>
              <w:t>1.00</w:t>
            </w:r>
          </w:p>
        </w:tc>
        <w:tc>
          <w:tcPr>
            <w:tcW w:w="793" w:type="dxa"/>
            <w:shd w:val="clear" w:color="auto" w:fill="auto"/>
            <w:noWrap/>
            <w:vAlign w:val="center"/>
          </w:tcPr>
          <w:p w14:paraId="58AD2269" w14:textId="77777777" w:rsidR="00927125" w:rsidRPr="00927125" w:rsidRDefault="00927125" w:rsidP="00A90E4C">
            <w:pPr>
              <w:spacing w:line="220" w:lineRule="atLeast"/>
              <w:jc w:val="center"/>
              <w:rPr>
                <w:rFonts w:ascii="Arial" w:eastAsia="Times New Roman" w:hAnsi="Arial" w:cs="Arial"/>
                <w:b/>
                <w:bCs/>
                <w:color w:val="000000"/>
                <w:sz w:val="16"/>
                <w:szCs w:val="18"/>
                <w:lang w:eastAsia="en-GB"/>
              </w:rPr>
            </w:pPr>
            <w:r w:rsidRPr="00927125">
              <w:rPr>
                <w:rFonts w:ascii="Arial" w:eastAsia="Times New Roman" w:hAnsi="Arial" w:cs="Arial"/>
                <w:b/>
                <w:bCs/>
                <w:color w:val="000000"/>
                <w:sz w:val="16"/>
                <w:szCs w:val="18"/>
                <w:lang w:eastAsia="en-GB"/>
              </w:rPr>
              <w:t>1.00</w:t>
            </w:r>
          </w:p>
        </w:tc>
      </w:tr>
      <w:tr w:rsidR="00927125" w:rsidRPr="0063355C" w14:paraId="58AD2271" w14:textId="77777777" w:rsidTr="00927125">
        <w:trPr>
          <w:trHeight w:val="240"/>
        </w:trPr>
        <w:tc>
          <w:tcPr>
            <w:tcW w:w="788" w:type="dxa"/>
            <w:shd w:val="clear" w:color="auto" w:fill="auto"/>
            <w:noWrap/>
            <w:hideMark/>
          </w:tcPr>
          <w:p w14:paraId="58AD226B"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4881" w:type="dxa"/>
            <w:shd w:val="clear" w:color="auto" w:fill="auto"/>
            <w:noWrap/>
            <w:vAlign w:val="center"/>
            <w:hideMark/>
          </w:tcPr>
          <w:p w14:paraId="58AD226C"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792" w:type="dxa"/>
            <w:shd w:val="clear" w:color="auto" w:fill="auto"/>
            <w:noWrap/>
            <w:vAlign w:val="center"/>
          </w:tcPr>
          <w:p w14:paraId="58AD226D"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2.29</w:t>
            </w:r>
          </w:p>
        </w:tc>
        <w:tc>
          <w:tcPr>
            <w:tcW w:w="793" w:type="dxa"/>
            <w:shd w:val="clear" w:color="auto" w:fill="auto"/>
            <w:noWrap/>
            <w:vAlign w:val="center"/>
          </w:tcPr>
          <w:p w14:paraId="58AD226E"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2.01</w:t>
            </w:r>
          </w:p>
        </w:tc>
        <w:tc>
          <w:tcPr>
            <w:tcW w:w="793" w:type="dxa"/>
            <w:shd w:val="clear" w:color="auto" w:fill="auto"/>
            <w:noWrap/>
            <w:vAlign w:val="center"/>
          </w:tcPr>
          <w:p w14:paraId="58AD226F"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2.09</w:t>
            </w:r>
          </w:p>
        </w:tc>
        <w:tc>
          <w:tcPr>
            <w:tcW w:w="793" w:type="dxa"/>
            <w:shd w:val="clear" w:color="auto" w:fill="auto"/>
            <w:noWrap/>
            <w:vAlign w:val="center"/>
          </w:tcPr>
          <w:p w14:paraId="58AD2270"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1.61</w:t>
            </w:r>
          </w:p>
        </w:tc>
      </w:tr>
      <w:tr w:rsidR="00927125" w:rsidRPr="0063355C" w14:paraId="58AD2278" w14:textId="77777777" w:rsidTr="00927125">
        <w:trPr>
          <w:trHeight w:val="240"/>
        </w:trPr>
        <w:tc>
          <w:tcPr>
            <w:tcW w:w="788" w:type="dxa"/>
            <w:shd w:val="clear" w:color="auto" w:fill="auto"/>
            <w:noWrap/>
            <w:hideMark/>
          </w:tcPr>
          <w:p w14:paraId="58AD2272"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4881" w:type="dxa"/>
            <w:shd w:val="clear" w:color="auto" w:fill="auto"/>
            <w:noWrap/>
            <w:vAlign w:val="center"/>
            <w:hideMark/>
          </w:tcPr>
          <w:p w14:paraId="58AD2273"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792" w:type="dxa"/>
            <w:shd w:val="clear" w:color="auto" w:fill="auto"/>
            <w:noWrap/>
            <w:vAlign w:val="center"/>
          </w:tcPr>
          <w:p w14:paraId="58AD2274"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5.88</w:t>
            </w:r>
          </w:p>
        </w:tc>
        <w:tc>
          <w:tcPr>
            <w:tcW w:w="793" w:type="dxa"/>
            <w:shd w:val="clear" w:color="auto" w:fill="auto"/>
            <w:noWrap/>
            <w:vAlign w:val="center"/>
          </w:tcPr>
          <w:p w14:paraId="58AD2275"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5.85</w:t>
            </w:r>
          </w:p>
        </w:tc>
        <w:tc>
          <w:tcPr>
            <w:tcW w:w="793" w:type="dxa"/>
            <w:shd w:val="clear" w:color="auto" w:fill="auto"/>
            <w:noWrap/>
            <w:vAlign w:val="center"/>
          </w:tcPr>
          <w:p w14:paraId="58AD2276"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5.35</w:t>
            </w:r>
          </w:p>
        </w:tc>
        <w:tc>
          <w:tcPr>
            <w:tcW w:w="793" w:type="dxa"/>
            <w:shd w:val="clear" w:color="auto" w:fill="auto"/>
            <w:noWrap/>
            <w:vAlign w:val="center"/>
          </w:tcPr>
          <w:p w14:paraId="58AD2277"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3.97</w:t>
            </w:r>
          </w:p>
        </w:tc>
      </w:tr>
      <w:tr w:rsidR="00927125" w:rsidRPr="0063355C" w14:paraId="58AD227F" w14:textId="77777777" w:rsidTr="00927125">
        <w:trPr>
          <w:trHeight w:val="240"/>
        </w:trPr>
        <w:tc>
          <w:tcPr>
            <w:tcW w:w="788" w:type="dxa"/>
            <w:shd w:val="clear" w:color="auto" w:fill="auto"/>
            <w:noWrap/>
            <w:hideMark/>
          </w:tcPr>
          <w:p w14:paraId="58AD2279"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4881" w:type="dxa"/>
            <w:shd w:val="clear" w:color="auto" w:fill="auto"/>
            <w:noWrap/>
            <w:vAlign w:val="center"/>
            <w:hideMark/>
          </w:tcPr>
          <w:p w14:paraId="58AD227A"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792" w:type="dxa"/>
            <w:shd w:val="clear" w:color="auto" w:fill="auto"/>
            <w:noWrap/>
            <w:vAlign w:val="center"/>
          </w:tcPr>
          <w:p w14:paraId="58AD227B"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7C"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0.03</w:t>
            </w:r>
          </w:p>
        </w:tc>
        <w:tc>
          <w:tcPr>
            <w:tcW w:w="793" w:type="dxa"/>
            <w:shd w:val="clear" w:color="auto" w:fill="auto"/>
            <w:noWrap/>
            <w:vAlign w:val="center"/>
          </w:tcPr>
          <w:p w14:paraId="58AD227D"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0.04</w:t>
            </w:r>
          </w:p>
        </w:tc>
        <w:tc>
          <w:tcPr>
            <w:tcW w:w="793" w:type="dxa"/>
            <w:shd w:val="clear" w:color="auto" w:fill="auto"/>
            <w:noWrap/>
            <w:vAlign w:val="center"/>
          </w:tcPr>
          <w:p w14:paraId="58AD227E"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0.01</w:t>
            </w:r>
          </w:p>
        </w:tc>
      </w:tr>
      <w:tr w:rsidR="00927125" w:rsidRPr="0063355C" w14:paraId="58AD2286" w14:textId="77777777" w:rsidTr="00927125">
        <w:trPr>
          <w:trHeight w:val="240"/>
        </w:trPr>
        <w:tc>
          <w:tcPr>
            <w:tcW w:w="788" w:type="dxa"/>
            <w:shd w:val="clear" w:color="auto" w:fill="auto"/>
            <w:noWrap/>
            <w:hideMark/>
          </w:tcPr>
          <w:p w14:paraId="58AD2280"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4881" w:type="dxa"/>
            <w:shd w:val="clear" w:color="auto" w:fill="auto"/>
            <w:noWrap/>
            <w:vAlign w:val="center"/>
            <w:hideMark/>
          </w:tcPr>
          <w:p w14:paraId="58AD2281"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792" w:type="dxa"/>
            <w:shd w:val="clear" w:color="auto" w:fill="auto"/>
            <w:noWrap/>
            <w:vAlign w:val="center"/>
          </w:tcPr>
          <w:p w14:paraId="58AD2282"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0.07</w:t>
            </w:r>
          </w:p>
        </w:tc>
        <w:tc>
          <w:tcPr>
            <w:tcW w:w="793" w:type="dxa"/>
            <w:shd w:val="clear" w:color="auto" w:fill="auto"/>
            <w:noWrap/>
            <w:vAlign w:val="center"/>
          </w:tcPr>
          <w:p w14:paraId="58AD2283"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0.18</w:t>
            </w:r>
          </w:p>
        </w:tc>
        <w:tc>
          <w:tcPr>
            <w:tcW w:w="793" w:type="dxa"/>
            <w:shd w:val="clear" w:color="auto" w:fill="auto"/>
            <w:noWrap/>
            <w:vAlign w:val="center"/>
          </w:tcPr>
          <w:p w14:paraId="58AD2284"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0.21</w:t>
            </w:r>
          </w:p>
        </w:tc>
        <w:tc>
          <w:tcPr>
            <w:tcW w:w="793" w:type="dxa"/>
            <w:shd w:val="clear" w:color="auto" w:fill="auto"/>
            <w:noWrap/>
            <w:vAlign w:val="center"/>
          </w:tcPr>
          <w:p w14:paraId="58AD2285"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0.21</w:t>
            </w:r>
          </w:p>
        </w:tc>
      </w:tr>
      <w:tr w:rsidR="00927125" w:rsidRPr="0063355C" w14:paraId="58AD228D" w14:textId="77777777" w:rsidTr="00927125">
        <w:trPr>
          <w:trHeight w:val="240"/>
        </w:trPr>
        <w:tc>
          <w:tcPr>
            <w:tcW w:w="788" w:type="dxa"/>
            <w:shd w:val="clear" w:color="auto" w:fill="auto"/>
            <w:noWrap/>
            <w:hideMark/>
          </w:tcPr>
          <w:p w14:paraId="58AD2287"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4881" w:type="dxa"/>
            <w:shd w:val="clear" w:color="auto" w:fill="auto"/>
            <w:noWrap/>
            <w:vAlign w:val="center"/>
            <w:hideMark/>
          </w:tcPr>
          <w:p w14:paraId="58AD2288"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792" w:type="dxa"/>
            <w:shd w:val="clear" w:color="auto" w:fill="auto"/>
            <w:noWrap/>
            <w:vAlign w:val="center"/>
          </w:tcPr>
          <w:p w14:paraId="58AD2289"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2.25</w:t>
            </w:r>
          </w:p>
        </w:tc>
        <w:tc>
          <w:tcPr>
            <w:tcW w:w="793" w:type="dxa"/>
            <w:shd w:val="clear" w:color="auto" w:fill="auto"/>
            <w:noWrap/>
            <w:vAlign w:val="center"/>
          </w:tcPr>
          <w:p w14:paraId="58AD228A"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2.13</w:t>
            </w:r>
          </w:p>
        </w:tc>
        <w:tc>
          <w:tcPr>
            <w:tcW w:w="793" w:type="dxa"/>
            <w:shd w:val="clear" w:color="auto" w:fill="auto"/>
            <w:noWrap/>
            <w:vAlign w:val="center"/>
          </w:tcPr>
          <w:p w14:paraId="58AD228B"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2.32</w:t>
            </w:r>
          </w:p>
        </w:tc>
        <w:tc>
          <w:tcPr>
            <w:tcW w:w="793" w:type="dxa"/>
            <w:shd w:val="clear" w:color="auto" w:fill="auto"/>
            <w:noWrap/>
            <w:vAlign w:val="center"/>
          </w:tcPr>
          <w:p w14:paraId="58AD228C"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2.20</w:t>
            </w:r>
          </w:p>
        </w:tc>
      </w:tr>
      <w:tr w:rsidR="00927125" w:rsidRPr="0063355C" w14:paraId="58AD2294" w14:textId="77777777" w:rsidTr="00927125">
        <w:trPr>
          <w:trHeight w:val="240"/>
        </w:trPr>
        <w:tc>
          <w:tcPr>
            <w:tcW w:w="788" w:type="dxa"/>
            <w:shd w:val="clear" w:color="auto" w:fill="auto"/>
            <w:noWrap/>
            <w:hideMark/>
          </w:tcPr>
          <w:p w14:paraId="58AD228E"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4881" w:type="dxa"/>
            <w:shd w:val="clear" w:color="auto" w:fill="auto"/>
            <w:noWrap/>
            <w:vAlign w:val="center"/>
            <w:hideMark/>
          </w:tcPr>
          <w:p w14:paraId="58AD228F"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792" w:type="dxa"/>
            <w:shd w:val="clear" w:color="auto" w:fill="auto"/>
            <w:noWrap/>
            <w:vAlign w:val="center"/>
          </w:tcPr>
          <w:p w14:paraId="58AD2290"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91"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92"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93"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0.01</w:t>
            </w:r>
          </w:p>
        </w:tc>
      </w:tr>
      <w:tr w:rsidR="00927125" w:rsidRPr="0063355C" w14:paraId="58AD229B" w14:textId="77777777" w:rsidTr="00927125">
        <w:trPr>
          <w:trHeight w:val="240"/>
        </w:trPr>
        <w:tc>
          <w:tcPr>
            <w:tcW w:w="788" w:type="dxa"/>
            <w:shd w:val="clear" w:color="auto" w:fill="auto"/>
            <w:noWrap/>
            <w:hideMark/>
          </w:tcPr>
          <w:p w14:paraId="58AD2295"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4881" w:type="dxa"/>
            <w:shd w:val="clear" w:color="auto" w:fill="auto"/>
            <w:noWrap/>
            <w:vAlign w:val="center"/>
            <w:hideMark/>
          </w:tcPr>
          <w:p w14:paraId="58AD2296"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792" w:type="dxa"/>
            <w:shd w:val="clear" w:color="auto" w:fill="auto"/>
            <w:noWrap/>
            <w:vAlign w:val="center"/>
          </w:tcPr>
          <w:p w14:paraId="58AD2297"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0.57</w:t>
            </w:r>
          </w:p>
        </w:tc>
        <w:tc>
          <w:tcPr>
            <w:tcW w:w="793" w:type="dxa"/>
            <w:shd w:val="clear" w:color="auto" w:fill="auto"/>
            <w:noWrap/>
            <w:vAlign w:val="center"/>
          </w:tcPr>
          <w:p w14:paraId="58AD2298"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0.59</w:t>
            </w:r>
          </w:p>
        </w:tc>
        <w:tc>
          <w:tcPr>
            <w:tcW w:w="793" w:type="dxa"/>
            <w:shd w:val="clear" w:color="auto" w:fill="auto"/>
            <w:noWrap/>
            <w:vAlign w:val="center"/>
          </w:tcPr>
          <w:p w14:paraId="58AD2299"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0.59</w:t>
            </w:r>
          </w:p>
        </w:tc>
        <w:tc>
          <w:tcPr>
            <w:tcW w:w="793" w:type="dxa"/>
            <w:shd w:val="clear" w:color="auto" w:fill="auto"/>
            <w:noWrap/>
            <w:vAlign w:val="center"/>
          </w:tcPr>
          <w:p w14:paraId="58AD229A"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0.42</w:t>
            </w:r>
          </w:p>
        </w:tc>
      </w:tr>
      <w:tr w:rsidR="00927125" w:rsidRPr="0063355C" w14:paraId="58AD22A2" w14:textId="77777777" w:rsidTr="00927125">
        <w:trPr>
          <w:trHeight w:val="240"/>
        </w:trPr>
        <w:tc>
          <w:tcPr>
            <w:tcW w:w="788" w:type="dxa"/>
            <w:shd w:val="clear" w:color="auto" w:fill="auto"/>
            <w:noWrap/>
            <w:hideMark/>
          </w:tcPr>
          <w:p w14:paraId="58AD229C"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4881" w:type="dxa"/>
            <w:shd w:val="clear" w:color="auto" w:fill="auto"/>
            <w:noWrap/>
            <w:vAlign w:val="center"/>
            <w:hideMark/>
          </w:tcPr>
          <w:p w14:paraId="58AD229D"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792" w:type="dxa"/>
            <w:shd w:val="clear" w:color="auto" w:fill="auto"/>
            <w:noWrap/>
            <w:vAlign w:val="center"/>
          </w:tcPr>
          <w:p w14:paraId="58AD229E"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0.15</w:t>
            </w:r>
          </w:p>
        </w:tc>
        <w:tc>
          <w:tcPr>
            <w:tcW w:w="793" w:type="dxa"/>
            <w:shd w:val="clear" w:color="auto" w:fill="auto"/>
            <w:noWrap/>
            <w:vAlign w:val="center"/>
          </w:tcPr>
          <w:p w14:paraId="58AD229F"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0.10</w:t>
            </w:r>
          </w:p>
        </w:tc>
        <w:tc>
          <w:tcPr>
            <w:tcW w:w="793" w:type="dxa"/>
            <w:shd w:val="clear" w:color="auto" w:fill="auto"/>
            <w:noWrap/>
            <w:vAlign w:val="center"/>
          </w:tcPr>
          <w:p w14:paraId="58AD22A0"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0.14</w:t>
            </w:r>
          </w:p>
        </w:tc>
        <w:tc>
          <w:tcPr>
            <w:tcW w:w="793" w:type="dxa"/>
            <w:shd w:val="clear" w:color="auto" w:fill="auto"/>
            <w:noWrap/>
            <w:vAlign w:val="center"/>
          </w:tcPr>
          <w:p w14:paraId="58AD22A1"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0.06</w:t>
            </w:r>
          </w:p>
        </w:tc>
      </w:tr>
      <w:tr w:rsidR="00927125" w:rsidRPr="0063355C" w14:paraId="58AD22A9" w14:textId="77777777" w:rsidTr="00927125">
        <w:trPr>
          <w:trHeight w:val="240"/>
        </w:trPr>
        <w:tc>
          <w:tcPr>
            <w:tcW w:w="788" w:type="dxa"/>
            <w:shd w:val="clear" w:color="auto" w:fill="auto"/>
            <w:noWrap/>
            <w:hideMark/>
          </w:tcPr>
          <w:p w14:paraId="58AD22A3"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4881" w:type="dxa"/>
            <w:shd w:val="clear" w:color="auto" w:fill="auto"/>
            <w:noWrap/>
            <w:vAlign w:val="center"/>
            <w:hideMark/>
          </w:tcPr>
          <w:p w14:paraId="58AD22A4"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792" w:type="dxa"/>
            <w:shd w:val="clear" w:color="auto" w:fill="auto"/>
            <w:noWrap/>
            <w:vAlign w:val="center"/>
          </w:tcPr>
          <w:p w14:paraId="58AD22A5"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9.97</w:t>
            </w:r>
          </w:p>
        </w:tc>
        <w:tc>
          <w:tcPr>
            <w:tcW w:w="793" w:type="dxa"/>
            <w:shd w:val="clear" w:color="auto" w:fill="auto"/>
            <w:noWrap/>
            <w:vAlign w:val="center"/>
          </w:tcPr>
          <w:p w14:paraId="58AD22A6"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18.55</w:t>
            </w:r>
          </w:p>
        </w:tc>
        <w:tc>
          <w:tcPr>
            <w:tcW w:w="793" w:type="dxa"/>
            <w:shd w:val="clear" w:color="auto" w:fill="auto"/>
            <w:noWrap/>
            <w:vAlign w:val="center"/>
          </w:tcPr>
          <w:p w14:paraId="58AD22A7"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19.89</w:t>
            </w:r>
          </w:p>
        </w:tc>
        <w:tc>
          <w:tcPr>
            <w:tcW w:w="793" w:type="dxa"/>
            <w:shd w:val="clear" w:color="auto" w:fill="auto"/>
            <w:noWrap/>
            <w:vAlign w:val="center"/>
          </w:tcPr>
          <w:p w14:paraId="58AD22A8"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18.99</w:t>
            </w:r>
          </w:p>
        </w:tc>
      </w:tr>
      <w:tr w:rsidR="00927125" w:rsidRPr="0063355C" w14:paraId="58AD22B0" w14:textId="77777777" w:rsidTr="00927125">
        <w:trPr>
          <w:trHeight w:val="240"/>
        </w:trPr>
        <w:tc>
          <w:tcPr>
            <w:tcW w:w="788" w:type="dxa"/>
            <w:shd w:val="clear" w:color="auto" w:fill="auto"/>
            <w:noWrap/>
            <w:hideMark/>
          </w:tcPr>
          <w:p w14:paraId="58AD22AA"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4881" w:type="dxa"/>
            <w:shd w:val="clear" w:color="auto" w:fill="auto"/>
            <w:noWrap/>
            <w:vAlign w:val="center"/>
            <w:hideMark/>
          </w:tcPr>
          <w:p w14:paraId="58AD22AB"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792" w:type="dxa"/>
            <w:shd w:val="clear" w:color="auto" w:fill="auto"/>
            <w:noWrap/>
            <w:vAlign w:val="center"/>
          </w:tcPr>
          <w:p w14:paraId="58AD22AC"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0.04</w:t>
            </w:r>
          </w:p>
        </w:tc>
        <w:tc>
          <w:tcPr>
            <w:tcW w:w="793" w:type="dxa"/>
            <w:shd w:val="clear" w:color="auto" w:fill="auto"/>
            <w:noWrap/>
            <w:vAlign w:val="center"/>
          </w:tcPr>
          <w:p w14:paraId="58AD22AD"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0.07</w:t>
            </w:r>
          </w:p>
        </w:tc>
        <w:tc>
          <w:tcPr>
            <w:tcW w:w="793" w:type="dxa"/>
            <w:shd w:val="clear" w:color="auto" w:fill="auto"/>
            <w:noWrap/>
            <w:vAlign w:val="center"/>
          </w:tcPr>
          <w:p w14:paraId="58AD22AE"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AF"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0.01</w:t>
            </w:r>
          </w:p>
        </w:tc>
      </w:tr>
      <w:tr w:rsidR="00927125" w:rsidRPr="0063355C" w14:paraId="58AD22B7" w14:textId="77777777" w:rsidTr="00927125">
        <w:trPr>
          <w:trHeight w:val="240"/>
        </w:trPr>
        <w:tc>
          <w:tcPr>
            <w:tcW w:w="788" w:type="dxa"/>
            <w:shd w:val="clear" w:color="auto" w:fill="auto"/>
            <w:noWrap/>
            <w:hideMark/>
          </w:tcPr>
          <w:p w14:paraId="58AD22B1"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4881" w:type="dxa"/>
            <w:shd w:val="clear" w:color="auto" w:fill="auto"/>
            <w:noWrap/>
            <w:vAlign w:val="center"/>
            <w:hideMark/>
          </w:tcPr>
          <w:p w14:paraId="58AD22B2"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792" w:type="dxa"/>
            <w:shd w:val="clear" w:color="auto" w:fill="auto"/>
            <w:noWrap/>
            <w:vAlign w:val="center"/>
          </w:tcPr>
          <w:p w14:paraId="58AD22B3"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1.06</w:t>
            </w:r>
          </w:p>
        </w:tc>
        <w:tc>
          <w:tcPr>
            <w:tcW w:w="793" w:type="dxa"/>
            <w:shd w:val="clear" w:color="auto" w:fill="auto"/>
            <w:noWrap/>
            <w:vAlign w:val="center"/>
          </w:tcPr>
          <w:p w14:paraId="58AD22B4"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2.35</w:t>
            </w:r>
          </w:p>
        </w:tc>
        <w:tc>
          <w:tcPr>
            <w:tcW w:w="793" w:type="dxa"/>
            <w:shd w:val="clear" w:color="auto" w:fill="auto"/>
            <w:noWrap/>
            <w:vAlign w:val="center"/>
          </w:tcPr>
          <w:p w14:paraId="58AD22B5"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2.61</w:t>
            </w:r>
          </w:p>
        </w:tc>
        <w:tc>
          <w:tcPr>
            <w:tcW w:w="793" w:type="dxa"/>
            <w:shd w:val="clear" w:color="auto" w:fill="auto"/>
            <w:noWrap/>
            <w:vAlign w:val="center"/>
          </w:tcPr>
          <w:p w14:paraId="58AD22B6"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2.49</w:t>
            </w:r>
          </w:p>
        </w:tc>
      </w:tr>
      <w:tr w:rsidR="00927125" w:rsidRPr="0063355C" w14:paraId="58AD22BE" w14:textId="77777777" w:rsidTr="00927125">
        <w:trPr>
          <w:trHeight w:val="240"/>
        </w:trPr>
        <w:tc>
          <w:tcPr>
            <w:tcW w:w="788" w:type="dxa"/>
            <w:shd w:val="clear" w:color="auto" w:fill="auto"/>
            <w:noWrap/>
            <w:hideMark/>
          </w:tcPr>
          <w:p w14:paraId="58AD22B8"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4881" w:type="dxa"/>
            <w:shd w:val="clear" w:color="auto" w:fill="auto"/>
            <w:noWrap/>
            <w:vAlign w:val="center"/>
            <w:hideMark/>
          </w:tcPr>
          <w:p w14:paraId="58AD22B9"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792" w:type="dxa"/>
            <w:shd w:val="clear" w:color="auto" w:fill="auto"/>
            <w:noWrap/>
            <w:vAlign w:val="center"/>
          </w:tcPr>
          <w:p w14:paraId="58AD22BA"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0.97</w:t>
            </w:r>
          </w:p>
        </w:tc>
        <w:tc>
          <w:tcPr>
            <w:tcW w:w="793" w:type="dxa"/>
            <w:shd w:val="clear" w:color="auto" w:fill="auto"/>
            <w:noWrap/>
            <w:vAlign w:val="center"/>
          </w:tcPr>
          <w:p w14:paraId="58AD22BB"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1.65</w:t>
            </w:r>
          </w:p>
        </w:tc>
        <w:tc>
          <w:tcPr>
            <w:tcW w:w="793" w:type="dxa"/>
            <w:shd w:val="clear" w:color="auto" w:fill="auto"/>
            <w:noWrap/>
            <w:vAlign w:val="center"/>
          </w:tcPr>
          <w:p w14:paraId="58AD22BC"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1.81</w:t>
            </w:r>
          </w:p>
        </w:tc>
        <w:tc>
          <w:tcPr>
            <w:tcW w:w="793" w:type="dxa"/>
            <w:shd w:val="clear" w:color="auto" w:fill="auto"/>
            <w:noWrap/>
            <w:vAlign w:val="center"/>
          </w:tcPr>
          <w:p w14:paraId="58AD22BD"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1.43</w:t>
            </w:r>
          </w:p>
        </w:tc>
      </w:tr>
      <w:tr w:rsidR="00927125" w:rsidRPr="0063355C" w14:paraId="58AD22C5" w14:textId="77777777" w:rsidTr="00927125">
        <w:trPr>
          <w:trHeight w:val="240"/>
        </w:trPr>
        <w:tc>
          <w:tcPr>
            <w:tcW w:w="788" w:type="dxa"/>
            <w:shd w:val="clear" w:color="auto" w:fill="auto"/>
            <w:noWrap/>
            <w:hideMark/>
          </w:tcPr>
          <w:p w14:paraId="58AD22BF"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4881" w:type="dxa"/>
            <w:shd w:val="clear" w:color="auto" w:fill="auto"/>
            <w:noWrap/>
            <w:vAlign w:val="center"/>
            <w:hideMark/>
          </w:tcPr>
          <w:p w14:paraId="58AD22C0"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792" w:type="dxa"/>
            <w:shd w:val="clear" w:color="auto" w:fill="auto"/>
            <w:noWrap/>
            <w:vAlign w:val="center"/>
          </w:tcPr>
          <w:p w14:paraId="58AD22C1"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C2"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C3"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C4"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0.06</w:t>
            </w:r>
          </w:p>
        </w:tc>
      </w:tr>
      <w:tr w:rsidR="00927125" w:rsidRPr="0063355C" w14:paraId="58AD22CC" w14:textId="77777777" w:rsidTr="00927125">
        <w:trPr>
          <w:trHeight w:val="240"/>
        </w:trPr>
        <w:tc>
          <w:tcPr>
            <w:tcW w:w="788" w:type="dxa"/>
            <w:shd w:val="clear" w:color="auto" w:fill="auto"/>
            <w:noWrap/>
            <w:hideMark/>
          </w:tcPr>
          <w:p w14:paraId="58AD22C6"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4881" w:type="dxa"/>
            <w:shd w:val="clear" w:color="auto" w:fill="auto"/>
            <w:noWrap/>
            <w:vAlign w:val="center"/>
            <w:hideMark/>
          </w:tcPr>
          <w:p w14:paraId="58AD22C7"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792" w:type="dxa"/>
            <w:shd w:val="clear" w:color="auto" w:fill="auto"/>
            <w:noWrap/>
            <w:vAlign w:val="center"/>
          </w:tcPr>
          <w:p w14:paraId="58AD22C8"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9.31</w:t>
            </w:r>
          </w:p>
        </w:tc>
        <w:tc>
          <w:tcPr>
            <w:tcW w:w="793" w:type="dxa"/>
            <w:shd w:val="clear" w:color="auto" w:fill="auto"/>
            <w:noWrap/>
            <w:vAlign w:val="center"/>
          </w:tcPr>
          <w:p w14:paraId="58AD22C9"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3.02</w:t>
            </w:r>
          </w:p>
        </w:tc>
        <w:tc>
          <w:tcPr>
            <w:tcW w:w="793" w:type="dxa"/>
            <w:shd w:val="clear" w:color="auto" w:fill="auto"/>
            <w:noWrap/>
            <w:vAlign w:val="center"/>
          </w:tcPr>
          <w:p w14:paraId="58AD22CA"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1.18</w:t>
            </w:r>
          </w:p>
        </w:tc>
        <w:tc>
          <w:tcPr>
            <w:tcW w:w="793" w:type="dxa"/>
            <w:shd w:val="clear" w:color="auto" w:fill="auto"/>
            <w:noWrap/>
            <w:vAlign w:val="center"/>
          </w:tcPr>
          <w:p w14:paraId="58AD22CB"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4.13</w:t>
            </w:r>
          </w:p>
        </w:tc>
      </w:tr>
      <w:tr w:rsidR="00927125" w:rsidRPr="0063355C" w14:paraId="58AD22D3" w14:textId="77777777" w:rsidTr="00927125">
        <w:trPr>
          <w:trHeight w:val="240"/>
        </w:trPr>
        <w:tc>
          <w:tcPr>
            <w:tcW w:w="788" w:type="dxa"/>
            <w:shd w:val="clear" w:color="auto" w:fill="auto"/>
            <w:noWrap/>
            <w:hideMark/>
          </w:tcPr>
          <w:p w14:paraId="58AD22CD"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4881" w:type="dxa"/>
            <w:shd w:val="clear" w:color="auto" w:fill="auto"/>
            <w:noWrap/>
            <w:vAlign w:val="center"/>
            <w:hideMark/>
          </w:tcPr>
          <w:p w14:paraId="58AD22CE"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792" w:type="dxa"/>
            <w:shd w:val="clear" w:color="auto" w:fill="auto"/>
            <w:noWrap/>
            <w:vAlign w:val="center"/>
          </w:tcPr>
          <w:p w14:paraId="58AD22CF"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0.09</w:t>
            </w:r>
          </w:p>
        </w:tc>
        <w:tc>
          <w:tcPr>
            <w:tcW w:w="793" w:type="dxa"/>
            <w:shd w:val="clear" w:color="auto" w:fill="auto"/>
            <w:noWrap/>
            <w:vAlign w:val="center"/>
          </w:tcPr>
          <w:p w14:paraId="58AD22D0"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0.07</w:t>
            </w:r>
          </w:p>
        </w:tc>
        <w:tc>
          <w:tcPr>
            <w:tcW w:w="793" w:type="dxa"/>
            <w:shd w:val="clear" w:color="auto" w:fill="auto"/>
            <w:noWrap/>
            <w:vAlign w:val="center"/>
          </w:tcPr>
          <w:p w14:paraId="58AD22D1"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0.14</w:t>
            </w:r>
          </w:p>
        </w:tc>
        <w:tc>
          <w:tcPr>
            <w:tcW w:w="793" w:type="dxa"/>
            <w:shd w:val="clear" w:color="auto" w:fill="auto"/>
            <w:noWrap/>
            <w:vAlign w:val="center"/>
          </w:tcPr>
          <w:p w14:paraId="58AD22D2"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0.14</w:t>
            </w:r>
          </w:p>
        </w:tc>
      </w:tr>
      <w:tr w:rsidR="00927125" w:rsidRPr="0063355C" w14:paraId="58AD22DA" w14:textId="77777777" w:rsidTr="00927125">
        <w:trPr>
          <w:trHeight w:val="240"/>
        </w:trPr>
        <w:tc>
          <w:tcPr>
            <w:tcW w:w="788" w:type="dxa"/>
            <w:shd w:val="clear" w:color="auto" w:fill="auto"/>
            <w:noWrap/>
            <w:hideMark/>
          </w:tcPr>
          <w:p w14:paraId="58AD22D4"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4881" w:type="dxa"/>
            <w:shd w:val="clear" w:color="auto" w:fill="auto"/>
            <w:noWrap/>
            <w:vAlign w:val="center"/>
            <w:hideMark/>
          </w:tcPr>
          <w:p w14:paraId="58AD22D5"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792" w:type="dxa"/>
            <w:shd w:val="clear" w:color="auto" w:fill="auto"/>
            <w:noWrap/>
            <w:vAlign w:val="center"/>
          </w:tcPr>
          <w:p w14:paraId="58AD22D6"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D7"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0.01</w:t>
            </w:r>
          </w:p>
        </w:tc>
        <w:tc>
          <w:tcPr>
            <w:tcW w:w="793" w:type="dxa"/>
            <w:shd w:val="clear" w:color="auto" w:fill="auto"/>
            <w:noWrap/>
            <w:vAlign w:val="center"/>
          </w:tcPr>
          <w:p w14:paraId="58AD22D8"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D9"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r>
      <w:tr w:rsidR="00927125" w:rsidRPr="0063355C" w14:paraId="58AD22E1" w14:textId="77777777" w:rsidTr="00927125">
        <w:trPr>
          <w:trHeight w:val="240"/>
        </w:trPr>
        <w:tc>
          <w:tcPr>
            <w:tcW w:w="788" w:type="dxa"/>
            <w:shd w:val="clear" w:color="auto" w:fill="auto"/>
            <w:noWrap/>
            <w:hideMark/>
          </w:tcPr>
          <w:p w14:paraId="58AD22DB"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4881" w:type="dxa"/>
            <w:shd w:val="clear" w:color="auto" w:fill="auto"/>
            <w:noWrap/>
            <w:vAlign w:val="center"/>
            <w:hideMark/>
          </w:tcPr>
          <w:p w14:paraId="58AD22DC"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792" w:type="dxa"/>
            <w:shd w:val="clear" w:color="auto" w:fill="auto"/>
            <w:noWrap/>
            <w:vAlign w:val="center"/>
          </w:tcPr>
          <w:p w14:paraId="58AD22DD"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DE"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DF"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c>
          <w:tcPr>
            <w:tcW w:w="793" w:type="dxa"/>
            <w:shd w:val="clear" w:color="auto" w:fill="auto"/>
            <w:noWrap/>
            <w:vAlign w:val="center"/>
          </w:tcPr>
          <w:p w14:paraId="58AD22E0"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0.00</w:t>
            </w:r>
          </w:p>
        </w:tc>
      </w:tr>
      <w:tr w:rsidR="00927125" w:rsidRPr="0063355C" w14:paraId="58AD22E8" w14:textId="77777777" w:rsidTr="00927125">
        <w:trPr>
          <w:trHeight w:val="240"/>
        </w:trPr>
        <w:tc>
          <w:tcPr>
            <w:tcW w:w="788" w:type="dxa"/>
            <w:shd w:val="clear" w:color="auto" w:fill="auto"/>
            <w:noWrap/>
            <w:hideMark/>
          </w:tcPr>
          <w:p w14:paraId="58AD22E2"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4881" w:type="dxa"/>
            <w:shd w:val="clear" w:color="auto" w:fill="auto"/>
            <w:noWrap/>
            <w:vAlign w:val="center"/>
            <w:hideMark/>
          </w:tcPr>
          <w:p w14:paraId="58AD22E3"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792" w:type="dxa"/>
            <w:shd w:val="clear" w:color="auto" w:fill="auto"/>
            <w:noWrap/>
            <w:vAlign w:val="center"/>
          </w:tcPr>
          <w:p w14:paraId="58AD22E4"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0.03</w:t>
            </w:r>
          </w:p>
        </w:tc>
        <w:tc>
          <w:tcPr>
            <w:tcW w:w="793" w:type="dxa"/>
            <w:shd w:val="clear" w:color="auto" w:fill="auto"/>
            <w:noWrap/>
            <w:vAlign w:val="center"/>
          </w:tcPr>
          <w:p w14:paraId="58AD22E5"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0.23</w:t>
            </w:r>
          </w:p>
        </w:tc>
        <w:tc>
          <w:tcPr>
            <w:tcW w:w="793" w:type="dxa"/>
            <w:shd w:val="clear" w:color="auto" w:fill="auto"/>
            <w:noWrap/>
            <w:vAlign w:val="center"/>
          </w:tcPr>
          <w:p w14:paraId="58AD22E6"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0.29</w:t>
            </w:r>
          </w:p>
        </w:tc>
        <w:tc>
          <w:tcPr>
            <w:tcW w:w="793" w:type="dxa"/>
            <w:shd w:val="clear" w:color="auto" w:fill="auto"/>
            <w:noWrap/>
            <w:vAlign w:val="center"/>
          </w:tcPr>
          <w:p w14:paraId="58AD22E7"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0.09</w:t>
            </w:r>
          </w:p>
        </w:tc>
      </w:tr>
      <w:tr w:rsidR="00927125" w:rsidRPr="0063355C" w14:paraId="58AD22EF" w14:textId="77777777" w:rsidTr="00927125">
        <w:trPr>
          <w:trHeight w:val="240"/>
        </w:trPr>
        <w:tc>
          <w:tcPr>
            <w:tcW w:w="788" w:type="dxa"/>
            <w:shd w:val="clear" w:color="auto" w:fill="auto"/>
            <w:noWrap/>
            <w:hideMark/>
          </w:tcPr>
          <w:p w14:paraId="58AD22E9"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4881" w:type="dxa"/>
            <w:shd w:val="clear" w:color="auto" w:fill="auto"/>
            <w:noWrap/>
            <w:vAlign w:val="center"/>
            <w:hideMark/>
          </w:tcPr>
          <w:p w14:paraId="58AD22EA"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792" w:type="dxa"/>
            <w:shd w:val="clear" w:color="auto" w:fill="auto"/>
            <w:noWrap/>
            <w:vAlign w:val="center"/>
          </w:tcPr>
          <w:p w14:paraId="58AD22EB"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w:t>
            </w:r>
          </w:p>
        </w:tc>
        <w:tc>
          <w:tcPr>
            <w:tcW w:w="793" w:type="dxa"/>
            <w:shd w:val="clear" w:color="auto" w:fill="auto"/>
            <w:noWrap/>
            <w:vAlign w:val="center"/>
          </w:tcPr>
          <w:p w14:paraId="58AD22EC"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w:t>
            </w:r>
          </w:p>
        </w:tc>
        <w:tc>
          <w:tcPr>
            <w:tcW w:w="793" w:type="dxa"/>
            <w:shd w:val="clear" w:color="auto" w:fill="auto"/>
            <w:noWrap/>
            <w:vAlign w:val="center"/>
          </w:tcPr>
          <w:p w14:paraId="58AD22ED"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w:t>
            </w:r>
          </w:p>
        </w:tc>
        <w:tc>
          <w:tcPr>
            <w:tcW w:w="793" w:type="dxa"/>
            <w:shd w:val="clear" w:color="auto" w:fill="auto"/>
            <w:noWrap/>
            <w:vAlign w:val="center"/>
          </w:tcPr>
          <w:p w14:paraId="58AD22EE"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0.01</w:t>
            </w:r>
          </w:p>
        </w:tc>
      </w:tr>
      <w:tr w:rsidR="00927125" w:rsidRPr="0063355C" w14:paraId="58AD22F6" w14:textId="77777777" w:rsidTr="00927125">
        <w:trPr>
          <w:trHeight w:val="240"/>
        </w:trPr>
        <w:tc>
          <w:tcPr>
            <w:tcW w:w="788" w:type="dxa"/>
            <w:shd w:val="clear" w:color="auto" w:fill="auto"/>
            <w:noWrap/>
            <w:hideMark/>
          </w:tcPr>
          <w:p w14:paraId="58AD22F0"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4881" w:type="dxa"/>
            <w:shd w:val="clear" w:color="auto" w:fill="auto"/>
            <w:noWrap/>
            <w:vAlign w:val="center"/>
            <w:hideMark/>
          </w:tcPr>
          <w:p w14:paraId="58AD22F1"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792" w:type="dxa"/>
            <w:shd w:val="clear" w:color="auto" w:fill="auto"/>
            <w:noWrap/>
            <w:vAlign w:val="center"/>
          </w:tcPr>
          <w:p w14:paraId="58AD22F2"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F3"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0.05</w:t>
            </w:r>
          </w:p>
        </w:tc>
        <w:tc>
          <w:tcPr>
            <w:tcW w:w="793" w:type="dxa"/>
            <w:shd w:val="clear" w:color="auto" w:fill="auto"/>
            <w:noWrap/>
            <w:vAlign w:val="center"/>
          </w:tcPr>
          <w:p w14:paraId="58AD22F4"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0.06</w:t>
            </w:r>
          </w:p>
        </w:tc>
        <w:tc>
          <w:tcPr>
            <w:tcW w:w="793" w:type="dxa"/>
            <w:shd w:val="clear" w:color="auto" w:fill="auto"/>
            <w:noWrap/>
            <w:vAlign w:val="center"/>
          </w:tcPr>
          <w:p w14:paraId="58AD22F5"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0.04</w:t>
            </w:r>
          </w:p>
        </w:tc>
      </w:tr>
      <w:tr w:rsidR="00927125" w:rsidRPr="0063355C" w14:paraId="58AD22FD" w14:textId="77777777" w:rsidTr="00927125">
        <w:trPr>
          <w:trHeight w:val="240"/>
        </w:trPr>
        <w:tc>
          <w:tcPr>
            <w:tcW w:w="788" w:type="dxa"/>
            <w:shd w:val="clear" w:color="auto" w:fill="auto"/>
            <w:noWrap/>
            <w:hideMark/>
          </w:tcPr>
          <w:p w14:paraId="58AD22F7" w14:textId="77777777" w:rsidR="00927125" w:rsidRPr="0063355C" w:rsidRDefault="00927125" w:rsidP="00A90E4C">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4881" w:type="dxa"/>
            <w:shd w:val="clear" w:color="auto" w:fill="auto"/>
            <w:noWrap/>
            <w:vAlign w:val="center"/>
            <w:hideMark/>
          </w:tcPr>
          <w:p w14:paraId="58AD22F8" w14:textId="77777777" w:rsidR="00927125" w:rsidRPr="0063355C" w:rsidRDefault="00927125" w:rsidP="00A90E4C">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792" w:type="dxa"/>
            <w:shd w:val="clear" w:color="auto" w:fill="auto"/>
            <w:noWrap/>
            <w:vAlign w:val="center"/>
          </w:tcPr>
          <w:p w14:paraId="58AD22F9"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0.20</w:t>
            </w:r>
          </w:p>
        </w:tc>
        <w:tc>
          <w:tcPr>
            <w:tcW w:w="793" w:type="dxa"/>
            <w:shd w:val="clear" w:color="auto" w:fill="auto"/>
            <w:noWrap/>
            <w:vAlign w:val="center"/>
          </w:tcPr>
          <w:p w14:paraId="58AD22FA"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0.02</w:t>
            </w:r>
          </w:p>
        </w:tc>
        <w:tc>
          <w:tcPr>
            <w:tcW w:w="793" w:type="dxa"/>
            <w:shd w:val="clear" w:color="auto" w:fill="auto"/>
            <w:noWrap/>
            <w:vAlign w:val="center"/>
          </w:tcPr>
          <w:p w14:paraId="58AD22FB"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0.08</w:t>
            </w:r>
          </w:p>
        </w:tc>
        <w:tc>
          <w:tcPr>
            <w:tcW w:w="793" w:type="dxa"/>
            <w:shd w:val="clear" w:color="auto" w:fill="auto"/>
            <w:noWrap/>
            <w:vAlign w:val="center"/>
          </w:tcPr>
          <w:p w14:paraId="58AD22FC" w14:textId="77777777" w:rsidR="00927125" w:rsidRPr="00927125" w:rsidRDefault="00927125" w:rsidP="00A90E4C">
            <w:pPr>
              <w:spacing w:line="220" w:lineRule="atLeast"/>
              <w:jc w:val="center"/>
              <w:rPr>
                <w:rFonts w:ascii="Arial" w:eastAsia="Times New Roman" w:hAnsi="Arial" w:cs="Arial"/>
                <w:color w:val="000000"/>
                <w:sz w:val="16"/>
                <w:szCs w:val="18"/>
                <w:lang w:eastAsia="en-GB"/>
              </w:rPr>
            </w:pPr>
            <w:r w:rsidRPr="00927125">
              <w:rPr>
                <w:rFonts w:ascii="Arial" w:eastAsia="Times New Roman" w:hAnsi="Arial" w:cs="Arial"/>
                <w:color w:val="000000"/>
                <w:sz w:val="16"/>
                <w:szCs w:val="18"/>
                <w:lang w:eastAsia="en-GB"/>
              </w:rPr>
              <w:t>0.05</w:t>
            </w:r>
          </w:p>
        </w:tc>
      </w:tr>
    </w:tbl>
    <w:p w14:paraId="58AD22FE" w14:textId="77777777" w:rsidR="00927125" w:rsidRDefault="00927125" w:rsidP="00927125">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58AD22FF" w14:textId="77777777" w:rsidR="00927125" w:rsidRDefault="00927125">
      <w:pPr>
        <w:rPr>
          <w:rFonts w:ascii="Arial" w:eastAsia="Times New Roman" w:hAnsi="Arial"/>
          <w:b/>
          <w:color w:val="006C67" w:themeColor="accent1"/>
          <w:sz w:val="28"/>
          <w:szCs w:val="26"/>
        </w:rPr>
      </w:pPr>
      <w:r>
        <w:br w:type="page"/>
      </w:r>
    </w:p>
    <w:p w14:paraId="58AD2300" w14:textId="77777777" w:rsidR="005D716A" w:rsidRDefault="005D716A" w:rsidP="005D716A">
      <w:pPr>
        <w:pStyle w:val="Heading2"/>
      </w:pPr>
      <w:bookmarkStart w:id="127" w:name="_Toc427857754"/>
      <w:r>
        <w:t>Trade in value added</w:t>
      </w:r>
      <w:bookmarkEnd w:id="122"/>
      <w:bookmarkEnd w:id="127"/>
    </w:p>
    <w:p w14:paraId="58AD2301" w14:textId="77777777" w:rsidR="00B747D2" w:rsidRPr="007831E9" w:rsidRDefault="00B747D2" w:rsidP="007D5604">
      <w:pPr>
        <w:pStyle w:val="FigureHeading"/>
      </w:pPr>
      <w:bookmarkStart w:id="128" w:name="_Toc427857755"/>
      <w:r w:rsidRPr="007831E9">
        <w:t>Compound annual growth rate of domestic value added, foreign value added and exports, 1996-2011 and 2006-11</w:t>
      </w:r>
      <w:r>
        <w:t>, Myanmar</w:t>
      </w:r>
      <w:bookmarkEnd w:id="128"/>
    </w:p>
    <w:p w14:paraId="58AD2302" w14:textId="77777777" w:rsidR="00B747D2" w:rsidRDefault="00B747D2" w:rsidP="00B747D2">
      <w:r>
        <w:rPr>
          <w:noProof/>
          <w:lang w:eastAsia="en-GB"/>
        </w:rPr>
        <w:drawing>
          <wp:inline distT="0" distB="0" distL="0" distR="0" wp14:anchorId="58AD2364" wp14:editId="58AD2365">
            <wp:extent cx="4114800" cy="18288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AD2303" w14:textId="77777777" w:rsidR="00B747D2" w:rsidRPr="00B67D98" w:rsidRDefault="00B747D2" w:rsidP="00A90E4C">
      <w:pPr>
        <w:pStyle w:val="Source"/>
      </w:pPr>
      <w:r w:rsidRPr="00B67D98">
        <w:t xml:space="preserve">Source: Own </w:t>
      </w:r>
      <w:r>
        <w:t xml:space="preserve">computations using </w:t>
      </w:r>
      <w:proofErr w:type="spellStart"/>
      <w:r>
        <w:t>Eora26</w:t>
      </w:r>
      <w:proofErr w:type="spellEnd"/>
      <w:r>
        <w:t xml:space="preserve"> database</w:t>
      </w:r>
    </w:p>
    <w:p w14:paraId="58AD2304" w14:textId="77777777" w:rsidR="00B747D2" w:rsidRDefault="00B747D2" w:rsidP="00B747D2"/>
    <w:p w14:paraId="58AD2305" w14:textId="77777777" w:rsidR="00B747D2" w:rsidRDefault="00B747D2" w:rsidP="00B747D2">
      <w:pPr>
        <w:pStyle w:val="FigureHeading"/>
        <w:rPr>
          <w:rFonts w:cs="Arial"/>
        </w:rPr>
      </w:pPr>
      <w:bookmarkStart w:id="129" w:name="_Toc427857756"/>
      <w:r>
        <w:rPr>
          <w:rFonts w:cs="Arial"/>
        </w:rPr>
        <w:t>Domestic and foreign value added content of gross exports as share of gross exports, 1996, 2000, 2006 and 2011, Myanmar</w:t>
      </w:r>
      <w:bookmarkEnd w:id="129"/>
    </w:p>
    <w:p w14:paraId="7BC69118" w14:textId="11F79633" w:rsidR="004332EF" w:rsidRPr="004332EF" w:rsidRDefault="004332EF" w:rsidP="004332EF">
      <w:pPr>
        <w:pStyle w:val="BodyText"/>
        <w:spacing w:before="39" w:after="0" w:line="240" w:lineRule="auto"/>
        <w:jc w:val="left"/>
      </w:pPr>
      <w:r>
        <w:rPr>
          <w:noProof/>
          <w:lang w:eastAsia="en-GB"/>
        </w:rPr>
        <w:drawing>
          <wp:inline distT="0" distB="0" distL="0" distR="0" wp14:anchorId="6249DC38" wp14:editId="6FDEE030">
            <wp:extent cx="4114800" cy="1828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8AD2307" w14:textId="77777777" w:rsidR="00B747D2" w:rsidRPr="00B67D98" w:rsidRDefault="00B747D2" w:rsidP="00A90E4C">
      <w:pPr>
        <w:pStyle w:val="Source"/>
      </w:pPr>
      <w:r w:rsidRPr="00B67D98">
        <w:t xml:space="preserve">Source: Own </w:t>
      </w:r>
      <w:r>
        <w:t xml:space="preserve">computations using </w:t>
      </w:r>
      <w:proofErr w:type="spellStart"/>
      <w:r>
        <w:t>Eora26</w:t>
      </w:r>
      <w:proofErr w:type="spellEnd"/>
      <w:r>
        <w:t xml:space="preserve"> database</w:t>
      </w:r>
    </w:p>
    <w:p w14:paraId="58AD2308" w14:textId="77777777" w:rsidR="00B747D2" w:rsidRDefault="00B747D2" w:rsidP="00B747D2">
      <w:pPr>
        <w:pStyle w:val="BodyText"/>
      </w:pPr>
    </w:p>
    <w:p w14:paraId="58AD2309" w14:textId="77777777" w:rsidR="00B747D2" w:rsidRPr="00623027" w:rsidRDefault="00B747D2" w:rsidP="00B747D2">
      <w:pPr>
        <w:pStyle w:val="FigureHeading"/>
        <w:rPr>
          <w:rFonts w:cs="Arial"/>
        </w:rPr>
      </w:pPr>
      <w:bookmarkStart w:id="130" w:name="_Toc427857757"/>
      <w:r>
        <w:rPr>
          <w:rFonts w:cs="Arial"/>
        </w:rPr>
        <w:t>Overall value of domestic and foreign value added, 1996, 2000, 2006 and 2011 (in USD 1,000)</w:t>
      </w:r>
      <w:r w:rsidRPr="00B747D2">
        <w:rPr>
          <w:rFonts w:cs="Arial"/>
        </w:rPr>
        <w:t xml:space="preserve"> </w:t>
      </w:r>
      <w:r>
        <w:rPr>
          <w:rFonts w:cs="Arial"/>
        </w:rPr>
        <w:t>, Myanmar</w:t>
      </w:r>
      <w:bookmarkEnd w:id="130"/>
    </w:p>
    <w:p w14:paraId="58AD230A" w14:textId="77777777" w:rsidR="00B747D2" w:rsidRDefault="00B747D2" w:rsidP="00B747D2">
      <w:pPr>
        <w:pStyle w:val="BodyText"/>
      </w:pPr>
      <w:r>
        <w:rPr>
          <w:noProof/>
          <w:lang w:eastAsia="en-GB"/>
        </w:rPr>
        <w:drawing>
          <wp:inline distT="0" distB="0" distL="0" distR="0" wp14:anchorId="58AD2368" wp14:editId="58AD2369">
            <wp:extent cx="4114800" cy="1828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8AD230B" w14:textId="77777777" w:rsidR="00B747D2" w:rsidRPr="00B67D98" w:rsidRDefault="00B747D2" w:rsidP="00A90E4C">
      <w:pPr>
        <w:pStyle w:val="Source"/>
      </w:pPr>
      <w:r w:rsidRPr="00B67D98">
        <w:t xml:space="preserve">Source: Own </w:t>
      </w:r>
      <w:r>
        <w:t xml:space="preserve">computations using </w:t>
      </w:r>
      <w:proofErr w:type="spellStart"/>
      <w:r>
        <w:t>Eora26</w:t>
      </w:r>
      <w:proofErr w:type="spellEnd"/>
      <w:r>
        <w:t xml:space="preserve"> database</w:t>
      </w:r>
    </w:p>
    <w:p w14:paraId="58AD230C" w14:textId="77777777" w:rsidR="00B747D2" w:rsidRPr="007831E9" w:rsidRDefault="00B747D2" w:rsidP="00B747D2">
      <w:pPr>
        <w:pStyle w:val="BodyText"/>
      </w:pPr>
    </w:p>
    <w:p w14:paraId="58AD230D" w14:textId="77777777" w:rsidR="00B747D2" w:rsidRPr="00623027" w:rsidRDefault="00B747D2" w:rsidP="00B747D2">
      <w:pPr>
        <w:pStyle w:val="FigureHeading"/>
        <w:rPr>
          <w:rFonts w:cs="Arial"/>
        </w:rPr>
      </w:pPr>
      <w:bookmarkStart w:id="131" w:name="_Toc427857758"/>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rPr>
          <w:rFonts w:cs="Arial"/>
        </w:rPr>
        <w:t>, Myanmar</w:t>
      </w:r>
      <w:bookmarkEnd w:id="131"/>
    </w:p>
    <w:p w14:paraId="58AD230E" w14:textId="77777777" w:rsidR="00B747D2" w:rsidRDefault="00B747D2" w:rsidP="00B747D2">
      <w:r>
        <w:rPr>
          <w:noProof/>
          <w:lang w:eastAsia="en-GB"/>
        </w:rPr>
        <w:drawing>
          <wp:inline distT="0" distB="0" distL="0" distR="0" wp14:anchorId="58AD236A" wp14:editId="58AD236B">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8AD230F" w14:textId="77777777" w:rsidR="00B747D2" w:rsidRPr="00B67D98" w:rsidRDefault="00B747D2" w:rsidP="00A90E4C">
      <w:pPr>
        <w:pStyle w:val="Source"/>
      </w:pPr>
      <w:r w:rsidRPr="00B67D98">
        <w:t xml:space="preserve">Source: Own </w:t>
      </w:r>
      <w:r>
        <w:t xml:space="preserve">computations using </w:t>
      </w:r>
      <w:proofErr w:type="spellStart"/>
      <w:r>
        <w:t>Eora26</w:t>
      </w:r>
      <w:proofErr w:type="spellEnd"/>
      <w:r>
        <w:t xml:space="preserve"> database</w:t>
      </w:r>
    </w:p>
    <w:p w14:paraId="58AD2310" w14:textId="77777777" w:rsidR="00B747D2" w:rsidRDefault="00B747D2" w:rsidP="00B747D2"/>
    <w:p w14:paraId="58AD2311" w14:textId="77777777" w:rsidR="00B747D2" w:rsidRDefault="00B747D2" w:rsidP="00B747D2">
      <w:pPr>
        <w:pStyle w:val="FigureHeading"/>
        <w:rPr>
          <w:rFonts w:cs="Arial"/>
        </w:rPr>
      </w:pPr>
      <w:bookmarkStart w:id="132" w:name="_Toc427857759"/>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rPr>
          <w:rFonts w:cs="Arial"/>
        </w:rPr>
        <w:t>, Myanmar</w:t>
      </w:r>
      <w:bookmarkEnd w:id="132"/>
    </w:p>
    <w:p w14:paraId="02B66C1F" w14:textId="5A1B6F04" w:rsidR="004332EF" w:rsidRPr="004332EF" w:rsidRDefault="004332EF" w:rsidP="004332EF">
      <w:pPr>
        <w:pStyle w:val="BodyText"/>
        <w:spacing w:before="39" w:after="0" w:line="240" w:lineRule="auto"/>
        <w:jc w:val="left"/>
      </w:pPr>
      <w:r>
        <w:rPr>
          <w:noProof/>
          <w:lang w:eastAsia="en-GB"/>
        </w:rPr>
        <w:drawing>
          <wp:inline distT="0" distB="0" distL="0" distR="0" wp14:anchorId="697ED01B" wp14:editId="778DEEE3">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8AD2313" w14:textId="77777777" w:rsidR="00B747D2" w:rsidRPr="00B67D98" w:rsidRDefault="00B747D2" w:rsidP="00A90E4C">
      <w:pPr>
        <w:pStyle w:val="Source"/>
      </w:pPr>
      <w:r w:rsidRPr="00B67D98">
        <w:t xml:space="preserve">Source: Own </w:t>
      </w:r>
      <w:r>
        <w:t xml:space="preserve">computations using </w:t>
      </w:r>
      <w:proofErr w:type="spellStart"/>
      <w:r>
        <w:t>Eora26</w:t>
      </w:r>
      <w:proofErr w:type="spellEnd"/>
      <w:r>
        <w:t xml:space="preserve"> database</w:t>
      </w:r>
    </w:p>
    <w:p w14:paraId="58AD2314" w14:textId="77777777" w:rsidR="00B747D2" w:rsidRDefault="00B747D2" w:rsidP="00B747D2"/>
    <w:p w14:paraId="58AD2315" w14:textId="77777777" w:rsidR="00A90E4C" w:rsidRDefault="00A90E4C">
      <w:pPr>
        <w:rPr>
          <w:rFonts w:ascii="Arial" w:hAnsi="Arial" w:cs="Arial"/>
          <w:b/>
          <w:color w:val="006C67" w:themeColor="accent1"/>
          <w:sz w:val="24"/>
        </w:rPr>
      </w:pPr>
      <w:r>
        <w:rPr>
          <w:rFonts w:cs="Arial"/>
        </w:rPr>
        <w:br w:type="page"/>
      </w:r>
    </w:p>
    <w:p w14:paraId="58AD2316" w14:textId="77777777" w:rsidR="00B747D2" w:rsidRDefault="00B747D2" w:rsidP="00B747D2">
      <w:pPr>
        <w:pStyle w:val="FigureHeading"/>
        <w:rPr>
          <w:rFonts w:cs="Arial"/>
        </w:rPr>
      </w:pPr>
      <w:bookmarkStart w:id="133" w:name="_Toc427857760"/>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rPr>
          <w:rFonts w:cs="Arial"/>
        </w:rPr>
        <w:t>, Myanmar</w:t>
      </w:r>
      <w:bookmarkEnd w:id="133"/>
    </w:p>
    <w:p w14:paraId="58AD2317" w14:textId="77777777" w:rsidR="00A90E4C" w:rsidRDefault="00A90E4C" w:rsidP="00A90E4C">
      <w:pPr>
        <w:pStyle w:val="BodyText"/>
      </w:pPr>
      <w:r>
        <w:rPr>
          <w:noProof/>
          <w:lang w:eastAsia="en-GB"/>
        </w:rPr>
        <w:drawing>
          <wp:inline distT="0" distB="0" distL="0" distR="0" wp14:anchorId="58AD236E" wp14:editId="58AD236F">
            <wp:extent cx="4680966" cy="2799806"/>
            <wp:effectExtent l="0" t="0" r="5715" b="63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8AD2318" w14:textId="77777777" w:rsidR="001B7BB4" w:rsidRPr="00A90E4C" w:rsidRDefault="001B7BB4" w:rsidP="00A90E4C">
      <w:pPr>
        <w:pStyle w:val="BodyText"/>
      </w:pPr>
      <w:r>
        <w:rPr>
          <w:noProof/>
          <w:lang w:eastAsia="en-GB"/>
        </w:rPr>
        <w:drawing>
          <wp:inline distT="0" distB="0" distL="0" distR="0" wp14:anchorId="58AD2370" wp14:editId="58AD2371">
            <wp:extent cx="4684014" cy="2799806"/>
            <wp:effectExtent l="0" t="0" r="2540" b="63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8AD2319" w14:textId="77777777" w:rsidR="00B747D2" w:rsidRPr="00B67D98" w:rsidRDefault="00B747D2" w:rsidP="001B7BB4">
      <w:pPr>
        <w:pStyle w:val="Source"/>
      </w:pPr>
      <w:r w:rsidRPr="00B67D98">
        <w:t xml:space="preserve">Source: Own </w:t>
      </w:r>
      <w:r>
        <w:t xml:space="preserve">computations using </w:t>
      </w:r>
      <w:proofErr w:type="spellStart"/>
      <w:r>
        <w:t>Eora26</w:t>
      </w:r>
      <w:proofErr w:type="spellEnd"/>
      <w:r>
        <w:t xml:space="preserve"> database</w:t>
      </w:r>
    </w:p>
    <w:p w14:paraId="58AD231A" w14:textId="77777777" w:rsidR="00B747D2" w:rsidRDefault="00B747D2" w:rsidP="00B747D2"/>
    <w:p w14:paraId="58AD231B" w14:textId="77777777" w:rsidR="00B747D2" w:rsidRDefault="00B747D2" w:rsidP="00B747D2"/>
    <w:p w14:paraId="58AD231C" w14:textId="77777777" w:rsidR="00B747D2" w:rsidRDefault="00B747D2" w:rsidP="00B747D2"/>
    <w:p w14:paraId="58AD231D" w14:textId="77777777" w:rsidR="001B7BB4" w:rsidRDefault="001B7BB4">
      <w:pPr>
        <w:rPr>
          <w:rFonts w:ascii="Arial" w:hAnsi="Arial" w:cs="Arial"/>
          <w:b/>
          <w:color w:val="006C67" w:themeColor="accent1"/>
          <w:sz w:val="24"/>
        </w:rPr>
      </w:pPr>
      <w:r>
        <w:rPr>
          <w:rFonts w:cs="Arial"/>
        </w:rPr>
        <w:br w:type="page"/>
      </w:r>
    </w:p>
    <w:p w14:paraId="58AD231E" w14:textId="77777777" w:rsidR="00B747D2" w:rsidRPr="00623027" w:rsidRDefault="00B747D2" w:rsidP="00B747D2">
      <w:pPr>
        <w:pStyle w:val="FigureHeading"/>
        <w:rPr>
          <w:rFonts w:cs="Arial"/>
        </w:rPr>
      </w:pPr>
      <w:bookmarkStart w:id="134" w:name="_Toc427857761"/>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rPr>
          <w:rFonts w:cs="Arial"/>
        </w:rPr>
        <w:t>, Myanmar</w:t>
      </w:r>
      <w:bookmarkEnd w:id="134"/>
    </w:p>
    <w:p w14:paraId="58AD231F" w14:textId="77777777" w:rsidR="00B747D2" w:rsidRDefault="00B747D2" w:rsidP="00B747D2">
      <w:r>
        <w:rPr>
          <w:noProof/>
          <w:lang w:eastAsia="en-GB"/>
        </w:rPr>
        <w:drawing>
          <wp:inline distT="0" distB="0" distL="0" distR="0" wp14:anchorId="58AD2372" wp14:editId="58AD2373">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8AD2320" w14:textId="77777777" w:rsidR="00B747D2" w:rsidRPr="00B67D98" w:rsidRDefault="00B747D2" w:rsidP="001B7BB4">
      <w:pPr>
        <w:pStyle w:val="Source"/>
      </w:pPr>
      <w:r w:rsidRPr="00B67D98">
        <w:t xml:space="preserve">Source: Own </w:t>
      </w:r>
      <w:r>
        <w:t xml:space="preserve">computations using </w:t>
      </w:r>
      <w:proofErr w:type="spellStart"/>
      <w:r>
        <w:t>Eora26</w:t>
      </w:r>
      <w:proofErr w:type="spellEnd"/>
      <w:r>
        <w:t xml:space="preserve"> database</w:t>
      </w:r>
    </w:p>
    <w:p w14:paraId="58AD2321" w14:textId="77777777" w:rsidR="00B747D2" w:rsidRDefault="00B747D2" w:rsidP="00B747D2"/>
    <w:p w14:paraId="58AD2322" w14:textId="77777777" w:rsidR="00B747D2" w:rsidRDefault="00B747D2" w:rsidP="00B747D2">
      <w:pPr>
        <w:pStyle w:val="FigureHeading"/>
        <w:rPr>
          <w:rFonts w:cs="Arial"/>
        </w:rPr>
      </w:pPr>
      <w:bookmarkStart w:id="135" w:name="_Toc427857762"/>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rPr>
          <w:rFonts w:cs="Arial"/>
        </w:rPr>
        <w:t>, Myanmar</w:t>
      </w:r>
      <w:bookmarkEnd w:id="135"/>
    </w:p>
    <w:p w14:paraId="1030377E" w14:textId="5A3E8C9F" w:rsidR="004332EF" w:rsidRPr="004332EF" w:rsidRDefault="004332EF" w:rsidP="004332EF">
      <w:pPr>
        <w:pStyle w:val="BodyText"/>
        <w:spacing w:before="39" w:after="0" w:line="240" w:lineRule="auto"/>
        <w:jc w:val="left"/>
      </w:pPr>
      <w:r>
        <w:rPr>
          <w:noProof/>
          <w:lang w:eastAsia="en-GB"/>
        </w:rPr>
        <w:drawing>
          <wp:inline distT="0" distB="0" distL="0" distR="0" wp14:anchorId="2CA5A720" wp14:editId="6C9CE56B">
            <wp:extent cx="4572000"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8AD2324" w14:textId="77777777" w:rsidR="00B747D2" w:rsidRPr="00B67D98" w:rsidRDefault="00B747D2" w:rsidP="001B7BB4">
      <w:pPr>
        <w:pStyle w:val="Source"/>
      </w:pPr>
      <w:r w:rsidRPr="00B67D98">
        <w:t xml:space="preserve">Source: Own </w:t>
      </w:r>
      <w:r>
        <w:t xml:space="preserve">computations using </w:t>
      </w:r>
      <w:proofErr w:type="spellStart"/>
      <w:r>
        <w:t>Eora26</w:t>
      </w:r>
      <w:proofErr w:type="spellEnd"/>
      <w:r>
        <w:t xml:space="preserve"> database</w:t>
      </w:r>
    </w:p>
    <w:p w14:paraId="58AD2325" w14:textId="77777777" w:rsidR="00B747D2" w:rsidRDefault="00B747D2" w:rsidP="00B747D2">
      <w:pPr>
        <w:pStyle w:val="BodyText"/>
      </w:pPr>
    </w:p>
    <w:p w14:paraId="58AD2326" w14:textId="77777777" w:rsidR="001B7BB4" w:rsidRDefault="001B7BB4">
      <w:pPr>
        <w:rPr>
          <w:rFonts w:ascii="Arial" w:hAnsi="Arial" w:cs="Arial"/>
          <w:b/>
          <w:color w:val="006C67" w:themeColor="accent1"/>
          <w:sz w:val="24"/>
        </w:rPr>
      </w:pPr>
      <w:r>
        <w:rPr>
          <w:rFonts w:cs="Arial"/>
        </w:rPr>
        <w:br w:type="page"/>
      </w:r>
    </w:p>
    <w:p w14:paraId="58AD2327" w14:textId="77777777" w:rsidR="00B747D2" w:rsidRDefault="00B747D2" w:rsidP="00B747D2">
      <w:pPr>
        <w:pStyle w:val="FigureHeading"/>
        <w:rPr>
          <w:rFonts w:cs="Arial"/>
        </w:rPr>
      </w:pPr>
      <w:bookmarkStart w:id="136" w:name="_Toc427857763"/>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rPr>
          <w:rFonts w:cs="Arial"/>
        </w:rPr>
        <w:t>, Myanmar</w:t>
      </w:r>
      <w:bookmarkEnd w:id="136"/>
    </w:p>
    <w:p w14:paraId="58AD2328" w14:textId="77777777" w:rsidR="001B7BB4" w:rsidRPr="001B7BB4" w:rsidRDefault="001B7BB4" w:rsidP="001B7BB4">
      <w:pPr>
        <w:pStyle w:val="BodyText"/>
      </w:pPr>
      <w:r>
        <w:rPr>
          <w:noProof/>
          <w:lang w:eastAsia="en-GB"/>
        </w:rPr>
        <w:drawing>
          <wp:inline distT="0" distB="0" distL="0" distR="0" wp14:anchorId="58AD2376" wp14:editId="5B17040C">
            <wp:extent cx="4680966" cy="2799806"/>
            <wp:effectExtent l="0" t="0" r="5715" b="63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8AD2329" w14:textId="77777777" w:rsidR="00B747D2" w:rsidRDefault="007D5604" w:rsidP="00B747D2">
      <w:pPr>
        <w:pStyle w:val="BodyText"/>
      </w:pPr>
      <w:r>
        <w:rPr>
          <w:noProof/>
          <w:lang w:eastAsia="en-GB"/>
        </w:rPr>
        <w:drawing>
          <wp:inline distT="0" distB="0" distL="0" distR="0" wp14:anchorId="58AD2378" wp14:editId="58AD2379">
            <wp:extent cx="4684014" cy="2799806"/>
            <wp:effectExtent l="0" t="0" r="2540" b="63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8AD232A" w14:textId="77777777" w:rsidR="00B747D2" w:rsidRPr="00B67D98" w:rsidRDefault="00B747D2" w:rsidP="007D5604">
      <w:pPr>
        <w:pStyle w:val="Source"/>
      </w:pPr>
      <w:r w:rsidRPr="00B67D98">
        <w:t xml:space="preserve">Source: Own </w:t>
      </w:r>
      <w:r>
        <w:t xml:space="preserve">computations using </w:t>
      </w:r>
      <w:proofErr w:type="spellStart"/>
      <w:r>
        <w:t>Eora26</w:t>
      </w:r>
      <w:proofErr w:type="spellEnd"/>
      <w:r>
        <w:t xml:space="preserve"> database</w:t>
      </w:r>
    </w:p>
    <w:p w14:paraId="58AD232B" w14:textId="3D7D9BB3" w:rsidR="00B9762F" w:rsidRDefault="00B9762F">
      <w:r>
        <w:br w:type="page"/>
      </w:r>
    </w:p>
    <w:p w14:paraId="27DCD356" w14:textId="77777777" w:rsidR="00B9762F" w:rsidRDefault="00B9762F" w:rsidP="00B9762F">
      <w:pPr>
        <w:pStyle w:val="Heading2"/>
      </w:pPr>
      <w:bookmarkStart w:id="137" w:name="_Toc419997417"/>
      <w:bookmarkStart w:id="138" w:name="_Toc427857764"/>
      <w:r>
        <w:t>Trade in services</w:t>
      </w:r>
      <w:bookmarkEnd w:id="137"/>
      <w:bookmarkEnd w:id="138"/>
    </w:p>
    <w:p w14:paraId="16CAE95D" w14:textId="37B0BB33" w:rsidR="00B747D2" w:rsidRDefault="00B9762F" w:rsidP="00B9762F">
      <w:pPr>
        <w:pStyle w:val="FigureHeading"/>
      </w:pPr>
      <w:bookmarkStart w:id="139" w:name="_Toc427857765"/>
      <w:r>
        <w:t>Exports of goods and services, Myanmar</w:t>
      </w:r>
      <w:bookmarkEnd w:id="139"/>
    </w:p>
    <w:p w14:paraId="301BDB17" w14:textId="22331758" w:rsidR="00B9762F" w:rsidRDefault="00B9762F" w:rsidP="00B9762F">
      <w:pPr>
        <w:pStyle w:val="BodyText"/>
        <w:spacing w:before="39" w:after="0" w:line="240" w:lineRule="auto"/>
        <w:jc w:val="left"/>
      </w:pPr>
      <w:r>
        <w:rPr>
          <w:noProof/>
          <w:lang w:eastAsia="en-GB"/>
        </w:rPr>
        <w:drawing>
          <wp:inline distT="0" distB="0" distL="0" distR="0" wp14:anchorId="04A6FD18" wp14:editId="154832BA">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D3DC4D7" w14:textId="77777777" w:rsidR="00B9762F" w:rsidRDefault="00B9762F" w:rsidP="00B9762F">
      <w:pPr>
        <w:pStyle w:val="Source"/>
      </w:pPr>
      <w:r>
        <w:t>Source: Authors’ calculation using data from the World Bank’s World Development Indicators.</w:t>
      </w:r>
    </w:p>
    <w:p w14:paraId="6D84FEE2" w14:textId="426B618E" w:rsidR="00B9762F" w:rsidRDefault="00B9762F" w:rsidP="00B9762F">
      <w:pPr>
        <w:pStyle w:val="FigureHeading"/>
      </w:pPr>
      <w:bookmarkStart w:id="140" w:name="_Toc427857766"/>
      <w:r>
        <w:t>Sectoral shares of services exports, Myanmar</w:t>
      </w:r>
      <w:bookmarkEnd w:id="140"/>
    </w:p>
    <w:p w14:paraId="1109DCE1" w14:textId="7E041F6A" w:rsidR="00B9762F" w:rsidRDefault="00B9762F" w:rsidP="00B9762F">
      <w:pPr>
        <w:pStyle w:val="BodyText"/>
        <w:spacing w:before="39" w:after="0" w:line="240" w:lineRule="auto"/>
        <w:jc w:val="left"/>
      </w:pPr>
      <w:r>
        <w:rPr>
          <w:noProof/>
          <w:lang w:eastAsia="en-GB"/>
        </w:rPr>
        <w:drawing>
          <wp:inline distT="0" distB="0" distL="0" distR="0" wp14:anchorId="02B03608" wp14:editId="3D159072">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2DCDCEA" w14:textId="77777777" w:rsidR="00B9762F" w:rsidRDefault="00B9762F" w:rsidP="00B9762F">
      <w:pPr>
        <w:pStyle w:val="Source"/>
      </w:pPr>
      <w:r>
        <w:t>Source: Authors’ calculation using data from the World Bank’s World Development Indicators.</w:t>
      </w:r>
    </w:p>
    <w:p w14:paraId="223C4A89" w14:textId="77777777" w:rsidR="00B9762F" w:rsidRPr="00B9762F" w:rsidRDefault="00B9762F" w:rsidP="00B9762F">
      <w:pPr>
        <w:pStyle w:val="BodyText"/>
        <w:spacing w:before="39" w:after="0" w:line="240" w:lineRule="auto"/>
        <w:jc w:val="left"/>
      </w:pPr>
    </w:p>
    <w:p w14:paraId="58AD232C" w14:textId="77777777" w:rsidR="00B747D2" w:rsidRPr="00B747D2" w:rsidRDefault="00B747D2" w:rsidP="00B747D2">
      <w:pPr>
        <w:pStyle w:val="BodyText"/>
      </w:pPr>
    </w:p>
    <w:p w14:paraId="58AD232D" w14:textId="77777777" w:rsidR="005D716A" w:rsidRDefault="005D716A" w:rsidP="005D716A">
      <w:r>
        <w:br w:type="page"/>
      </w:r>
    </w:p>
    <w:p w14:paraId="58AD232E" w14:textId="77777777" w:rsidR="005D716A" w:rsidRDefault="005D716A" w:rsidP="005350B6">
      <w:pPr>
        <w:pStyle w:val="Heading1"/>
      </w:pPr>
      <w:bookmarkStart w:id="141" w:name="_Toc408300390"/>
      <w:bookmarkStart w:id="142" w:name="_Toc408311615"/>
      <w:bookmarkStart w:id="143" w:name="_Toc427857767"/>
      <w:r>
        <w:t xml:space="preserve">Estimates of </w:t>
      </w:r>
      <w:r w:rsidRPr="009E6714">
        <w:t>total factor productivity</w:t>
      </w:r>
      <w:r>
        <w:t xml:space="preserve"> at firm level</w:t>
      </w:r>
      <w:bookmarkEnd w:id="141"/>
      <w:bookmarkEnd w:id="142"/>
      <w:bookmarkEnd w:id="143"/>
    </w:p>
    <w:p w14:paraId="58AD232F" w14:textId="77777777" w:rsidR="005D716A" w:rsidRDefault="005D716A" w:rsidP="005D716A">
      <w:pPr>
        <w:pStyle w:val="FigureHeading"/>
      </w:pPr>
      <w:bookmarkStart w:id="144" w:name="_Toc408300245"/>
      <w:bookmarkStart w:id="145" w:name="_Toc408300391"/>
      <w:bookmarkStart w:id="146" w:name="_Toc408311616"/>
      <w:bookmarkStart w:id="147" w:name="_Toc427857768"/>
      <w:r w:rsidRPr="00087CCE">
        <w:t>Dispersion in productivity across firms by sector</w:t>
      </w:r>
      <w:r>
        <w:t xml:space="preserve"> – </w:t>
      </w:r>
      <w:bookmarkEnd w:id="144"/>
      <w:bookmarkEnd w:id="145"/>
      <w:bookmarkEnd w:id="146"/>
      <w:r>
        <w:t>Myanmar</w:t>
      </w:r>
      <w:bookmarkEnd w:id="147"/>
    </w:p>
    <w:p w14:paraId="58AD2330" w14:textId="77777777" w:rsidR="005D716A" w:rsidRDefault="005D716A" w:rsidP="005D716A">
      <w:pPr>
        <w:rPr>
          <w:b/>
        </w:rPr>
      </w:pPr>
      <w:r>
        <w:rPr>
          <w:noProof/>
          <w:lang w:eastAsia="en-GB"/>
        </w:rPr>
        <w:drawing>
          <wp:inline distT="0" distB="0" distL="0" distR="0" wp14:anchorId="58AD237A" wp14:editId="58AD237B">
            <wp:extent cx="5114925" cy="37433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14:paraId="58AD2331" w14:textId="77777777" w:rsidR="005D716A" w:rsidRDefault="005D716A" w:rsidP="005D716A">
      <w:pPr>
        <w:pStyle w:val="Source"/>
      </w:pPr>
      <w:r>
        <w:t>Source: Authors’ calculations using data from World Bank Enterprise Surveys (</w:t>
      </w:r>
      <w:hyperlink r:id="rId88" w:history="1">
        <w:r>
          <w:rPr>
            <w:rStyle w:val="Hyperlink"/>
          </w:rPr>
          <w:t>http://www.enterprisesurveys.org/</w:t>
        </w:r>
      </w:hyperlink>
      <w:r>
        <w:t>).</w:t>
      </w:r>
    </w:p>
    <w:p w14:paraId="58AD2332" w14:textId="77777777" w:rsidR="006C2AB9" w:rsidRDefault="006C2AB9">
      <w:pPr>
        <w:rPr>
          <w:rFonts w:ascii="Arial" w:hAnsi="Arial"/>
          <w:b/>
          <w:color w:val="006C67" w:themeColor="accent1"/>
          <w:sz w:val="24"/>
        </w:rPr>
      </w:pPr>
      <w:bookmarkStart w:id="148" w:name="_Toc408300246"/>
      <w:bookmarkStart w:id="149" w:name="_Toc408300392"/>
      <w:bookmarkStart w:id="150" w:name="_Toc408311617"/>
      <w:r>
        <w:br w:type="page"/>
      </w:r>
    </w:p>
    <w:p w14:paraId="58AD2333" w14:textId="77777777" w:rsidR="005D716A" w:rsidRPr="00490E45" w:rsidRDefault="005D716A" w:rsidP="005D716A">
      <w:pPr>
        <w:pStyle w:val="FigureHeading"/>
      </w:pPr>
      <w:bookmarkStart w:id="151" w:name="_Toc427857769"/>
      <w:r>
        <w:t xml:space="preserve">Distribution </w:t>
      </w:r>
      <w:r w:rsidRPr="00087CCE">
        <w:t xml:space="preserve">in productivity </w:t>
      </w:r>
      <w:r>
        <w:t>in Myanmar – comparing kernel and normal distributions</w:t>
      </w:r>
      <w:bookmarkEnd w:id="148"/>
      <w:bookmarkEnd w:id="149"/>
      <w:bookmarkEnd w:id="150"/>
      <w:bookmarkEnd w:id="151"/>
    </w:p>
    <w:p w14:paraId="58AD2334" w14:textId="77777777" w:rsidR="005D716A" w:rsidRDefault="005D716A" w:rsidP="005D716A">
      <w:pPr>
        <w:pStyle w:val="BodyText"/>
        <w:spacing w:before="39" w:after="0" w:line="240" w:lineRule="auto"/>
        <w:jc w:val="left"/>
      </w:pPr>
      <w:r>
        <w:rPr>
          <w:noProof/>
          <w:lang w:eastAsia="en-GB"/>
        </w:rPr>
        <w:drawing>
          <wp:inline distT="0" distB="0" distL="0" distR="0" wp14:anchorId="58AD237C" wp14:editId="58AD237D">
            <wp:extent cx="5114290" cy="3742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58AD2335" w14:textId="77777777" w:rsidR="005D716A" w:rsidRDefault="005D716A" w:rsidP="005D716A">
      <w:pPr>
        <w:pStyle w:val="Source"/>
      </w:pPr>
      <w:r>
        <w:t>Source: Authors’ calculations using data from World Bank Enterprise Surveys (</w:t>
      </w:r>
      <w:hyperlink r:id="rId90" w:history="1">
        <w:r>
          <w:rPr>
            <w:rStyle w:val="Hyperlink"/>
          </w:rPr>
          <w:t>http://www.enterprisesurveys.org/</w:t>
        </w:r>
      </w:hyperlink>
      <w:r>
        <w:t>).</w:t>
      </w:r>
    </w:p>
    <w:p w14:paraId="58AD2336" w14:textId="77777777" w:rsidR="006C2AB9" w:rsidRDefault="006C2AB9">
      <w:pPr>
        <w:rPr>
          <w:rFonts w:ascii="Arial" w:hAnsi="Arial"/>
          <w:i/>
          <w:sz w:val="16"/>
        </w:rPr>
      </w:pPr>
      <w:r>
        <w:br w:type="page"/>
      </w:r>
    </w:p>
    <w:p w14:paraId="58AD2337" w14:textId="77777777" w:rsidR="006C2AB9" w:rsidRDefault="006C2AB9" w:rsidP="006C2AB9">
      <w:pPr>
        <w:pStyle w:val="Heading1"/>
      </w:pPr>
      <w:bookmarkStart w:id="152" w:name="_Toc427857770"/>
      <w:r>
        <w:t xml:space="preserve">Wages by </w:t>
      </w:r>
      <w:r w:rsidR="00575A8E">
        <w:t>occupation</w:t>
      </w:r>
      <w:bookmarkEnd w:id="152"/>
    </w:p>
    <w:p w14:paraId="58AD2338" w14:textId="77777777" w:rsidR="006C2AB9" w:rsidRDefault="006C2AB9" w:rsidP="006C2AB9">
      <w:pPr>
        <w:pStyle w:val="FigureHeading"/>
        <w:rPr>
          <w:lang w:eastAsia="en-GB"/>
        </w:rPr>
      </w:pPr>
      <w:bookmarkStart w:id="153" w:name="_Toc408474473"/>
      <w:bookmarkStart w:id="154" w:name="_Toc427857771"/>
      <w:r w:rsidRPr="00FD092F">
        <w:rPr>
          <w:lang w:eastAsia="en-GB"/>
        </w:rPr>
        <w:t xml:space="preserve">Relative wages in </w:t>
      </w:r>
      <w:bookmarkEnd w:id="153"/>
      <w:r>
        <w:rPr>
          <w:lang w:eastAsia="en-GB"/>
        </w:rPr>
        <w:t>Myanmar</w:t>
      </w:r>
      <w:bookmarkEnd w:id="154"/>
    </w:p>
    <w:p w14:paraId="58AD2339" w14:textId="77777777" w:rsidR="006C2AB9" w:rsidRDefault="006C2AB9" w:rsidP="006C2AB9">
      <w:r>
        <w:rPr>
          <w:noProof/>
          <w:lang w:eastAsia="en-GB"/>
        </w:rPr>
        <w:drawing>
          <wp:inline distT="0" distB="0" distL="0" distR="0" wp14:anchorId="58AD237E" wp14:editId="58AD237F">
            <wp:extent cx="4572000" cy="2606040"/>
            <wp:effectExtent l="0" t="0" r="0"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8AD233A" w14:textId="77777777" w:rsidR="006C2AB9" w:rsidRDefault="006C2AB9" w:rsidP="006C2AB9">
      <w:pPr>
        <w:pStyle w:val="Source"/>
      </w:pPr>
      <w:r>
        <w:t xml:space="preserve">Source: Monthly wages in US$ (adjusted: </w:t>
      </w:r>
      <w:proofErr w:type="spellStart"/>
      <w:r>
        <w:t>Oostendorp</w:t>
      </w:r>
      <w:proofErr w:type="spellEnd"/>
      <w:r>
        <w:t xml:space="preserve"> 2012) (</w:t>
      </w:r>
      <w:proofErr w:type="spellStart"/>
      <w:r>
        <w:t>stata</w:t>
      </w:r>
      <w:proofErr w:type="spellEnd"/>
      <w:r>
        <w:t xml:space="preserve"> variable </w:t>
      </w:r>
      <w:proofErr w:type="spellStart"/>
      <w:r>
        <w:t>mw3wuus</w:t>
      </w:r>
      <w:proofErr w:type="spellEnd"/>
      <w:r>
        <w:t xml:space="preserve">), see </w:t>
      </w:r>
      <w:hyperlink r:id="rId92" w:history="1">
        <w:r w:rsidRPr="004D1BBE">
          <w:rPr>
            <w:rStyle w:val="Hyperlink"/>
          </w:rPr>
          <w:t>http://www.nber.org/oww/</w:t>
        </w:r>
      </w:hyperlink>
      <w:r>
        <w:t xml:space="preserve"> – occupational wages compared to country average for that year.</w:t>
      </w:r>
    </w:p>
    <w:p w14:paraId="58AD233B" w14:textId="77777777" w:rsidR="006C2AB9" w:rsidRPr="006C2AB9" w:rsidRDefault="006C2AB9" w:rsidP="006C2AB9">
      <w:pPr>
        <w:pStyle w:val="BodyText"/>
      </w:pPr>
    </w:p>
    <w:sectPr w:rsidR="006C2AB9" w:rsidRPr="006C2AB9"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D2384" w14:textId="77777777" w:rsidR="00194F6F" w:rsidRDefault="00194F6F" w:rsidP="00664562">
      <w:r>
        <w:separator/>
      </w:r>
    </w:p>
  </w:endnote>
  <w:endnote w:type="continuationSeparator" w:id="0">
    <w:p w14:paraId="58AD2385" w14:textId="77777777" w:rsidR="00194F6F" w:rsidRDefault="00194F6F"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D2387" w14:textId="77777777" w:rsidR="00194F6F" w:rsidRDefault="00194F6F">
    <w:pPr>
      <w:pStyle w:val="Footer"/>
    </w:pPr>
    <w:r>
      <w:fldChar w:fldCharType="begin"/>
    </w:r>
    <w:r>
      <w:instrText xml:space="preserve"> page </w:instrText>
    </w:r>
    <w:r>
      <w:fldChar w:fldCharType="separate"/>
    </w:r>
    <w:r w:rsidR="00733BD9">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194F6F" w14:paraId="58AD2399" w14:textId="77777777" w:rsidTr="00401C72">
      <w:tc>
        <w:tcPr>
          <w:tcW w:w="3800" w:type="dxa"/>
        </w:tcPr>
        <w:p w14:paraId="58AD2397" w14:textId="77777777" w:rsidR="00194F6F" w:rsidRDefault="00194F6F" w:rsidP="00401C72">
          <w:pPr>
            <w:pStyle w:val="Strapline"/>
          </w:pPr>
          <w:r>
            <w:t>Shaping policy for development</w:t>
          </w:r>
        </w:p>
      </w:tc>
      <w:tc>
        <w:tcPr>
          <w:tcW w:w="6406" w:type="dxa"/>
        </w:tcPr>
        <w:p w14:paraId="58AD2398" w14:textId="77777777" w:rsidR="00194F6F" w:rsidRPr="00346BDD" w:rsidRDefault="00194F6F" w:rsidP="00401C72">
          <w:pPr>
            <w:pStyle w:val="Strapline"/>
            <w:jc w:val="right"/>
            <w:rPr>
              <w:b/>
            </w:rPr>
          </w:pPr>
          <w:r w:rsidRPr="00346BDD">
            <w:rPr>
              <w:b/>
            </w:rPr>
            <w:t>odi.org</w:t>
          </w:r>
        </w:p>
      </w:tc>
    </w:tr>
  </w:tbl>
  <w:p w14:paraId="58AD239A" w14:textId="77777777" w:rsidR="00194F6F" w:rsidRDefault="00194F6F">
    <w:pPr>
      <w:pStyle w:val="Footer"/>
    </w:pPr>
  </w:p>
  <w:p w14:paraId="58AD239B" w14:textId="77777777" w:rsidR="00194F6F" w:rsidRDefault="00194F6F">
    <w:pPr>
      <w:pStyle w:val="Footer"/>
    </w:pPr>
  </w:p>
  <w:p w14:paraId="58AD239C" w14:textId="77777777" w:rsidR="00194F6F" w:rsidRDefault="00194F6F">
    <w:pPr>
      <w:pStyle w:val="Footer"/>
    </w:pPr>
  </w:p>
  <w:p w14:paraId="58AD239D" w14:textId="77777777" w:rsidR="00194F6F" w:rsidRDefault="00194F6F">
    <w:pPr>
      <w:pStyle w:val="Footer"/>
    </w:pPr>
  </w:p>
  <w:p w14:paraId="58AD239E" w14:textId="77777777" w:rsidR="00194F6F" w:rsidRDefault="00194F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58AD23A0" w14:textId="77777777" w:rsidR="00194F6F" w:rsidRPr="001228CD" w:rsidRDefault="00194F6F"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733BD9" w:rsidRPr="00733BD9">
          <w:rPr>
            <w:rFonts w:asciiTheme="majorHAnsi" w:eastAsiaTheme="majorEastAsia" w:hAnsiTheme="majorHAnsi" w:cstheme="majorHAnsi"/>
            <w:noProof/>
            <w:sz w:val="18"/>
            <w:szCs w:val="18"/>
          </w:rPr>
          <w:t>5</w:t>
        </w:r>
        <w:r w:rsidRPr="001228CD">
          <w:rPr>
            <w:rFonts w:asciiTheme="majorHAnsi" w:eastAsiaTheme="majorEastAsia" w:hAnsiTheme="majorHAnsi" w:cstheme="majorHAnsi"/>
            <w:noProof/>
            <w:sz w:val="18"/>
            <w:szCs w:val="18"/>
          </w:rPr>
          <w:fldChar w:fldCharType="end"/>
        </w:r>
      </w:p>
    </w:sdtContent>
  </w:sdt>
  <w:p w14:paraId="58AD23A1" w14:textId="77777777" w:rsidR="00194F6F" w:rsidRDefault="00194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194F6F" w14:paraId="58AD2381" w14:textId="77777777" w:rsidTr="00F676A1">
        <w:trPr>
          <w:trHeight w:hRule="exact" w:val="227"/>
        </w:trPr>
        <w:tc>
          <w:tcPr>
            <w:tcW w:w="9855" w:type="dxa"/>
          </w:tcPr>
          <w:p w14:paraId="58AD2380" w14:textId="77777777" w:rsidR="00194F6F" w:rsidRDefault="00194F6F" w:rsidP="0073462B">
            <w:pPr>
              <w:pStyle w:val="Footer"/>
            </w:pPr>
          </w:p>
        </w:tc>
      </w:tr>
    </w:tbl>
    <w:p w14:paraId="58AD2382" w14:textId="77777777" w:rsidR="00194F6F" w:rsidRPr="0073462B" w:rsidRDefault="00194F6F" w:rsidP="0073462B">
      <w:pPr>
        <w:pStyle w:val="Footer"/>
        <w:rPr>
          <w:sz w:val="2"/>
          <w:szCs w:val="2"/>
        </w:rPr>
      </w:pPr>
    </w:p>
  </w:footnote>
  <w:footnote w:type="continuationSeparator" w:id="0">
    <w:p w14:paraId="58AD2383" w14:textId="77777777" w:rsidR="00194F6F" w:rsidRDefault="00194F6F"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D2386" w14:textId="77777777" w:rsidR="00194F6F" w:rsidRDefault="00194F6F">
    <w:pPr>
      <w:pStyle w:val="Header"/>
    </w:pPr>
    <w:r>
      <w:rPr>
        <w:noProof/>
        <w:lang w:eastAsia="en-GB"/>
      </w:rPr>
      <mc:AlternateContent>
        <mc:Choice Requires="wps">
          <w:drawing>
            <wp:anchor distT="0" distB="0" distL="114300" distR="114300" simplePos="0" relativeHeight="251659264" behindDoc="1" locked="0" layoutInCell="1" allowOverlap="1" wp14:anchorId="58AD23A2" wp14:editId="58AD23A3">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9AF3E" w14:textId="79E87983" w:rsidR="00194F6F" w:rsidRDefault="00194F6F" w:rsidP="00B9762F">
    <w:pPr>
      <w:pStyle w:val="Header"/>
      <w:tabs>
        <w:tab w:val="clear" w:pos="4680"/>
        <w:tab w:val="right" w:pos="8820"/>
        <w:tab w:val="left" w:pos="9540"/>
      </w:tabs>
      <w:jc w:val="left"/>
    </w:pPr>
    <w:r>
      <w:rPr>
        <w:sz w:val="20"/>
        <w:szCs w:val="20"/>
      </w:rPr>
      <w:tab/>
      <w:t xml:space="preserve">Last updated: </w:t>
    </w:r>
    <w:r w:rsidR="00CD2A59">
      <w:rPr>
        <w:sz w:val="20"/>
        <w:szCs w:val="20"/>
      </w:rPr>
      <w:t>2</w:t>
    </w:r>
    <w:r w:rsidR="006A374E">
      <w:rPr>
        <w:sz w:val="20"/>
        <w:szCs w:val="20"/>
      </w:rPr>
      <w:t>7</w:t>
    </w:r>
    <w:r w:rsidR="00CD2A59">
      <w:rPr>
        <w:sz w:val="20"/>
        <w:szCs w:val="20"/>
      </w:rPr>
      <w:t xml:space="preserve"> August 2015</w:t>
    </w:r>
  </w:p>
  <w:p w14:paraId="58AD2389" w14:textId="77777777" w:rsidR="00194F6F" w:rsidRDefault="00194F6F" w:rsidP="00401C72">
    <w:pPr>
      <w:pStyle w:val="Header"/>
    </w:pPr>
  </w:p>
  <w:p w14:paraId="58AD238A" w14:textId="77777777" w:rsidR="00194F6F" w:rsidRDefault="00194F6F" w:rsidP="00401C72">
    <w:pPr>
      <w:pStyle w:val="Header"/>
    </w:pPr>
  </w:p>
  <w:p w14:paraId="58AD238B" w14:textId="77777777" w:rsidR="00194F6F" w:rsidRDefault="00194F6F" w:rsidP="00401C72">
    <w:pPr>
      <w:pStyle w:val="Header"/>
    </w:pPr>
  </w:p>
  <w:p w14:paraId="58AD238C" w14:textId="77777777" w:rsidR="00194F6F" w:rsidRDefault="00194F6F" w:rsidP="00401C72">
    <w:pPr>
      <w:pStyle w:val="Header"/>
    </w:pPr>
  </w:p>
  <w:p w14:paraId="58AD238D" w14:textId="77777777" w:rsidR="00194F6F" w:rsidRDefault="00194F6F" w:rsidP="00401C72">
    <w:pPr>
      <w:pStyle w:val="Header"/>
    </w:pPr>
  </w:p>
  <w:p w14:paraId="58AD238E" w14:textId="77777777" w:rsidR="00194F6F" w:rsidRDefault="00194F6F" w:rsidP="00401C72">
    <w:pPr>
      <w:pStyle w:val="Header"/>
    </w:pPr>
  </w:p>
  <w:p w14:paraId="58AD238F" w14:textId="77777777" w:rsidR="00194F6F" w:rsidRDefault="00194F6F" w:rsidP="00401C72">
    <w:pPr>
      <w:pStyle w:val="Header"/>
    </w:pPr>
  </w:p>
  <w:p w14:paraId="58AD2390" w14:textId="77777777" w:rsidR="00194F6F" w:rsidRDefault="00194F6F" w:rsidP="00401C72">
    <w:pPr>
      <w:pStyle w:val="Header"/>
    </w:pPr>
  </w:p>
  <w:p w14:paraId="58AD2391" w14:textId="77777777" w:rsidR="00194F6F" w:rsidRDefault="00194F6F" w:rsidP="00401C72">
    <w:pPr>
      <w:pStyle w:val="Header"/>
    </w:pPr>
  </w:p>
  <w:p w14:paraId="58AD2392" w14:textId="77777777" w:rsidR="00194F6F" w:rsidRDefault="00194F6F" w:rsidP="00401C72">
    <w:pPr>
      <w:pStyle w:val="Header"/>
    </w:pPr>
  </w:p>
  <w:p w14:paraId="58AD2393" w14:textId="77777777" w:rsidR="00194F6F" w:rsidRDefault="00194F6F" w:rsidP="00401C72">
    <w:pPr>
      <w:pStyle w:val="Header"/>
    </w:pPr>
  </w:p>
  <w:p w14:paraId="58AD2394" w14:textId="77777777" w:rsidR="00194F6F" w:rsidRDefault="00194F6F" w:rsidP="00401C72">
    <w:pPr>
      <w:pStyle w:val="Header"/>
    </w:pPr>
  </w:p>
  <w:p w14:paraId="58AD2395" w14:textId="77777777" w:rsidR="00194F6F" w:rsidRDefault="00194F6F" w:rsidP="00401C72">
    <w:pPr>
      <w:pStyle w:val="Header"/>
    </w:pPr>
  </w:p>
  <w:p w14:paraId="58AD2396" w14:textId="77777777" w:rsidR="00194F6F" w:rsidRDefault="00194F6F" w:rsidP="00401C72">
    <w:pPr>
      <w:pStyle w:val="Header"/>
    </w:pPr>
    <w:r>
      <w:rPr>
        <w:noProof/>
        <w:lang w:eastAsia="en-GB"/>
      </w:rPr>
      <w:drawing>
        <wp:anchor distT="0" distB="0" distL="114300" distR="114300" simplePos="0" relativeHeight="251664384" behindDoc="1" locked="0" layoutInCell="1" allowOverlap="1" wp14:anchorId="58AD23A4" wp14:editId="58AD23A5">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58AD23A6" wp14:editId="58AD23A7">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D239F" w14:textId="77777777" w:rsidR="00194F6F" w:rsidRDefault="00194F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5222E"/>
    <w:rsid w:val="00053D3C"/>
    <w:rsid w:val="00062C4C"/>
    <w:rsid w:val="0007293C"/>
    <w:rsid w:val="00082FAD"/>
    <w:rsid w:val="000862DF"/>
    <w:rsid w:val="00092E42"/>
    <w:rsid w:val="00094047"/>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20AF6"/>
    <w:rsid w:val="001228CD"/>
    <w:rsid w:val="00122DDC"/>
    <w:rsid w:val="00127793"/>
    <w:rsid w:val="00133231"/>
    <w:rsid w:val="00160FA2"/>
    <w:rsid w:val="00171B3C"/>
    <w:rsid w:val="001721C5"/>
    <w:rsid w:val="001728F0"/>
    <w:rsid w:val="00174E09"/>
    <w:rsid w:val="00183515"/>
    <w:rsid w:val="001879E3"/>
    <w:rsid w:val="00194F6F"/>
    <w:rsid w:val="001A761C"/>
    <w:rsid w:val="001B4EE1"/>
    <w:rsid w:val="001B7BB4"/>
    <w:rsid w:val="001D36AE"/>
    <w:rsid w:val="001D49A0"/>
    <w:rsid w:val="001D49E8"/>
    <w:rsid w:val="001E32EE"/>
    <w:rsid w:val="001E4A81"/>
    <w:rsid w:val="001F4E55"/>
    <w:rsid w:val="0021269B"/>
    <w:rsid w:val="00232565"/>
    <w:rsid w:val="002370C9"/>
    <w:rsid w:val="0024174D"/>
    <w:rsid w:val="002463BE"/>
    <w:rsid w:val="002506FB"/>
    <w:rsid w:val="00253523"/>
    <w:rsid w:val="00254E99"/>
    <w:rsid w:val="00255B93"/>
    <w:rsid w:val="00270D22"/>
    <w:rsid w:val="00272C14"/>
    <w:rsid w:val="002731D3"/>
    <w:rsid w:val="00273924"/>
    <w:rsid w:val="002751F9"/>
    <w:rsid w:val="002944B4"/>
    <w:rsid w:val="002B354B"/>
    <w:rsid w:val="002C3051"/>
    <w:rsid w:val="002C3212"/>
    <w:rsid w:val="002D227E"/>
    <w:rsid w:val="002D2734"/>
    <w:rsid w:val="002D3E1B"/>
    <w:rsid w:val="002D65F8"/>
    <w:rsid w:val="0030081A"/>
    <w:rsid w:val="00303E52"/>
    <w:rsid w:val="00305FA5"/>
    <w:rsid w:val="0030797E"/>
    <w:rsid w:val="00310652"/>
    <w:rsid w:val="003137F8"/>
    <w:rsid w:val="00332F91"/>
    <w:rsid w:val="00333E0C"/>
    <w:rsid w:val="003353EE"/>
    <w:rsid w:val="0033758D"/>
    <w:rsid w:val="0034397C"/>
    <w:rsid w:val="00346BDD"/>
    <w:rsid w:val="00346D13"/>
    <w:rsid w:val="00347AA3"/>
    <w:rsid w:val="00352548"/>
    <w:rsid w:val="00371218"/>
    <w:rsid w:val="00383E01"/>
    <w:rsid w:val="003912BC"/>
    <w:rsid w:val="00392938"/>
    <w:rsid w:val="00394688"/>
    <w:rsid w:val="00394BB8"/>
    <w:rsid w:val="003C306C"/>
    <w:rsid w:val="003C4053"/>
    <w:rsid w:val="003D06DA"/>
    <w:rsid w:val="003E012B"/>
    <w:rsid w:val="003E1A4A"/>
    <w:rsid w:val="003E616C"/>
    <w:rsid w:val="003E6B1A"/>
    <w:rsid w:val="003E79AF"/>
    <w:rsid w:val="003F5500"/>
    <w:rsid w:val="00400DDA"/>
    <w:rsid w:val="00401A43"/>
    <w:rsid w:val="00401C72"/>
    <w:rsid w:val="00401F5E"/>
    <w:rsid w:val="00403ED6"/>
    <w:rsid w:val="00412E5E"/>
    <w:rsid w:val="004332EF"/>
    <w:rsid w:val="00436F99"/>
    <w:rsid w:val="00440C46"/>
    <w:rsid w:val="00455C2A"/>
    <w:rsid w:val="00457F88"/>
    <w:rsid w:val="00462DDC"/>
    <w:rsid w:val="00470867"/>
    <w:rsid w:val="00472D81"/>
    <w:rsid w:val="00484325"/>
    <w:rsid w:val="00485EC0"/>
    <w:rsid w:val="00486495"/>
    <w:rsid w:val="00494281"/>
    <w:rsid w:val="004B0FE9"/>
    <w:rsid w:val="004B51DA"/>
    <w:rsid w:val="004C56B6"/>
    <w:rsid w:val="004D14CF"/>
    <w:rsid w:val="004E73F1"/>
    <w:rsid w:val="004F060B"/>
    <w:rsid w:val="00507122"/>
    <w:rsid w:val="00517C36"/>
    <w:rsid w:val="00520318"/>
    <w:rsid w:val="005217FF"/>
    <w:rsid w:val="005304D0"/>
    <w:rsid w:val="00531651"/>
    <w:rsid w:val="005350B6"/>
    <w:rsid w:val="00543D1D"/>
    <w:rsid w:val="00545BC5"/>
    <w:rsid w:val="00551EA2"/>
    <w:rsid w:val="00563320"/>
    <w:rsid w:val="00564A7A"/>
    <w:rsid w:val="00564F0B"/>
    <w:rsid w:val="00567544"/>
    <w:rsid w:val="00575A8E"/>
    <w:rsid w:val="00575F70"/>
    <w:rsid w:val="00590C4A"/>
    <w:rsid w:val="005A1BA7"/>
    <w:rsid w:val="005A3F75"/>
    <w:rsid w:val="005A58F4"/>
    <w:rsid w:val="005A6FA7"/>
    <w:rsid w:val="005B0344"/>
    <w:rsid w:val="005B4E8C"/>
    <w:rsid w:val="005C2CD5"/>
    <w:rsid w:val="005C6F94"/>
    <w:rsid w:val="005C75EB"/>
    <w:rsid w:val="005D2D85"/>
    <w:rsid w:val="005D512E"/>
    <w:rsid w:val="005D716A"/>
    <w:rsid w:val="005E037A"/>
    <w:rsid w:val="005F1B76"/>
    <w:rsid w:val="005F2BFA"/>
    <w:rsid w:val="005F4244"/>
    <w:rsid w:val="006029DA"/>
    <w:rsid w:val="006120AA"/>
    <w:rsid w:val="00617000"/>
    <w:rsid w:val="00632241"/>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A374E"/>
    <w:rsid w:val="006B1675"/>
    <w:rsid w:val="006B2F9B"/>
    <w:rsid w:val="006B4CF4"/>
    <w:rsid w:val="006C1FA8"/>
    <w:rsid w:val="006C2AB9"/>
    <w:rsid w:val="006C7729"/>
    <w:rsid w:val="006D0BDA"/>
    <w:rsid w:val="006E46CD"/>
    <w:rsid w:val="006F2898"/>
    <w:rsid w:val="006F684D"/>
    <w:rsid w:val="00705562"/>
    <w:rsid w:val="00707C74"/>
    <w:rsid w:val="007111EA"/>
    <w:rsid w:val="00712DB9"/>
    <w:rsid w:val="00714EDC"/>
    <w:rsid w:val="007165E2"/>
    <w:rsid w:val="007177E3"/>
    <w:rsid w:val="00733BD9"/>
    <w:rsid w:val="0073462B"/>
    <w:rsid w:val="0075133B"/>
    <w:rsid w:val="007529EE"/>
    <w:rsid w:val="00757B0B"/>
    <w:rsid w:val="007645F6"/>
    <w:rsid w:val="007662F3"/>
    <w:rsid w:val="0079184A"/>
    <w:rsid w:val="007A3E19"/>
    <w:rsid w:val="007A45AB"/>
    <w:rsid w:val="007A78D8"/>
    <w:rsid w:val="007B1A68"/>
    <w:rsid w:val="007B3D02"/>
    <w:rsid w:val="007B403C"/>
    <w:rsid w:val="007C0CF7"/>
    <w:rsid w:val="007D1DB2"/>
    <w:rsid w:val="007D5604"/>
    <w:rsid w:val="007E1673"/>
    <w:rsid w:val="007E19B2"/>
    <w:rsid w:val="007E30E8"/>
    <w:rsid w:val="007E38A7"/>
    <w:rsid w:val="007F3E73"/>
    <w:rsid w:val="007F6828"/>
    <w:rsid w:val="008010A2"/>
    <w:rsid w:val="008059A7"/>
    <w:rsid w:val="0082000A"/>
    <w:rsid w:val="0082160C"/>
    <w:rsid w:val="00831464"/>
    <w:rsid w:val="00835040"/>
    <w:rsid w:val="00836B03"/>
    <w:rsid w:val="0084519B"/>
    <w:rsid w:val="008529DF"/>
    <w:rsid w:val="008649F8"/>
    <w:rsid w:val="00865754"/>
    <w:rsid w:val="0086796E"/>
    <w:rsid w:val="0088042D"/>
    <w:rsid w:val="0088574D"/>
    <w:rsid w:val="008A1ACA"/>
    <w:rsid w:val="008A430A"/>
    <w:rsid w:val="008B225E"/>
    <w:rsid w:val="008C2889"/>
    <w:rsid w:val="008D4154"/>
    <w:rsid w:val="008D4155"/>
    <w:rsid w:val="008E2FCE"/>
    <w:rsid w:val="008F0DE4"/>
    <w:rsid w:val="008F4CE5"/>
    <w:rsid w:val="00902A0F"/>
    <w:rsid w:val="00905871"/>
    <w:rsid w:val="00921ACB"/>
    <w:rsid w:val="00926356"/>
    <w:rsid w:val="00927125"/>
    <w:rsid w:val="00927476"/>
    <w:rsid w:val="00932113"/>
    <w:rsid w:val="00933493"/>
    <w:rsid w:val="0093607A"/>
    <w:rsid w:val="00941049"/>
    <w:rsid w:val="00946728"/>
    <w:rsid w:val="009620BC"/>
    <w:rsid w:val="00962BC0"/>
    <w:rsid w:val="00994F8F"/>
    <w:rsid w:val="00996663"/>
    <w:rsid w:val="009A08FB"/>
    <w:rsid w:val="009A2FC4"/>
    <w:rsid w:val="009A47D7"/>
    <w:rsid w:val="009B1AF6"/>
    <w:rsid w:val="009C1276"/>
    <w:rsid w:val="009C3C78"/>
    <w:rsid w:val="009D26F6"/>
    <w:rsid w:val="009D72A8"/>
    <w:rsid w:val="009F1A46"/>
    <w:rsid w:val="009F3201"/>
    <w:rsid w:val="00A155B7"/>
    <w:rsid w:val="00A251B5"/>
    <w:rsid w:val="00A257BE"/>
    <w:rsid w:val="00A34431"/>
    <w:rsid w:val="00A364CB"/>
    <w:rsid w:val="00A375FF"/>
    <w:rsid w:val="00A44F79"/>
    <w:rsid w:val="00A55623"/>
    <w:rsid w:val="00A55E26"/>
    <w:rsid w:val="00A63EF0"/>
    <w:rsid w:val="00A8569F"/>
    <w:rsid w:val="00A85F57"/>
    <w:rsid w:val="00A86B25"/>
    <w:rsid w:val="00A90359"/>
    <w:rsid w:val="00A90E4C"/>
    <w:rsid w:val="00A92E18"/>
    <w:rsid w:val="00AD0B21"/>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50876"/>
    <w:rsid w:val="00B5437B"/>
    <w:rsid w:val="00B747D2"/>
    <w:rsid w:val="00B755ED"/>
    <w:rsid w:val="00B76800"/>
    <w:rsid w:val="00B76AAE"/>
    <w:rsid w:val="00B77BAD"/>
    <w:rsid w:val="00B80895"/>
    <w:rsid w:val="00B808C2"/>
    <w:rsid w:val="00B81FB2"/>
    <w:rsid w:val="00B833F0"/>
    <w:rsid w:val="00B851CA"/>
    <w:rsid w:val="00B85EE6"/>
    <w:rsid w:val="00B93C16"/>
    <w:rsid w:val="00B96C41"/>
    <w:rsid w:val="00B96F8F"/>
    <w:rsid w:val="00B970EA"/>
    <w:rsid w:val="00B97535"/>
    <w:rsid w:val="00B9762F"/>
    <w:rsid w:val="00BA441A"/>
    <w:rsid w:val="00BA5FA0"/>
    <w:rsid w:val="00BA639F"/>
    <w:rsid w:val="00BB2A9C"/>
    <w:rsid w:val="00BB5F06"/>
    <w:rsid w:val="00BB675E"/>
    <w:rsid w:val="00BC1A2F"/>
    <w:rsid w:val="00BC486C"/>
    <w:rsid w:val="00BD0A62"/>
    <w:rsid w:val="00BD3901"/>
    <w:rsid w:val="00BE010C"/>
    <w:rsid w:val="00BF137D"/>
    <w:rsid w:val="00C001CF"/>
    <w:rsid w:val="00C00A3D"/>
    <w:rsid w:val="00C05475"/>
    <w:rsid w:val="00C06538"/>
    <w:rsid w:val="00C12C19"/>
    <w:rsid w:val="00C141A3"/>
    <w:rsid w:val="00C15CD6"/>
    <w:rsid w:val="00C16D5D"/>
    <w:rsid w:val="00C21DC3"/>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2A59"/>
    <w:rsid w:val="00CD4953"/>
    <w:rsid w:val="00CD6E26"/>
    <w:rsid w:val="00CE01BB"/>
    <w:rsid w:val="00CF32B9"/>
    <w:rsid w:val="00D042AF"/>
    <w:rsid w:val="00D10D73"/>
    <w:rsid w:val="00D2707D"/>
    <w:rsid w:val="00D315D7"/>
    <w:rsid w:val="00D4065B"/>
    <w:rsid w:val="00D4548D"/>
    <w:rsid w:val="00D522AF"/>
    <w:rsid w:val="00D54624"/>
    <w:rsid w:val="00D63019"/>
    <w:rsid w:val="00D65A90"/>
    <w:rsid w:val="00D7098B"/>
    <w:rsid w:val="00D80511"/>
    <w:rsid w:val="00D836B6"/>
    <w:rsid w:val="00D851C0"/>
    <w:rsid w:val="00D874C9"/>
    <w:rsid w:val="00D9040C"/>
    <w:rsid w:val="00D94502"/>
    <w:rsid w:val="00DA00FD"/>
    <w:rsid w:val="00DA1B71"/>
    <w:rsid w:val="00DA68ED"/>
    <w:rsid w:val="00DB535F"/>
    <w:rsid w:val="00DC1A9F"/>
    <w:rsid w:val="00DD4551"/>
    <w:rsid w:val="00DE6F6D"/>
    <w:rsid w:val="00DF040A"/>
    <w:rsid w:val="00DF5522"/>
    <w:rsid w:val="00E04CB2"/>
    <w:rsid w:val="00E16D2C"/>
    <w:rsid w:val="00E27196"/>
    <w:rsid w:val="00E43561"/>
    <w:rsid w:val="00E44849"/>
    <w:rsid w:val="00E50793"/>
    <w:rsid w:val="00E628F5"/>
    <w:rsid w:val="00E65B70"/>
    <w:rsid w:val="00E71649"/>
    <w:rsid w:val="00E72539"/>
    <w:rsid w:val="00E74E32"/>
    <w:rsid w:val="00E76EF9"/>
    <w:rsid w:val="00E8041F"/>
    <w:rsid w:val="00E81E7D"/>
    <w:rsid w:val="00E83DC2"/>
    <w:rsid w:val="00E92A88"/>
    <w:rsid w:val="00EA21D5"/>
    <w:rsid w:val="00EA756A"/>
    <w:rsid w:val="00EC049E"/>
    <w:rsid w:val="00EC45E7"/>
    <w:rsid w:val="00EC498B"/>
    <w:rsid w:val="00ED6C42"/>
    <w:rsid w:val="00EE326C"/>
    <w:rsid w:val="00EE341B"/>
    <w:rsid w:val="00EE45CF"/>
    <w:rsid w:val="00EE4860"/>
    <w:rsid w:val="00EF749C"/>
    <w:rsid w:val="00F05E89"/>
    <w:rsid w:val="00F060FB"/>
    <w:rsid w:val="00F07233"/>
    <w:rsid w:val="00F118A0"/>
    <w:rsid w:val="00F12B6E"/>
    <w:rsid w:val="00F1337E"/>
    <w:rsid w:val="00F16A74"/>
    <w:rsid w:val="00F16BDE"/>
    <w:rsid w:val="00F319A2"/>
    <w:rsid w:val="00F50092"/>
    <w:rsid w:val="00F515DA"/>
    <w:rsid w:val="00F5280A"/>
    <w:rsid w:val="00F565AD"/>
    <w:rsid w:val="00F60282"/>
    <w:rsid w:val="00F624DF"/>
    <w:rsid w:val="00F64B41"/>
    <w:rsid w:val="00F6653B"/>
    <w:rsid w:val="00F676A1"/>
    <w:rsid w:val="00F67AC6"/>
    <w:rsid w:val="00F71B31"/>
    <w:rsid w:val="00F76C68"/>
    <w:rsid w:val="00F8038D"/>
    <w:rsid w:val="00F844B7"/>
    <w:rsid w:val="00F94CB0"/>
    <w:rsid w:val="00F95547"/>
    <w:rsid w:val="00F975F4"/>
    <w:rsid w:val="00FB0BC4"/>
    <w:rsid w:val="00FB382F"/>
    <w:rsid w:val="00FB4C6D"/>
    <w:rsid w:val="00FC45D4"/>
    <w:rsid w:val="00FC470D"/>
    <w:rsid w:val="00FC783A"/>
    <w:rsid w:val="00FD1A3A"/>
    <w:rsid w:val="00FD1D37"/>
    <w:rsid w:val="00FD69CD"/>
    <w:rsid w:val="00FE1ED2"/>
    <w:rsid w:val="00FE6293"/>
    <w:rsid w:val="00FE650F"/>
    <w:rsid w:val="00FE7B68"/>
    <w:rsid w:val="00FF41BE"/>
    <w:rsid w:val="00FF5BF8"/>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left;mso-position-horizontal-relative:margin;mso-position-vertical-relative:page">
      <v:stroke weight=".5pt"/>
    </o:shapedefaults>
    <o:shapelayout v:ext="edit">
      <o:idmap v:ext="edit" data="1"/>
    </o:shapelayout>
  </w:shapeDefaults>
  <w:decimalSymbol w:val="."/>
  <w:listSeparator w:val=","/>
  <w14:docId w14:val="58AD2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716A"/>
    <w:rPr>
      <w:rFonts w:ascii="Times New Roman" w:hAnsi="Times New Roman"/>
      <w:szCs w:val="22"/>
      <w:lang w:eastAsia="en-US"/>
    </w:rPr>
  </w:style>
  <w:style w:type="paragraph" w:styleId="Heading1">
    <w:name w:val="heading 1"/>
    <w:basedOn w:val="Normal"/>
    <w:next w:val="BodyText"/>
    <w:link w:val="Heading1Char"/>
    <w:uiPriority w:val="9"/>
    <w:qFormat/>
    <w:rsid w:val="005D716A"/>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5D716A"/>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5D716A"/>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5D716A"/>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5D716A"/>
    <w:pPr>
      <w:outlineLvl w:val="4"/>
    </w:pPr>
    <w:rPr>
      <w:b w:val="0"/>
      <w:i w:val="0"/>
    </w:rPr>
  </w:style>
  <w:style w:type="paragraph" w:styleId="Heading6">
    <w:name w:val="heading 6"/>
    <w:basedOn w:val="Normal"/>
    <w:next w:val="BodyText"/>
    <w:link w:val="Heading6Char"/>
    <w:uiPriority w:val="9"/>
    <w:semiHidden/>
    <w:qFormat/>
    <w:rsid w:val="005D716A"/>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5D716A"/>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D716A"/>
    <w:pPr>
      <w:spacing w:after="190" w:line="250" w:lineRule="atLeast"/>
      <w:jc w:val="both"/>
    </w:pPr>
  </w:style>
  <w:style w:type="character" w:customStyle="1" w:styleId="BodyTextChar">
    <w:name w:val="Body Text Char"/>
    <w:link w:val="BodyText"/>
    <w:rsid w:val="005D716A"/>
    <w:rPr>
      <w:rFonts w:ascii="Times New Roman" w:hAnsi="Times New Roman"/>
      <w:szCs w:val="22"/>
      <w:lang w:eastAsia="en-US"/>
    </w:rPr>
  </w:style>
  <w:style w:type="character" w:customStyle="1" w:styleId="Heading1Char">
    <w:name w:val="Heading 1 Char"/>
    <w:link w:val="Heading1"/>
    <w:uiPriority w:val="9"/>
    <w:rsid w:val="005D716A"/>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5D716A"/>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5D716A"/>
    <w:rPr>
      <w:rFonts w:ascii="Arial" w:eastAsia="Times New Roman" w:hAnsi="Arial"/>
      <w:b/>
      <w:bCs/>
      <w:szCs w:val="26"/>
      <w:lang w:eastAsia="en-US"/>
    </w:rPr>
  </w:style>
  <w:style w:type="character" w:customStyle="1" w:styleId="Heading4Char">
    <w:name w:val="Heading 4 Char"/>
    <w:link w:val="Heading4"/>
    <w:uiPriority w:val="9"/>
    <w:rsid w:val="005D716A"/>
    <w:rPr>
      <w:rFonts w:ascii="Arial" w:eastAsia="Times New Roman" w:hAnsi="Arial"/>
      <w:b/>
      <w:i/>
      <w:iCs/>
      <w:sz w:val="18"/>
      <w:szCs w:val="26"/>
      <w:lang w:eastAsia="en-US"/>
    </w:rPr>
  </w:style>
  <w:style w:type="character" w:customStyle="1" w:styleId="Heading5Char">
    <w:name w:val="Heading 5 Char"/>
    <w:link w:val="Heading5"/>
    <w:uiPriority w:val="9"/>
    <w:semiHidden/>
    <w:rsid w:val="005D716A"/>
    <w:rPr>
      <w:rFonts w:ascii="Arial" w:eastAsia="Times New Roman" w:hAnsi="Arial"/>
      <w:iCs/>
      <w:sz w:val="18"/>
      <w:szCs w:val="26"/>
      <w:lang w:eastAsia="en-US"/>
    </w:rPr>
  </w:style>
  <w:style w:type="character" w:customStyle="1" w:styleId="Heading6Char">
    <w:name w:val="Heading 6 Char"/>
    <w:link w:val="Heading6"/>
    <w:uiPriority w:val="9"/>
    <w:semiHidden/>
    <w:rsid w:val="005D716A"/>
    <w:rPr>
      <w:rFonts w:ascii="Times New Roman" w:eastAsia="Times New Roman" w:hAnsi="Times New Roman"/>
      <w:i/>
      <w:iCs/>
      <w:szCs w:val="22"/>
      <w:lang w:eastAsia="en-US"/>
    </w:rPr>
  </w:style>
  <w:style w:type="paragraph" w:styleId="ListNumber">
    <w:name w:val="List Number"/>
    <w:basedOn w:val="Normal"/>
    <w:uiPriority w:val="99"/>
    <w:unhideWhenUsed/>
    <w:qFormat/>
    <w:rsid w:val="005D716A"/>
    <w:pPr>
      <w:numPr>
        <w:numId w:val="9"/>
      </w:numPr>
      <w:spacing w:line="250" w:lineRule="atLeast"/>
      <w:jc w:val="both"/>
    </w:pPr>
  </w:style>
  <w:style w:type="paragraph" w:styleId="ListNumber2">
    <w:name w:val="List Number 2"/>
    <w:basedOn w:val="ListNumber"/>
    <w:uiPriority w:val="99"/>
    <w:unhideWhenUsed/>
    <w:qFormat/>
    <w:rsid w:val="005D716A"/>
    <w:pPr>
      <w:numPr>
        <w:ilvl w:val="1"/>
      </w:numPr>
    </w:pPr>
  </w:style>
  <w:style w:type="paragraph" w:styleId="ListNumber3">
    <w:name w:val="List Number 3"/>
    <w:basedOn w:val="ListNumber2"/>
    <w:uiPriority w:val="99"/>
    <w:unhideWhenUsed/>
    <w:qFormat/>
    <w:rsid w:val="005D716A"/>
    <w:pPr>
      <w:numPr>
        <w:ilvl w:val="2"/>
      </w:numPr>
    </w:pPr>
  </w:style>
  <w:style w:type="paragraph" w:styleId="ListContinue">
    <w:name w:val="List Continue"/>
    <w:basedOn w:val="Normal"/>
    <w:uiPriority w:val="99"/>
    <w:unhideWhenUsed/>
    <w:qFormat/>
    <w:rsid w:val="005D716A"/>
    <w:pPr>
      <w:spacing w:line="250" w:lineRule="atLeast"/>
      <w:ind w:left="567" w:right="567"/>
      <w:jc w:val="both"/>
    </w:pPr>
  </w:style>
  <w:style w:type="paragraph" w:styleId="ListContinue2">
    <w:name w:val="List Continue 2"/>
    <w:basedOn w:val="Normal"/>
    <w:uiPriority w:val="99"/>
    <w:unhideWhenUsed/>
    <w:qFormat/>
    <w:rsid w:val="005D716A"/>
    <w:pPr>
      <w:spacing w:line="250" w:lineRule="atLeast"/>
      <w:ind w:left="851" w:right="567"/>
      <w:jc w:val="both"/>
    </w:pPr>
  </w:style>
  <w:style w:type="paragraph" w:styleId="ListContinue3">
    <w:name w:val="List Continue 3"/>
    <w:basedOn w:val="Normal"/>
    <w:uiPriority w:val="99"/>
    <w:unhideWhenUsed/>
    <w:qFormat/>
    <w:rsid w:val="005D716A"/>
    <w:pPr>
      <w:spacing w:line="250" w:lineRule="atLeast"/>
      <w:ind w:left="1134" w:right="567"/>
      <w:jc w:val="both"/>
    </w:pPr>
  </w:style>
  <w:style w:type="paragraph" w:styleId="ListBullet">
    <w:name w:val="List Bullet"/>
    <w:basedOn w:val="Normal"/>
    <w:uiPriority w:val="99"/>
    <w:unhideWhenUsed/>
    <w:qFormat/>
    <w:rsid w:val="005D716A"/>
    <w:pPr>
      <w:numPr>
        <w:numId w:val="4"/>
      </w:numPr>
      <w:spacing w:line="250" w:lineRule="atLeast"/>
      <w:ind w:right="567"/>
      <w:jc w:val="both"/>
    </w:pPr>
  </w:style>
  <w:style w:type="paragraph" w:styleId="ListBullet2">
    <w:name w:val="List Bullet 2"/>
    <w:basedOn w:val="ListBullet"/>
    <w:uiPriority w:val="99"/>
    <w:unhideWhenUsed/>
    <w:qFormat/>
    <w:rsid w:val="005D716A"/>
    <w:pPr>
      <w:numPr>
        <w:ilvl w:val="1"/>
      </w:numPr>
    </w:pPr>
  </w:style>
  <w:style w:type="character" w:customStyle="1" w:styleId="Heading7Char">
    <w:name w:val="Heading 7 Char"/>
    <w:link w:val="Heading7"/>
    <w:uiPriority w:val="9"/>
    <w:semiHidden/>
    <w:rsid w:val="005D716A"/>
    <w:rPr>
      <w:rFonts w:eastAsia="Times New Roman"/>
      <w:i/>
      <w:iCs/>
      <w:color w:val="404040"/>
      <w:szCs w:val="22"/>
      <w:lang w:eastAsia="en-US"/>
    </w:rPr>
  </w:style>
  <w:style w:type="paragraph" w:styleId="Footer">
    <w:name w:val="footer"/>
    <w:basedOn w:val="Normal"/>
    <w:link w:val="FooterChar"/>
    <w:uiPriority w:val="99"/>
    <w:unhideWhenUsed/>
    <w:rsid w:val="005D716A"/>
    <w:pPr>
      <w:ind w:right="-2835"/>
      <w:jc w:val="right"/>
    </w:pPr>
    <w:rPr>
      <w:rFonts w:ascii="Arial" w:hAnsi="Arial"/>
      <w:sz w:val="15"/>
    </w:rPr>
  </w:style>
  <w:style w:type="character" w:customStyle="1" w:styleId="FooterChar">
    <w:name w:val="Footer Char"/>
    <w:link w:val="Footer"/>
    <w:uiPriority w:val="99"/>
    <w:rsid w:val="005D716A"/>
    <w:rPr>
      <w:rFonts w:ascii="Arial" w:hAnsi="Arial"/>
      <w:sz w:val="15"/>
      <w:szCs w:val="22"/>
      <w:lang w:eastAsia="en-US"/>
    </w:rPr>
  </w:style>
  <w:style w:type="paragraph" w:styleId="Header">
    <w:name w:val="header"/>
    <w:basedOn w:val="Normal"/>
    <w:link w:val="HeaderChar"/>
    <w:uiPriority w:val="99"/>
    <w:unhideWhenUsed/>
    <w:rsid w:val="005D716A"/>
    <w:pPr>
      <w:tabs>
        <w:tab w:val="center" w:pos="4680"/>
        <w:tab w:val="right" w:pos="9360"/>
      </w:tabs>
      <w:jc w:val="right"/>
    </w:pPr>
    <w:rPr>
      <w:rFonts w:ascii="Arial" w:hAnsi="Arial"/>
      <w:sz w:val="16"/>
    </w:rPr>
  </w:style>
  <w:style w:type="character" w:customStyle="1" w:styleId="HeaderChar">
    <w:name w:val="Header Char"/>
    <w:link w:val="Header"/>
    <w:uiPriority w:val="99"/>
    <w:rsid w:val="005D716A"/>
    <w:rPr>
      <w:rFonts w:ascii="Arial" w:hAnsi="Arial"/>
      <w:sz w:val="16"/>
      <w:szCs w:val="22"/>
      <w:lang w:eastAsia="en-US"/>
    </w:rPr>
  </w:style>
  <w:style w:type="character" w:styleId="PageNumber">
    <w:name w:val="page number"/>
    <w:uiPriority w:val="99"/>
    <w:semiHidden/>
    <w:unhideWhenUsed/>
    <w:rsid w:val="005D716A"/>
    <w:rPr>
      <w:rFonts w:ascii="Arial" w:hAnsi="Arial"/>
      <w:sz w:val="20"/>
    </w:rPr>
  </w:style>
  <w:style w:type="table" w:customStyle="1" w:styleId="Blank">
    <w:name w:val="Blank"/>
    <w:basedOn w:val="TableNormal"/>
    <w:uiPriority w:val="99"/>
    <w:rsid w:val="005D716A"/>
    <w:tblPr>
      <w:tblCellMar>
        <w:left w:w="0" w:type="dxa"/>
        <w:right w:w="0" w:type="dxa"/>
      </w:tblCellMar>
    </w:tblPr>
  </w:style>
  <w:style w:type="paragraph" w:styleId="BalloonText">
    <w:name w:val="Balloon Text"/>
    <w:basedOn w:val="Normal"/>
    <w:link w:val="BalloonTextChar"/>
    <w:uiPriority w:val="99"/>
    <w:semiHidden/>
    <w:unhideWhenUsed/>
    <w:rsid w:val="005D716A"/>
    <w:rPr>
      <w:rFonts w:ascii="Tahoma" w:hAnsi="Tahoma" w:cs="Tahoma"/>
      <w:sz w:val="16"/>
      <w:szCs w:val="16"/>
    </w:rPr>
  </w:style>
  <w:style w:type="character" w:customStyle="1" w:styleId="BalloonTextChar">
    <w:name w:val="Balloon Text Char"/>
    <w:basedOn w:val="DefaultParagraphFont"/>
    <w:link w:val="BalloonText"/>
    <w:uiPriority w:val="99"/>
    <w:semiHidden/>
    <w:rsid w:val="005D716A"/>
    <w:rPr>
      <w:rFonts w:ascii="Tahoma" w:hAnsi="Tahoma" w:cs="Tahoma"/>
      <w:sz w:val="16"/>
      <w:szCs w:val="16"/>
      <w:lang w:eastAsia="en-US"/>
    </w:rPr>
  </w:style>
  <w:style w:type="table" w:styleId="TableGrid">
    <w:name w:val="Table Grid"/>
    <w:basedOn w:val="TableNormal"/>
    <w:uiPriority w:val="59"/>
    <w:rsid w:val="005D7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16A"/>
    <w:rPr>
      <w:color w:val="0000FF"/>
      <w:u w:val="single"/>
    </w:rPr>
  </w:style>
  <w:style w:type="character" w:styleId="FollowedHyperlink">
    <w:name w:val="FollowedHyperlink"/>
    <w:basedOn w:val="DefaultParagraphFont"/>
    <w:uiPriority w:val="99"/>
    <w:semiHidden/>
    <w:unhideWhenUsed/>
    <w:rsid w:val="005D716A"/>
    <w:rPr>
      <w:color w:val="800080"/>
      <w:u w:val="single"/>
    </w:rPr>
  </w:style>
  <w:style w:type="numbering" w:customStyle="1" w:styleId="ODIHeadings">
    <w:name w:val="ODI Headings"/>
    <w:basedOn w:val="NoList"/>
    <w:uiPriority w:val="99"/>
    <w:rsid w:val="005D716A"/>
    <w:pPr>
      <w:numPr>
        <w:numId w:val="7"/>
      </w:numPr>
    </w:pPr>
  </w:style>
  <w:style w:type="paragraph" w:customStyle="1" w:styleId="Strapline">
    <w:name w:val="Strapline"/>
    <w:basedOn w:val="Normal"/>
    <w:rsid w:val="005D716A"/>
    <w:pPr>
      <w:spacing w:before="100" w:after="100"/>
    </w:pPr>
    <w:rPr>
      <w:rFonts w:ascii="Arial" w:hAnsi="Arial"/>
      <w:color w:val="006C67" w:themeColor="accent1"/>
      <w:sz w:val="24"/>
    </w:rPr>
  </w:style>
  <w:style w:type="paragraph" w:customStyle="1" w:styleId="TableHeading">
    <w:name w:val="Table Heading"/>
    <w:basedOn w:val="Normal"/>
    <w:next w:val="BodyText"/>
    <w:qFormat/>
    <w:rsid w:val="00A92E18"/>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5D716A"/>
    <w:pPr>
      <w:numPr>
        <w:numId w:val="11"/>
      </w:numPr>
    </w:pPr>
  </w:style>
  <w:style w:type="paragraph" w:customStyle="1" w:styleId="FigureHeading">
    <w:name w:val="Figure Heading"/>
    <w:basedOn w:val="Normal"/>
    <w:next w:val="BodyText"/>
    <w:qFormat/>
    <w:rsid w:val="00A92E18"/>
    <w:pPr>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5D716A"/>
    <w:pPr>
      <w:numPr>
        <w:numId w:val="6"/>
      </w:numPr>
    </w:pPr>
  </w:style>
  <w:style w:type="paragraph" w:customStyle="1" w:styleId="BoxHeading">
    <w:name w:val="Box Heading"/>
    <w:basedOn w:val="Normal"/>
    <w:next w:val="BoxText"/>
    <w:qFormat/>
    <w:rsid w:val="005D716A"/>
    <w:pPr>
      <w:spacing w:after="113"/>
    </w:pPr>
    <w:rPr>
      <w:rFonts w:ascii="Arial" w:hAnsi="Arial"/>
      <w:b/>
      <w:color w:val="006C67" w:themeColor="accent1"/>
      <w:sz w:val="22"/>
    </w:rPr>
  </w:style>
  <w:style w:type="numbering" w:customStyle="1" w:styleId="ODIBoxHeadings">
    <w:name w:val="ODI Box Headings"/>
    <w:basedOn w:val="NoList"/>
    <w:uiPriority w:val="99"/>
    <w:rsid w:val="005D716A"/>
    <w:pPr>
      <w:numPr>
        <w:numId w:val="3"/>
      </w:numPr>
    </w:pPr>
  </w:style>
  <w:style w:type="paragraph" w:customStyle="1" w:styleId="Abbreviation">
    <w:name w:val="Abbreviation"/>
    <w:basedOn w:val="Normal"/>
    <w:qFormat/>
    <w:rsid w:val="005D716A"/>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5D716A"/>
    <w:rPr>
      <w:sz w:val="16"/>
      <w:szCs w:val="20"/>
    </w:rPr>
  </w:style>
  <w:style w:type="character" w:customStyle="1" w:styleId="FootnoteTextChar">
    <w:name w:val="Footnote Text Char"/>
    <w:basedOn w:val="DefaultParagraphFont"/>
    <w:link w:val="FootnoteText"/>
    <w:uiPriority w:val="99"/>
    <w:rsid w:val="005D716A"/>
    <w:rPr>
      <w:rFonts w:ascii="Times New Roman" w:hAnsi="Times New Roman"/>
      <w:sz w:val="16"/>
      <w:lang w:eastAsia="en-US"/>
    </w:rPr>
  </w:style>
  <w:style w:type="character" w:styleId="FootnoteReference">
    <w:name w:val="footnote reference"/>
    <w:basedOn w:val="DefaultParagraphFont"/>
    <w:uiPriority w:val="99"/>
    <w:qFormat/>
    <w:rsid w:val="005D716A"/>
    <w:rPr>
      <w:rFonts w:asciiTheme="minorHAnsi" w:hAnsiTheme="minorHAnsi"/>
      <w:sz w:val="19"/>
      <w:vertAlign w:val="superscript"/>
    </w:rPr>
  </w:style>
  <w:style w:type="numbering" w:customStyle="1" w:styleId="ODIBullets">
    <w:name w:val="ODI Bullets"/>
    <w:basedOn w:val="NoList"/>
    <w:uiPriority w:val="99"/>
    <w:rsid w:val="005D716A"/>
    <w:pPr>
      <w:numPr>
        <w:numId w:val="4"/>
      </w:numPr>
    </w:pPr>
  </w:style>
  <w:style w:type="paragraph" w:customStyle="1" w:styleId="LastBullet">
    <w:name w:val="Last Bullet"/>
    <w:basedOn w:val="ListBullet"/>
    <w:next w:val="BodyText"/>
    <w:qFormat/>
    <w:rsid w:val="005D716A"/>
    <w:pPr>
      <w:numPr>
        <w:numId w:val="8"/>
      </w:numPr>
      <w:spacing w:after="190"/>
    </w:pPr>
  </w:style>
  <w:style w:type="numbering" w:customStyle="1" w:styleId="ODILastBullet">
    <w:name w:val="ODI Last Bullet"/>
    <w:basedOn w:val="ODIBullets"/>
    <w:uiPriority w:val="99"/>
    <w:rsid w:val="005D716A"/>
    <w:pPr>
      <w:numPr>
        <w:numId w:val="8"/>
      </w:numPr>
    </w:pPr>
  </w:style>
  <w:style w:type="table" w:customStyle="1" w:styleId="ODITable">
    <w:name w:val="ODI Table"/>
    <w:basedOn w:val="TableNormal"/>
    <w:uiPriority w:val="99"/>
    <w:rsid w:val="005D716A"/>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5D716A"/>
    <w:pPr>
      <w:spacing w:line="220" w:lineRule="atLeast"/>
    </w:pPr>
    <w:rPr>
      <w:rFonts w:ascii="Arial" w:hAnsi="Arial"/>
      <w:sz w:val="17"/>
    </w:rPr>
  </w:style>
  <w:style w:type="paragraph" w:customStyle="1" w:styleId="ColumnHeading">
    <w:name w:val="Column Heading"/>
    <w:basedOn w:val="Normal"/>
    <w:next w:val="TableText"/>
    <w:qFormat/>
    <w:rsid w:val="005D716A"/>
    <w:rPr>
      <w:rFonts w:ascii="Arial" w:hAnsi="Arial"/>
      <w:b/>
      <w:sz w:val="17"/>
    </w:rPr>
  </w:style>
  <w:style w:type="paragraph" w:customStyle="1" w:styleId="TableBullet">
    <w:name w:val="Table Bullet"/>
    <w:basedOn w:val="TableText"/>
    <w:qFormat/>
    <w:rsid w:val="005D716A"/>
    <w:pPr>
      <w:numPr>
        <w:numId w:val="12"/>
      </w:numPr>
    </w:pPr>
  </w:style>
  <w:style w:type="numbering" w:customStyle="1" w:styleId="ODITableBullet">
    <w:name w:val="ODI Table Bullet"/>
    <w:basedOn w:val="NoList"/>
    <w:uiPriority w:val="99"/>
    <w:rsid w:val="005D716A"/>
    <w:pPr>
      <w:numPr>
        <w:numId w:val="10"/>
      </w:numPr>
    </w:pPr>
  </w:style>
  <w:style w:type="paragraph" w:customStyle="1" w:styleId="Source">
    <w:name w:val="Source"/>
    <w:basedOn w:val="Normal"/>
    <w:qFormat/>
    <w:rsid w:val="005D716A"/>
    <w:pPr>
      <w:spacing w:before="39" w:after="250"/>
    </w:pPr>
    <w:rPr>
      <w:rFonts w:ascii="Arial" w:hAnsi="Arial"/>
      <w:i/>
      <w:sz w:val="16"/>
    </w:rPr>
  </w:style>
  <w:style w:type="paragraph" w:customStyle="1" w:styleId="BoxText">
    <w:name w:val="Box Text"/>
    <w:basedOn w:val="Normal"/>
    <w:qFormat/>
    <w:rsid w:val="005D716A"/>
    <w:pPr>
      <w:spacing w:after="135"/>
      <w:jc w:val="both"/>
    </w:pPr>
    <w:rPr>
      <w:rFonts w:ascii="Arial" w:hAnsi="Arial"/>
      <w:sz w:val="18"/>
    </w:rPr>
  </w:style>
  <w:style w:type="table" w:customStyle="1" w:styleId="ODIBox">
    <w:name w:val="ODI Box"/>
    <w:basedOn w:val="TableNormal"/>
    <w:uiPriority w:val="99"/>
    <w:rsid w:val="005D716A"/>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5D716A"/>
    <w:pPr>
      <w:numPr>
        <w:numId w:val="2"/>
      </w:numPr>
      <w:spacing w:after="0"/>
      <w:ind w:right="284"/>
    </w:pPr>
  </w:style>
  <w:style w:type="numbering" w:customStyle="1" w:styleId="ODIBoxBullet">
    <w:name w:val="ODI Box Bullet"/>
    <w:basedOn w:val="NoList"/>
    <w:uiPriority w:val="99"/>
    <w:rsid w:val="005D716A"/>
    <w:pPr>
      <w:numPr>
        <w:numId w:val="2"/>
      </w:numPr>
    </w:pPr>
  </w:style>
  <w:style w:type="numbering" w:customStyle="1" w:styleId="ODINumberedList">
    <w:name w:val="ODI Numbered List"/>
    <w:basedOn w:val="NoList"/>
    <w:uiPriority w:val="99"/>
    <w:rsid w:val="005D716A"/>
    <w:pPr>
      <w:numPr>
        <w:numId w:val="9"/>
      </w:numPr>
    </w:pPr>
  </w:style>
  <w:style w:type="numbering" w:customStyle="1" w:styleId="ODICoverBullets">
    <w:name w:val="ODI Cover Bullets"/>
    <w:basedOn w:val="NoList"/>
    <w:uiPriority w:val="99"/>
    <w:rsid w:val="005D716A"/>
    <w:pPr>
      <w:numPr>
        <w:numId w:val="5"/>
      </w:numPr>
    </w:pPr>
  </w:style>
  <w:style w:type="paragraph" w:styleId="Quote">
    <w:name w:val="Quote"/>
    <w:basedOn w:val="Normal"/>
    <w:next w:val="Normal"/>
    <w:link w:val="QuoteChar"/>
    <w:uiPriority w:val="29"/>
    <w:rsid w:val="005D716A"/>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5D716A"/>
    <w:rPr>
      <w:rFonts w:ascii="Times New Roman" w:hAnsi="Times New Roman"/>
      <w:i/>
      <w:iCs/>
      <w:szCs w:val="22"/>
      <w:lang w:eastAsia="en-US"/>
    </w:rPr>
  </w:style>
  <w:style w:type="paragraph" w:customStyle="1" w:styleId="BodyTextNoSpacing">
    <w:name w:val="Body Text No Spacing"/>
    <w:basedOn w:val="BodyText"/>
    <w:qFormat/>
    <w:rsid w:val="005D716A"/>
    <w:pPr>
      <w:spacing w:after="0"/>
    </w:pPr>
  </w:style>
  <w:style w:type="paragraph" w:customStyle="1" w:styleId="SourceNoSpace">
    <w:name w:val="Source No Space"/>
    <w:basedOn w:val="Source"/>
    <w:next w:val="Normal"/>
    <w:qFormat/>
    <w:rsid w:val="005D716A"/>
    <w:pPr>
      <w:spacing w:after="0"/>
    </w:pPr>
  </w:style>
  <w:style w:type="paragraph" w:customStyle="1" w:styleId="AbbreviationDescription">
    <w:name w:val="Abbreviation Description"/>
    <w:basedOn w:val="Normal"/>
    <w:qFormat/>
    <w:rsid w:val="005D716A"/>
    <w:pPr>
      <w:spacing w:line="480" w:lineRule="exact"/>
    </w:pPr>
  </w:style>
  <w:style w:type="paragraph" w:styleId="Caption">
    <w:name w:val="caption"/>
    <w:basedOn w:val="Normal"/>
    <w:next w:val="Normal"/>
    <w:uiPriority w:val="35"/>
    <w:qFormat/>
    <w:rsid w:val="005D716A"/>
    <w:pPr>
      <w:spacing w:after="40"/>
    </w:pPr>
    <w:rPr>
      <w:rFonts w:ascii="Arial" w:hAnsi="Arial"/>
      <w:b/>
      <w:iCs/>
      <w:color w:val="006C67" w:themeColor="accent1"/>
      <w:sz w:val="24"/>
      <w:szCs w:val="18"/>
    </w:rPr>
  </w:style>
  <w:style w:type="paragraph" w:customStyle="1" w:styleId="font5">
    <w:name w:val="font5"/>
    <w:basedOn w:val="Normal"/>
    <w:rsid w:val="005D716A"/>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5D716A"/>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5D716A"/>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5D716A"/>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5D716A"/>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5D716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5D716A"/>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5D716A"/>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5D716A"/>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5D716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5D716A"/>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5D716A"/>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5D716A"/>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5D716A"/>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5D71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5D716A"/>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5D716A"/>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5D716A"/>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5D716A"/>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5D716A"/>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5D716A"/>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5D71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5D716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5D716A"/>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5D716A"/>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5D716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5D716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5D716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5D716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5D716A"/>
    <w:rPr>
      <w:sz w:val="16"/>
      <w:szCs w:val="16"/>
    </w:rPr>
  </w:style>
  <w:style w:type="paragraph" w:styleId="CommentText">
    <w:name w:val="annotation text"/>
    <w:basedOn w:val="Normal"/>
    <w:link w:val="CommentTextChar"/>
    <w:uiPriority w:val="99"/>
    <w:semiHidden/>
    <w:unhideWhenUsed/>
    <w:rsid w:val="005D716A"/>
    <w:rPr>
      <w:szCs w:val="20"/>
    </w:rPr>
  </w:style>
  <w:style w:type="character" w:customStyle="1" w:styleId="CommentTextChar">
    <w:name w:val="Comment Text Char"/>
    <w:basedOn w:val="DefaultParagraphFont"/>
    <w:link w:val="CommentText"/>
    <w:uiPriority w:val="99"/>
    <w:semiHidden/>
    <w:rsid w:val="005D716A"/>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D716A"/>
    <w:rPr>
      <w:b/>
      <w:bCs/>
    </w:rPr>
  </w:style>
  <w:style w:type="character" w:customStyle="1" w:styleId="CommentSubjectChar">
    <w:name w:val="Comment Subject Char"/>
    <w:basedOn w:val="CommentTextChar"/>
    <w:link w:val="CommentSubject"/>
    <w:uiPriority w:val="99"/>
    <w:semiHidden/>
    <w:rsid w:val="005D716A"/>
    <w:rPr>
      <w:rFonts w:ascii="Times New Roman" w:hAnsi="Times New Roman"/>
      <w:b/>
      <w:bCs/>
      <w:lang w:eastAsia="en-US"/>
    </w:rPr>
  </w:style>
  <w:style w:type="paragraph" w:styleId="TableofFigures">
    <w:name w:val="table of figures"/>
    <w:basedOn w:val="Normal"/>
    <w:next w:val="Normal"/>
    <w:uiPriority w:val="99"/>
    <w:unhideWhenUsed/>
    <w:rsid w:val="005D716A"/>
    <w:pPr>
      <w:spacing w:after="60"/>
    </w:pPr>
    <w:rPr>
      <w:rFonts w:ascii="Arial" w:hAnsi="Arial"/>
    </w:rPr>
  </w:style>
  <w:style w:type="paragraph" w:styleId="TOC2">
    <w:name w:val="toc 2"/>
    <w:basedOn w:val="Normal"/>
    <w:next w:val="Normal"/>
    <w:autoRedefine/>
    <w:uiPriority w:val="39"/>
    <w:unhideWhenUsed/>
    <w:rsid w:val="005D716A"/>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5D716A"/>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5D716A"/>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716A"/>
    <w:rPr>
      <w:rFonts w:ascii="Times New Roman" w:hAnsi="Times New Roman"/>
      <w:szCs w:val="22"/>
      <w:lang w:eastAsia="en-US"/>
    </w:rPr>
  </w:style>
  <w:style w:type="paragraph" w:styleId="Heading1">
    <w:name w:val="heading 1"/>
    <w:basedOn w:val="Normal"/>
    <w:next w:val="BodyText"/>
    <w:link w:val="Heading1Char"/>
    <w:uiPriority w:val="9"/>
    <w:qFormat/>
    <w:rsid w:val="005D716A"/>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5D716A"/>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5D716A"/>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5D716A"/>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5D716A"/>
    <w:pPr>
      <w:outlineLvl w:val="4"/>
    </w:pPr>
    <w:rPr>
      <w:b w:val="0"/>
      <w:i w:val="0"/>
    </w:rPr>
  </w:style>
  <w:style w:type="paragraph" w:styleId="Heading6">
    <w:name w:val="heading 6"/>
    <w:basedOn w:val="Normal"/>
    <w:next w:val="BodyText"/>
    <w:link w:val="Heading6Char"/>
    <w:uiPriority w:val="9"/>
    <w:semiHidden/>
    <w:qFormat/>
    <w:rsid w:val="005D716A"/>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5D716A"/>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D716A"/>
    <w:pPr>
      <w:spacing w:after="190" w:line="250" w:lineRule="atLeast"/>
      <w:jc w:val="both"/>
    </w:pPr>
  </w:style>
  <w:style w:type="character" w:customStyle="1" w:styleId="BodyTextChar">
    <w:name w:val="Body Text Char"/>
    <w:link w:val="BodyText"/>
    <w:rsid w:val="005D716A"/>
    <w:rPr>
      <w:rFonts w:ascii="Times New Roman" w:hAnsi="Times New Roman"/>
      <w:szCs w:val="22"/>
      <w:lang w:eastAsia="en-US"/>
    </w:rPr>
  </w:style>
  <w:style w:type="character" w:customStyle="1" w:styleId="Heading1Char">
    <w:name w:val="Heading 1 Char"/>
    <w:link w:val="Heading1"/>
    <w:uiPriority w:val="9"/>
    <w:rsid w:val="005D716A"/>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5D716A"/>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5D716A"/>
    <w:rPr>
      <w:rFonts w:ascii="Arial" w:eastAsia="Times New Roman" w:hAnsi="Arial"/>
      <w:b/>
      <w:bCs/>
      <w:szCs w:val="26"/>
      <w:lang w:eastAsia="en-US"/>
    </w:rPr>
  </w:style>
  <w:style w:type="character" w:customStyle="1" w:styleId="Heading4Char">
    <w:name w:val="Heading 4 Char"/>
    <w:link w:val="Heading4"/>
    <w:uiPriority w:val="9"/>
    <w:rsid w:val="005D716A"/>
    <w:rPr>
      <w:rFonts w:ascii="Arial" w:eastAsia="Times New Roman" w:hAnsi="Arial"/>
      <w:b/>
      <w:i/>
      <w:iCs/>
      <w:sz w:val="18"/>
      <w:szCs w:val="26"/>
      <w:lang w:eastAsia="en-US"/>
    </w:rPr>
  </w:style>
  <w:style w:type="character" w:customStyle="1" w:styleId="Heading5Char">
    <w:name w:val="Heading 5 Char"/>
    <w:link w:val="Heading5"/>
    <w:uiPriority w:val="9"/>
    <w:semiHidden/>
    <w:rsid w:val="005D716A"/>
    <w:rPr>
      <w:rFonts w:ascii="Arial" w:eastAsia="Times New Roman" w:hAnsi="Arial"/>
      <w:iCs/>
      <w:sz w:val="18"/>
      <w:szCs w:val="26"/>
      <w:lang w:eastAsia="en-US"/>
    </w:rPr>
  </w:style>
  <w:style w:type="character" w:customStyle="1" w:styleId="Heading6Char">
    <w:name w:val="Heading 6 Char"/>
    <w:link w:val="Heading6"/>
    <w:uiPriority w:val="9"/>
    <w:semiHidden/>
    <w:rsid w:val="005D716A"/>
    <w:rPr>
      <w:rFonts w:ascii="Times New Roman" w:eastAsia="Times New Roman" w:hAnsi="Times New Roman"/>
      <w:i/>
      <w:iCs/>
      <w:szCs w:val="22"/>
      <w:lang w:eastAsia="en-US"/>
    </w:rPr>
  </w:style>
  <w:style w:type="paragraph" w:styleId="ListNumber">
    <w:name w:val="List Number"/>
    <w:basedOn w:val="Normal"/>
    <w:uiPriority w:val="99"/>
    <w:unhideWhenUsed/>
    <w:qFormat/>
    <w:rsid w:val="005D716A"/>
    <w:pPr>
      <w:numPr>
        <w:numId w:val="9"/>
      </w:numPr>
      <w:spacing w:line="250" w:lineRule="atLeast"/>
      <w:jc w:val="both"/>
    </w:pPr>
  </w:style>
  <w:style w:type="paragraph" w:styleId="ListNumber2">
    <w:name w:val="List Number 2"/>
    <w:basedOn w:val="ListNumber"/>
    <w:uiPriority w:val="99"/>
    <w:unhideWhenUsed/>
    <w:qFormat/>
    <w:rsid w:val="005D716A"/>
    <w:pPr>
      <w:numPr>
        <w:ilvl w:val="1"/>
      </w:numPr>
    </w:pPr>
  </w:style>
  <w:style w:type="paragraph" w:styleId="ListNumber3">
    <w:name w:val="List Number 3"/>
    <w:basedOn w:val="ListNumber2"/>
    <w:uiPriority w:val="99"/>
    <w:unhideWhenUsed/>
    <w:qFormat/>
    <w:rsid w:val="005D716A"/>
    <w:pPr>
      <w:numPr>
        <w:ilvl w:val="2"/>
      </w:numPr>
    </w:pPr>
  </w:style>
  <w:style w:type="paragraph" w:styleId="ListContinue">
    <w:name w:val="List Continue"/>
    <w:basedOn w:val="Normal"/>
    <w:uiPriority w:val="99"/>
    <w:unhideWhenUsed/>
    <w:qFormat/>
    <w:rsid w:val="005D716A"/>
    <w:pPr>
      <w:spacing w:line="250" w:lineRule="atLeast"/>
      <w:ind w:left="567" w:right="567"/>
      <w:jc w:val="both"/>
    </w:pPr>
  </w:style>
  <w:style w:type="paragraph" w:styleId="ListContinue2">
    <w:name w:val="List Continue 2"/>
    <w:basedOn w:val="Normal"/>
    <w:uiPriority w:val="99"/>
    <w:unhideWhenUsed/>
    <w:qFormat/>
    <w:rsid w:val="005D716A"/>
    <w:pPr>
      <w:spacing w:line="250" w:lineRule="atLeast"/>
      <w:ind w:left="851" w:right="567"/>
      <w:jc w:val="both"/>
    </w:pPr>
  </w:style>
  <w:style w:type="paragraph" w:styleId="ListContinue3">
    <w:name w:val="List Continue 3"/>
    <w:basedOn w:val="Normal"/>
    <w:uiPriority w:val="99"/>
    <w:unhideWhenUsed/>
    <w:qFormat/>
    <w:rsid w:val="005D716A"/>
    <w:pPr>
      <w:spacing w:line="250" w:lineRule="atLeast"/>
      <w:ind w:left="1134" w:right="567"/>
      <w:jc w:val="both"/>
    </w:pPr>
  </w:style>
  <w:style w:type="paragraph" w:styleId="ListBullet">
    <w:name w:val="List Bullet"/>
    <w:basedOn w:val="Normal"/>
    <w:uiPriority w:val="99"/>
    <w:unhideWhenUsed/>
    <w:qFormat/>
    <w:rsid w:val="005D716A"/>
    <w:pPr>
      <w:numPr>
        <w:numId w:val="4"/>
      </w:numPr>
      <w:spacing w:line="250" w:lineRule="atLeast"/>
      <w:ind w:right="567"/>
      <w:jc w:val="both"/>
    </w:pPr>
  </w:style>
  <w:style w:type="paragraph" w:styleId="ListBullet2">
    <w:name w:val="List Bullet 2"/>
    <w:basedOn w:val="ListBullet"/>
    <w:uiPriority w:val="99"/>
    <w:unhideWhenUsed/>
    <w:qFormat/>
    <w:rsid w:val="005D716A"/>
    <w:pPr>
      <w:numPr>
        <w:ilvl w:val="1"/>
      </w:numPr>
    </w:pPr>
  </w:style>
  <w:style w:type="character" w:customStyle="1" w:styleId="Heading7Char">
    <w:name w:val="Heading 7 Char"/>
    <w:link w:val="Heading7"/>
    <w:uiPriority w:val="9"/>
    <w:semiHidden/>
    <w:rsid w:val="005D716A"/>
    <w:rPr>
      <w:rFonts w:eastAsia="Times New Roman"/>
      <w:i/>
      <w:iCs/>
      <w:color w:val="404040"/>
      <w:szCs w:val="22"/>
      <w:lang w:eastAsia="en-US"/>
    </w:rPr>
  </w:style>
  <w:style w:type="paragraph" w:styleId="Footer">
    <w:name w:val="footer"/>
    <w:basedOn w:val="Normal"/>
    <w:link w:val="FooterChar"/>
    <w:uiPriority w:val="99"/>
    <w:unhideWhenUsed/>
    <w:rsid w:val="005D716A"/>
    <w:pPr>
      <w:ind w:right="-2835"/>
      <w:jc w:val="right"/>
    </w:pPr>
    <w:rPr>
      <w:rFonts w:ascii="Arial" w:hAnsi="Arial"/>
      <w:sz w:val="15"/>
    </w:rPr>
  </w:style>
  <w:style w:type="character" w:customStyle="1" w:styleId="FooterChar">
    <w:name w:val="Footer Char"/>
    <w:link w:val="Footer"/>
    <w:uiPriority w:val="99"/>
    <w:rsid w:val="005D716A"/>
    <w:rPr>
      <w:rFonts w:ascii="Arial" w:hAnsi="Arial"/>
      <w:sz w:val="15"/>
      <w:szCs w:val="22"/>
      <w:lang w:eastAsia="en-US"/>
    </w:rPr>
  </w:style>
  <w:style w:type="paragraph" w:styleId="Header">
    <w:name w:val="header"/>
    <w:basedOn w:val="Normal"/>
    <w:link w:val="HeaderChar"/>
    <w:uiPriority w:val="99"/>
    <w:unhideWhenUsed/>
    <w:rsid w:val="005D716A"/>
    <w:pPr>
      <w:tabs>
        <w:tab w:val="center" w:pos="4680"/>
        <w:tab w:val="right" w:pos="9360"/>
      </w:tabs>
      <w:jc w:val="right"/>
    </w:pPr>
    <w:rPr>
      <w:rFonts w:ascii="Arial" w:hAnsi="Arial"/>
      <w:sz w:val="16"/>
    </w:rPr>
  </w:style>
  <w:style w:type="character" w:customStyle="1" w:styleId="HeaderChar">
    <w:name w:val="Header Char"/>
    <w:link w:val="Header"/>
    <w:uiPriority w:val="99"/>
    <w:rsid w:val="005D716A"/>
    <w:rPr>
      <w:rFonts w:ascii="Arial" w:hAnsi="Arial"/>
      <w:sz w:val="16"/>
      <w:szCs w:val="22"/>
      <w:lang w:eastAsia="en-US"/>
    </w:rPr>
  </w:style>
  <w:style w:type="character" w:styleId="PageNumber">
    <w:name w:val="page number"/>
    <w:uiPriority w:val="99"/>
    <w:semiHidden/>
    <w:unhideWhenUsed/>
    <w:rsid w:val="005D716A"/>
    <w:rPr>
      <w:rFonts w:ascii="Arial" w:hAnsi="Arial"/>
      <w:sz w:val="20"/>
    </w:rPr>
  </w:style>
  <w:style w:type="table" w:customStyle="1" w:styleId="Blank">
    <w:name w:val="Blank"/>
    <w:basedOn w:val="TableNormal"/>
    <w:uiPriority w:val="99"/>
    <w:rsid w:val="005D716A"/>
    <w:tblPr>
      <w:tblCellMar>
        <w:left w:w="0" w:type="dxa"/>
        <w:right w:w="0" w:type="dxa"/>
      </w:tblCellMar>
    </w:tblPr>
  </w:style>
  <w:style w:type="paragraph" w:styleId="BalloonText">
    <w:name w:val="Balloon Text"/>
    <w:basedOn w:val="Normal"/>
    <w:link w:val="BalloonTextChar"/>
    <w:uiPriority w:val="99"/>
    <w:semiHidden/>
    <w:unhideWhenUsed/>
    <w:rsid w:val="005D716A"/>
    <w:rPr>
      <w:rFonts w:ascii="Tahoma" w:hAnsi="Tahoma" w:cs="Tahoma"/>
      <w:sz w:val="16"/>
      <w:szCs w:val="16"/>
    </w:rPr>
  </w:style>
  <w:style w:type="character" w:customStyle="1" w:styleId="BalloonTextChar">
    <w:name w:val="Balloon Text Char"/>
    <w:basedOn w:val="DefaultParagraphFont"/>
    <w:link w:val="BalloonText"/>
    <w:uiPriority w:val="99"/>
    <w:semiHidden/>
    <w:rsid w:val="005D716A"/>
    <w:rPr>
      <w:rFonts w:ascii="Tahoma" w:hAnsi="Tahoma" w:cs="Tahoma"/>
      <w:sz w:val="16"/>
      <w:szCs w:val="16"/>
      <w:lang w:eastAsia="en-US"/>
    </w:rPr>
  </w:style>
  <w:style w:type="table" w:styleId="TableGrid">
    <w:name w:val="Table Grid"/>
    <w:basedOn w:val="TableNormal"/>
    <w:uiPriority w:val="59"/>
    <w:rsid w:val="005D71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16A"/>
    <w:rPr>
      <w:color w:val="0000FF"/>
      <w:u w:val="single"/>
    </w:rPr>
  </w:style>
  <w:style w:type="character" w:styleId="FollowedHyperlink">
    <w:name w:val="FollowedHyperlink"/>
    <w:basedOn w:val="DefaultParagraphFont"/>
    <w:uiPriority w:val="99"/>
    <w:semiHidden/>
    <w:unhideWhenUsed/>
    <w:rsid w:val="005D716A"/>
    <w:rPr>
      <w:color w:val="800080"/>
      <w:u w:val="single"/>
    </w:rPr>
  </w:style>
  <w:style w:type="numbering" w:customStyle="1" w:styleId="ODIHeadings">
    <w:name w:val="ODI Headings"/>
    <w:basedOn w:val="NoList"/>
    <w:uiPriority w:val="99"/>
    <w:rsid w:val="005D716A"/>
    <w:pPr>
      <w:numPr>
        <w:numId w:val="7"/>
      </w:numPr>
    </w:pPr>
  </w:style>
  <w:style w:type="paragraph" w:customStyle="1" w:styleId="Strapline">
    <w:name w:val="Strapline"/>
    <w:basedOn w:val="Normal"/>
    <w:rsid w:val="005D716A"/>
    <w:pPr>
      <w:spacing w:before="100" w:after="100"/>
    </w:pPr>
    <w:rPr>
      <w:rFonts w:ascii="Arial" w:hAnsi="Arial"/>
      <w:color w:val="006C67" w:themeColor="accent1"/>
      <w:sz w:val="24"/>
    </w:rPr>
  </w:style>
  <w:style w:type="paragraph" w:customStyle="1" w:styleId="TableHeading">
    <w:name w:val="Table Heading"/>
    <w:basedOn w:val="Normal"/>
    <w:next w:val="BodyText"/>
    <w:qFormat/>
    <w:rsid w:val="00A92E18"/>
    <w:pPr>
      <w:numPr>
        <w:numId w:val="16"/>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5D716A"/>
    <w:pPr>
      <w:numPr>
        <w:numId w:val="11"/>
      </w:numPr>
    </w:pPr>
  </w:style>
  <w:style w:type="paragraph" w:customStyle="1" w:styleId="FigureHeading">
    <w:name w:val="Figure Heading"/>
    <w:basedOn w:val="Normal"/>
    <w:next w:val="BodyText"/>
    <w:qFormat/>
    <w:rsid w:val="00A92E18"/>
    <w:pPr>
      <w:numPr>
        <w:numId w:val="15"/>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5D716A"/>
    <w:pPr>
      <w:numPr>
        <w:numId w:val="6"/>
      </w:numPr>
    </w:pPr>
  </w:style>
  <w:style w:type="paragraph" w:customStyle="1" w:styleId="BoxHeading">
    <w:name w:val="Box Heading"/>
    <w:basedOn w:val="Normal"/>
    <w:next w:val="BoxText"/>
    <w:qFormat/>
    <w:rsid w:val="005D716A"/>
    <w:pPr>
      <w:spacing w:after="113"/>
    </w:pPr>
    <w:rPr>
      <w:rFonts w:ascii="Arial" w:hAnsi="Arial"/>
      <w:b/>
      <w:color w:val="006C67" w:themeColor="accent1"/>
      <w:sz w:val="22"/>
    </w:rPr>
  </w:style>
  <w:style w:type="numbering" w:customStyle="1" w:styleId="ODIBoxHeadings">
    <w:name w:val="ODI Box Headings"/>
    <w:basedOn w:val="NoList"/>
    <w:uiPriority w:val="99"/>
    <w:rsid w:val="005D716A"/>
    <w:pPr>
      <w:numPr>
        <w:numId w:val="3"/>
      </w:numPr>
    </w:pPr>
  </w:style>
  <w:style w:type="paragraph" w:customStyle="1" w:styleId="Abbreviation">
    <w:name w:val="Abbreviation"/>
    <w:basedOn w:val="Normal"/>
    <w:qFormat/>
    <w:rsid w:val="005D716A"/>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5D716A"/>
    <w:rPr>
      <w:sz w:val="16"/>
      <w:szCs w:val="20"/>
    </w:rPr>
  </w:style>
  <w:style w:type="character" w:customStyle="1" w:styleId="FootnoteTextChar">
    <w:name w:val="Footnote Text Char"/>
    <w:basedOn w:val="DefaultParagraphFont"/>
    <w:link w:val="FootnoteText"/>
    <w:uiPriority w:val="99"/>
    <w:rsid w:val="005D716A"/>
    <w:rPr>
      <w:rFonts w:ascii="Times New Roman" w:hAnsi="Times New Roman"/>
      <w:sz w:val="16"/>
      <w:lang w:eastAsia="en-US"/>
    </w:rPr>
  </w:style>
  <w:style w:type="character" w:styleId="FootnoteReference">
    <w:name w:val="footnote reference"/>
    <w:basedOn w:val="DefaultParagraphFont"/>
    <w:uiPriority w:val="99"/>
    <w:qFormat/>
    <w:rsid w:val="005D716A"/>
    <w:rPr>
      <w:rFonts w:asciiTheme="minorHAnsi" w:hAnsiTheme="minorHAnsi"/>
      <w:sz w:val="19"/>
      <w:vertAlign w:val="superscript"/>
    </w:rPr>
  </w:style>
  <w:style w:type="numbering" w:customStyle="1" w:styleId="ODIBullets">
    <w:name w:val="ODI Bullets"/>
    <w:basedOn w:val="NoList"/>
    <w:uiPriority w:val="99"/>
    <w:rsid w:val="005D716A"/>
    <w:pPr>
      <w:numPr>
        <w:numId w:val="4"/>
      </w:numPr>
    </w:pPr>
  </w:style>
  <w:style w:type="paragraph" w:customStyle="1" w:styleId="LastBullet">
    <w:name w:val="Last Bullet"/>
    <w:basedOn w:val="ListBullet"/>
    <w:next w:val="BodyText"/>
    <w:qFormat/>
    <w:rsid w:val="005D716A"/>
    <w:pPr>
      <w:numPr>
        <w:numId w:val="8"/>
      </w:numPr>
      <w:spacing w:after="190"/>
    </w:pPr>
  </w:style>
  <w:style w:type="numbering" w:customStyle="1" w:styleId="ODILastBullet">
    <w:name w:val="ODI Last Bullet"/>
    <w:basedOn w:val="ODIBullets"/>
    <w:uiPriority w:val="99"/>
    <w:rsid w:val="005D716A"/>
    <w:pPr>
      <w:numPr>
        <w:numId w:val="8"/>
      </w:numPr>
    </w:pPr>
  </w:style>
  <w:style w:type="table" w:customStyle="1" w:styleId="ODITable">
    <w:name w:val="ODI Table"/>
    <w:basedOn w:val="TableNormal"/>
    <w:uiPriority w:val="99"/>
    <w:rsid w:val="005D716A"/>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5D716A"/>
    <w:pPr>
      <w:spacing w:line="220" w:lineRule="atLeast"/>
    </w:pPr>
    <w:rPr>
      <w:rFonts w:ascii="Arial" w:hAnsi="Arial"/>
      <w:sz w:val="17"/>
    </w:rPr>
  </w:style>
  <w:style w:type="paragraph" w:customStyle="1" w:styleId="ColumnHeading">
    <w:name w:val="Column Heading"/>
    <w:basedOn w:val="Normal"/>
    <w:next w:val="TableText"/>
    <w:qFormat/>
    <w:rsid w:val="005D716A"/>
    <w:rPr>
      <w:rFonts w:ascii="Arial" w:hAnsi="Arial"/>
      <w:b/>
      <w:sz w:val="17"/>
    </w:rPr>
  </w:style>
  <w:style w:type="paragraph" w:customStyle="1" w:styleId="TableBullet">
    <w:name w:val="Table Bullet"/>
    <w:basedOn w:val="TableText"/>
    <w:qFormat/>
    <w:rsid w:val="005D716A"/>
    <w:pPr>
      <w:numPr>
        <w:numId w:val="12"/>
      </w:numPr>
    </w:pPr>
  </w:style>
  <w:style w:type="numbering" w:customStyle="1" w:styleId="ODITableBullet">
    <w:name w:val="ODI Table Bullet"/>
    <w:basedOn w:val="NoList"/>
    <w:uiPriority w:val="99"/>
    <w:rsid w:val="005D716A"/>
    <w:pPr>
      <w:numPr>
        <w:numId w:val="10"/>
      </w:numPr>
    </w:pPr>
  </w:style>
  <w:style w:type="paragraph" w:customStyle="1" w:styleId="Source">
    <w:name w:val="Source"/>
    <w:basedOn w:val="Normal"/>
    <w:qFormat/>
    <w:rsid w:val="005D716A"/>
    <w:pPr>
      <w:spacing w:before="39" w:after="250"/>
    </w:pPr>
    <w:rPr>
      <w:rFonts w:ascii="Arial" w:hAnsi="Arial"/>
      <w:i/>
      <w:sz w:val="16"/>
    </w:rPr>
  </w:style>
  <w:style w:type="paragraph" w:customStyle="1" w:styleId="BoxText">
    <w:name w:val="Box Text"/>
    <w:basedOn w:val="Normal"/>
    <w:qFormat/>
    <w:rsid w:val="005D716A"/>
    <w:pPr>
      <w:spacing w:after="135"/>
      <w:jc w:val="both"/>
    </w:pPr>
    <w:rPr>
      <w:rFonts w:ascii="Arial" w:hAnsi="Arial"/>
      <w:sz w:val="18"/>
    </w:rPr>
  </w:style>
  <w:style w:type="table" w:customStyle="1" w:styleId="ODIBox">
    <w:name w:val="ODI Box"/>
    <w:basedOn w:val="TableNormal"/>
    <w:uiPriority w:val="99"/>
    <w:rsid w:val="005D716A"/>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5D716A"/>
    <w:pPr>
      <w:numPr>
        <w:numId w:val="2"/>
      </w:numPr>
      <w:spacing w:after="0"/>
      <w:ind w:right="284"/>
    </w:pPr>
  </w:style>
  <w:style w:type="numbering" w:customStyle="1" w:styleId="ODIBoxBullet">
    <w:name w:val="ODI Box Bullet"/>
    <w:basedOn w:val="NoList"/>
    <w:uiPriority w:val="99"/>
    <w:rsid w:val="005D716A"/>
    <w:pPr>
      <w:numPr>
        <w:numId w:val="2"/>
      </w:numPr>
    </w:pPr>
  </w:style>
  <w:style w:type="numbering" w:customStyle="1" w:styleId="ODINumberedList">
    <w:name w:val="ODI Numbered List"/>
    <w:basedOn w:val="NoList"/>
    <w:uiPriority w:val="99"/>
    <w:rsid w:val="005D716A"/>
    <w:pPr>
      <w:numPr>
        <w:numId w:val="9"/>
      </w:numPr>
    </w:pPr>
  </w:style>
  <w:style w:type="numbering" w:customStyle="1" w:styleId="ODICoverBullets">
    <w:name w:val="ODI Cover Bullets"/>
    <w:basedOn w:val="NoList"/>
    <w:uiPriority w:val="99"/>
    <w:rsid w:val="005D716A"/>
    <w:pPr>
      <w:numPr>
        <w:numId w:val="5"/>
      </w:numPr>
    </w:pPr>
  </w:style>
  <w:style w:type="paragraph" w:styleId="Quote">
    <w:name w:val="Quote"/>
    <w:basedOn w:val="Normal"/>
    <w:next w:val="Normal"/>
    <w:link w:val="QuoteChar"/>
    <w:uiPriority w:val="29"/>
    <w:rsid w:val="005D716A"/>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5D716A"/>
    <w:rPr>
      <w:rFonts w:ascii="Times New Roman" w:hAnsi="Times New Roman"/>
      <w:i/>
      <w:iCs/>
      <w:szCs w:val="22"/>
      <w:lang w:eastAsia="en-US"/>
    </w:rPr>
  </w:style>
  <w:style w:type="paragraph" w:customStyle="1" w:styleId="BodyTextNoSpacing">
    <w:name w:val="Body Text No Spacing"/>
    <w:basedOn w:val="BodyText"/>
    <w:qFormat/>
    <w:rsid w:val="005D716A"/>
    <w:pPr>
      <w:spacing w:after="0"/>
    </w:pPr>
  </w:style>
  <w:style w:type="paragraph" w:customStyle="1" w:styleId="SourceNoSpace">
    <w:name w:val="Source No Space"/>
    <w:basedOn w:val="Source"/>
    <w:next w:val="Normal"/>
    <w:qFormat/>
    <w:rsid w:val="005D716A"/>
    <w:pPr>
      <w:spacing w:after="0"/>
    </w:pPr>
  </w:style>
  <w:style w:type="paragraph" w:customStyle="1" w:styleId="AbbreviationDescription">
    <w:name w:val="Abbreviation Description"/>
    <w:basedOn w:val="Normal"/>
    <w:qFormat/>
    <w:rsid w:val="005D716A"/>
    <w:pPr>
      <w:spacing w:line="480" w:lineRule="exact"/>
    </w:pPr>
  </w:style>
  <w:style w:type="paragraph" w:styleId="Caption">
    <w:name w:val="caption"/>
    <w:basedOn w:val="Normal"/>
    <w:next w:val="Normal"/>
    <w:uiPriority w:val="35"/>
    <w:qFormat/>
    <w:rsid w:val="005D716A"/>
    <w:pPr>
      <w:spacing w:after="40"/>
    </w:pPr>
    <w:rPr>
      <w:rFonts w:ascii="Arial" w:hAnsi="Arial"/>
      <w:b/>
      <w:iCs/>
      <w:color w:val="006C67" w:themeColor="accent1"/>
      <w:sz w:val="24"/>
      <w:szCs w:val="18"/>
    </w:rPr>
  </w:style>
  <w:style w:type="paragraph" w:customStyle="1" w:styleId="font5">
    <w:name w:val="font5"/>
    <w:basedOn w:val="Normal"/>
    <w:rsid w:val="005D716A"/>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5D716A"/>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5D716A"/>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5D716A"/>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5D716A"/>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5D716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5D716A"/>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5D716A"/>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5D716A"/>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5D71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5D716A"/>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5D716A"/>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5D716A"/>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5D716A"/>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5D716A"/>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5D71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5D716A"/>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5D716A"/>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5D716A"/>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5D716A"/>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5D716A"/>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5D716A"/>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5D716A"/>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5D71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5D716A"/>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5D716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5D716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5D716A"/>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5D716A"/>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5D716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5D716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5D716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5D716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5D716A"/>
    <w:rPr>
      <w:sz w:val="16"/>
      <w:szCs w:val="16"/>
    </w:rPr>
  </w:style>
  <w:style w:type="paragraph" w:styleId="CommentText">
    <w:name w:val="annotation text"/>
    <w:basedOn w:val="Normal"/>
    <w:link w:val="CommentTextChar"/>
    <w:uiPriority w:val="99"/>
    <w:semiHidden/>
    <w:unhideWhenUsed/>
    <w:rsid w:val="005D716A"/>
    <w:rPr>
      <w:szCs w:val="20"/>
    </w:rPr>
  </w:style>
  <w:style w:type="character" w:customStyle="1" w:styleId="CommentTextChar">
    <w:name w:val="Comment Text Char"/>
    <w:basedOn w:val="DefaultParagraphFont"/>
    <w:link w:val="CommentText"/>
    <w:uiPriority w:val="99"/>
    <w:semiHidden/>
    <w:rsid w:val="005D716A"/>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5D716A"/>
    <w:rPr>
      <w:b/>
      <w:bCs/>
    </w:rPr>
  </w:style>
  <w:style w:type="character" w:customStyle="1" w:styleId="CommentSubjectChar">
    <w:name w:val="Comment Subject Char"/>
    <w:basedOn w:val="CommentTextChar"/>
    <w:link w:val="CommentSubject"/>
    <w:uiPriority w:val="99"/>
    <w:semiHidden/>
    <w:rsid w:val="005D716A"/>
    <w:rPr>
      <w:rFonts w:ascii="Times New Roman" w:hAnsi="Times New Roman"/>
      <w:b/>
      <w:bCs/>
      <w:lang w:eastAsia="en-US"/>
    </w:rPr>
  </w:style>
  <w:style w:type="paragraph" w:styleId="TableofFigures">
    <w:name w:val="table of figures"/>
    <w:basedOn w:val="Normal"/>
    <w:next w:val="Normal"/>
    <w:uiPriority w:val="99"/>
    <w:unhideWhenUsed/>
    <w:rsid w:val="005D716A"/>
    <w:pPr>
      <w:spacing w:after="60"/>
    </w:pPr>
    <w:rPr>
      <w:rFonts w:ascii="Arial" w:hAnsi="Arial"/>
    </w:rPr>
  </w:style>
  <w:style w:type="paragraph" w:styleId="TOC2">
    <w:name w:val="toc 2"/>
    <w:basedOn w:val="Normal"/>
    <w:next w:val="Normal"/>
    <w:autoRedefine/>
    <w:uiPriority w:val="39"/>
    <w:unhideWhenUsed/>
    <w:rsid w:val="005D716A"/>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5D716A"/>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5D716A"/>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98259">
      <w:bodyDiv w:val="1"/>
      <w:marLeft w:val="0"/>
      <w:marRight w:val="0"/>
      <w:marTop w:val="0"/>
      <w:marBottom w:val="0"/>
      <w:divBdr>
        <w:top w:val="none" w:sz="0" w:space="0" w:color="auto"/>
        <w:left w:val="none" w:sz="0" w:space="0" w:color="auto"/>
        <w:bottom w:val="none" w:sz="0" w:space="0" w:color="auto"/>
        <w:right w:val="none" w:sz="0" w:space="0" w:color="auto"/>
      </w:divBdr>
    </w:div>
    <w:div w:id="187957585">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54363173">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499123751">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662393241">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24978166">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043217328">
      <w:bodyDiv w:val="1"/>
      <w:marLeft w:val="0"/>
      <w:marRight w:val="0"/>
      <w:marTop w:val="0"/>
      <w:marBottom w:val="0"/>
      <w:divBdr>
        <w:top w:val="none" w:sz="0" w:space="0" w:color="auto"/>
        <w:left w:val="none" w:sz="0" w:space="0" w:color="auto"/>
        <w:bottom w:val="none" w:sz="0" w:space="0" w:color="auto"/>
        <w:right w:val="none" w:sz="0" w:space="0" w:color="auto"/>
      </w:divBdr>
    </w:div>
    <w:div w:id="1177501109">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2996199">
      <w:bodyDiv w:val="1"/>
      <w:marLeft w:val="0"/>
      <w:marRight w:val="0"/>
      <w:marTop w:val="0"/>
      <w:marBottom w:val="0"/>
      <w:divBdr>
        <w:top w:val="none" w:sz="0" w:space="0" w:color="auto"/>
        <w:left w:val="none" w:sz="0" w:space="0" w:color="auto"/>
        <w:bottom w:val="none" w:sz="0" w:space="0" w:color="auto"/>
        <w:right w:val="none" w:sz="0" w:space="0" w:color="auto"/>
      </w:divBdr>
    </w:div>
    <w:div w:id="2033530238">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image" Target="media/image3.png"/><Relationship Id="rId21" Type="http://schemas.openxmlformats.org/officeDocument/2006/relationships/hyperlink" Target="http://www.ilo.org/global/research/global-reports/weso/2015/lang--en/index.htm" TargetMode="External"/><Relationship Id="rId34" Type="http://schemas.openxmlformats.org/officeDocument/2006/relationships/hyperlink" Target="https://data.un.org/search.aspx?q=gross+value+added+datamart%5bsnaama%5d" TargetMode="External"/><Relationship Id="rId42" Type="http://schemas.openxmlformats.org/officeDocument/2006/relationships/chart" Target="charts/chart10.xml"/><Relationship Id="rId47" Type="http://schemas.openxmlformats.org/officeDocument/2006/relationships/hyperlink" Target="http://www.ilo.org/global/research/global-reports/global-employment-trends/2014/WCMS_234879/lang--en/index.htm" TargetMode="External"/><Relationship Id="rId50" Type="http://schemas.openxmlformats.org/officeDocument/2006/relationships/image" Target="media/image7.png"/><Relationship Id="rId55" Type="http://schemas.openxmlformats.org/officeDocument/2006/relationships/chart" Target="charts/chart16.xml"/><Relationship Id="rId63" Type="http://schemas.openxmlformats.org/officeDocument/2006/relationships/chart" Target="charts/chart19.xml"/><Relationship Id="rId68" Type="http://schemas.openxmlformats.org/officeDocument/2006/relationships/image" Target="media/image15.png"/><Relationship Id="rId76" Type="http://schemas.openxmlformats.org/officeDocument/2006/relationships/chart" Target="charts/chart26.xml"/><Relationship Id="rId84" Type="http://schemas.openxmlformats.org/officeDocument/2006/relationships/chart" Target="charts/chart34.xml"/><Relationship Id="rId89" Type="http://schemas.openxmlformats.org/officeDocument/2006/relationships/image" Target="media/image18.emf"/><Relationship Id="rId7" Type="http://schemas.openxmlformats.org/officeDocument/2006/relationships/styles" Target="styles.xml"/><Relationship Id="rId71" Type="http://schemas.openxmlformats.org/officeDocument/2006/relationships/hyperlink" Target="http://www.imf.org/external/np/res/dfidimf/diversification.htm" TargetMode="External"/><Relationship Id="rId92" Type="http://schemas.openxmlformats.org/officeDocument/2006/relationships/hyperlink" Target="http://www.nber.org/oww/" TargetMode="Externa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weso/2015/lang--en/index.htm" TargetMode="Externa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yperlink" Target="http://www.ilo.org/global/research/global-reports/weso/2015/lang--en/index.htm" TargetMode="External"/><Relationship Id="rId37" Type="http://schemas.openxmlformats.org/officeDocument/2006/relationships/chart" Target="charts/chart8.xm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image" Target="media/image5.png"/><Relationship Id="rId53" Type="http://schemas.openxmlformats.org/officeDocument/2006/relationships/chart" Target="charts/chart14.xml"/><Relationship Id="rId58" Type="http://schemas.openxmlformats.org/officeDocument/2006/relationships/image" Target="media/image10.png"/><Relationship Id="rId66" Type="http://schemas.openxmlformats.org/officeDocument/2006/relationships/image" Target="media/image14.png"/><Relationship Id="rId74" Type="http://schemas.openxmlformats.org/officeDocument/2006/relationships/chart" Target="charts/chart24.xml"/><Relationship Id="rId79" Type="http://schemas.openxmlformats.org/officeDocument/2006/relationships/chart" Target="charts/chart29.xml"/><Relationship Id="rId87" Type="http://schemas.openxmlformats.org/officeDocument/2006/relationships/image" Target="media/image17.emf"/><Relationship Id="rId5" Type="http://schemas.openxmlformats.org/officeDocument/2006/relationships/customXml" Target="../customXml/item4.xml"/><Relationship Id="rId61" Type="http://schemas.openxmlformats.org/officeDocument/2006/relationships/image" Target="media/image12.png"/><Relationship Id="rId82" Type="http://schemas.openxmlformats.org/officeDocument/2006/relationships/chart" Target="charts/chart32.xml"/><Relationship Id="rId90" Type="http://schemas.openxmlformats.org/officeDocument/2006/relationships/hyperlink" Target="http://www.enterprisesurveys.org/"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data.un.org/search.aspx?q=gross+value+added+datamart%5bsnaama%5d" TargetMode="Externa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www.ilo.org/global/research/global-reports/weso/2015/lang--en/index.htm" TargetMode="External"/><Relationship Id="rId43" Type="http://schemas.openxmlformats.org/officeDocument/2006/relationships/chart" Target="charts/chart11.xml"/><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chart" Target="charts/chart20.xml"/><Relationship Id="rId69" Type="http://schemas.openxmlformats.org/officeDocument/2006/relationships/image" Target="media/image16.png"/><Relationship Id="rId77" Type="http://schemas.openxmlformats.org/officeDocument/2006/relationships/chart" Target="charts/chart27.xml"/><Relationship Id="rId8" Type="http://schemas.microsoft.com/office/2007/relationships/stylesWithEffects" Target="stylesWithEffects.xml"/><Relationship Id="rId51" Type="http://schemas.openxmlformats.org/officeDocument/2006/relationships/image" Target="media/image8.png"/><Relationship Id="rId72" Type="http://schemas.openxmlformats.org/officeDocument/2006/relationships/chart" Target="charts/chart22.xml"/><Relationship Id="rId80" Type="http://schemas.openxmlformats.org/officeDocument/2006/relationships/chart" Target="charts/chart30.xml"/><Relationship Id="rId85" Type="http://schemas.openxmlformats.org/officeDocument/2006/relationships/chart" Target="charts/chart35.xml"/><Relationship Id="rId93"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hyperlink" Target="http://atlas.media.mit.edu/explore/tree_map/hs/export/rwa/all/show/2012/" TargetMode="External"/><Relationship Id="rId67" Type="http://schemas.openxmlformats.org/officeDocument/2006/relationships/hyperlink" Target="http://atlas.media.mit.edu/explore/tree_map/hs/export/rwa/all/show/2012/" TargetMode="External"/><Relationship Id="rId20" Type="http://schemas.openxmlformats.org/officeDocument/2006/relationships/hyperlink" Target="https://data.un.org/search.aspx?q=gross+value+added+datamart%5bsnaama%5d" TargetMode="External"/><Relationship Id="rId41" Type="http://schemas.openxmlformats.org/officeDocument/2006/relationships/chart" Target="charts/chart9.xml"/><Relationship Id="rId54" Type="http://schemas.openxmlformats.org/officeDocument/2006/relationships/chart" Target="charts/chart15.xml"/><Relationship Id="rId62" Type="http://schemas.openxmlformats.org/officeDocument/2006/relationships/chart" Target="charts/chart18.xml"/><Relationship Id="rId70" Type="http://schemas.openxmlformats.org/officeDocument/2006/relationships/chart" Target="charts/chart21.xml"/><Relationship Id="rId75" Type="http://schemas.openxmlformats.org/officeDocument/2006/relationships/chart" Target="charts/chart25.xml"/><Relationship Id="rId83" Type="http://schemas.openxmlformats.org/officeDocument/2006/relationships/chart" Target="charts/chart33.xml"/><Relationship Id="rId88" Type="http://schemas.openxmlformats.org/officeDocument/2006/relationships/hyperlink" Target="http://www.enterprisesurveys.org/" TargetMode="External"/><Relationship Id="rId91" Type="http://schemas.openxmlformats.org/officeDocument/2006/relationships/chart" Target="charts/chart37.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ilo.org/global/research/global-reports/weso/2015/lang--en/index.htm" TargetMode="External"/><Relationship Id="rId28" Type="http://schemas.openxmlformats.org/officeDocument/2006/relationships/hyperlink" Target="https://data.un.org/search.aspx?q=gross+value+added+datamart%5bsnaama%5d" TargetMode="External"/><Relationship Id="rId36" Type="http://schemas.openxmlformats.org/officeDocument/2006/relationships/chart" Target="charts/chart7.xml"/><Relationship Id="rId49" Type="http://schemas.openxmlformats.org/officeDocument/2006/relationships/chart" Target="charts/chart13.xml"/><Relationship Id="rId57" Type="http://schemas.openxmlformats.org/officeDocument/2006/relationships/image" Target="media/image9.png"/><Relationship Id="rId10" Type="http://schemas.openxmlformats.org/officeDocument/2006/relationships/webSettings" Target="webSettings.xml"/><Relationship Id="rId31" Type="http://schemas.openxmlformats.org/officeDocument/2006/relationships/hyperlink" Target="https://data.un.org/search.aspx?q=gross+value+added+datamart%5bsnaama%5d" TargetMode="External"/><Relationship Id="rId44" Type="http://schemas.openxmlformats.org/officeDocument/2006/relationships/image" Target="media/image4.png"/><Relationship Id="rId52" Type="http://schemas.openxmlformats.org/officeDocument/2006/relationships/hyperlink" Target="http://www.ilo.org/global/research/global-reports/weso/2015/lang--en/index.htm" TargetMode="External"/><Relationship Id="rId60" Type="http://schemas.openxmlformats.org/officeDocument/2006/relationships/image" Target="media/image11.png"/><Relationship Id="rId65" Type="http://schemas.openxmlformats.org/officeDocument/2006/relationships/image" Target="media/image13.png"/><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chart" Target="charts/chart31.xml"/><Relationship Id="rId86" Type="http://schemas.openxmlformats.org/officeDocument/2006/relationships/chart" Target="charts/chart36.xml"/><Relationship Id="rId9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yanmar%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yanmar%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yanmar%20-%20Trade%20(own%20and%20mirror%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Burma%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Myanmar%20-%20Trade%20(own%20and%20mirror%20da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Myanmar%20-%20Trade%20(own%20and%20mirror%20dat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Myanmar%20-%20Trade%20(own%20and%20mirror%20dat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JK%20SET%20figures(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yanmar%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yanmar%20-%20economic%20struct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yanmar%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yanmar%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-5.9653751633188534</c:v>
                </c:pt>
              </c:numCache>
            </c:numRef>
          </c:xVal>
          <c:yVal>
            <c:numRef>
              <c:f>'Rel. prod. cf employment'!$C$6</c:f>
              <c:numCache>
                <c:formatCode>#,##0.0_ ;\-#,##0.0\ </c:formatCode>
                <c:ptCount val="1"/>
                <c:pt idx="0">
                  <c:v>0.90003504270555601</c:v>
                </c:pt>
              </c:numCache>
            </c:numRef>
          </c:yVal>
          <c:bubbleSize>
            <c:numRef>
              <c:f>'Rel. prod. cf employment'!$E$6</c:f>
              <c:numCache>
                <c:formatCode>#,##0_ ;\-#,##0\ </c:formatCode>
                <c:ptCount val="1"/>
                <c:pt idx="0">
                  <c:v>14993</c:v>
                </c:pt>
              </c:numCache>
            </c:numRef>
          </c:bubbleSize>
          <c:bubble3D val="1"/>
        </c:ser>
        <c:ser>
          <c:idx val="1"/>
          <c:order val="1"/>
          <c:tx>
            <c:strRef>
              <c:f>'Rel. prod. cf employment'!$A$7</c:f>
              <c:strCache>
                <c:ptCount val="1"/>
                <c:pt idx="0">
                  <c:v>Mining</c:v>
                </c:pt>
              </c:strCache>
            </c:strRef>
          </c:tx>
          <c:spPr>
            <a:solidFill>
              <a:srgbClr val="000000"/>
            </a:solidFill>
            <a:ln w="25400">
              <a:noFill/>
            </a:ln>
          </c:spPr>
          <c:invertIfNegative val="0"/>
          <c:xVal>
            <c:numRef>
              <c:f>'Rel. prod. cf employment'!$B$7</c:f>
              <c:numCache>
                <c:formatCode>#,##0.0_ ;\-#,##0.0\ </c:formatCode>
                <c:ptCount val="1"/>
                <c:pt idx="0">
                  <c:v>0.20763280403020568</c:v>
                </c:pt>
              </c:numCache>
            </c:numRef>
          </c:xVal>
          <c:yVal>
            <c:numRef>
              <c:f>'Rel. prod. cf employment'!$C$7</c:f>
              <c:numCache>
                <c:formatCode>#,##0.0_ ;\-#,##0.0\ </c:formatCode>
                <c:ptCount val="1"/>
                <c:pt idx="0">
                  <c:v>1.7243167078520472</c:v>
                </c:pt>
              </c:numCache>
            </c:numRef>
          </c:yVal>
          <c:bubbleSize>
            <c:numRef>
              <c:f>'Rel. prod. cf employment'!$E$7</c:f>
              <c:numCache>
                <c:formatCode>#,##0_ ;\-#,##0\ </c:formatCode>
                <c:ptCount val="1"/>
                <c:pt idx="0">
                  <c:v>172</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1.4958747184988956</c:v>
                </c:pt>
              </c:numCache>
            </c:numRef>
          </c:xVal>
          <c:yVal>
            <c:numRef>
              <c:f>'Rel. prod. cf employment'!$C$8</c:f>
              <c:numCache>
                <c:formatCode>#,##0.0_ ;\-#,##0.0\ </c:formatCode>
                <c:ptCount val="1"/>
                <c:pt idx="0">
                  <c:v>0.95161981093696602</c:v>
                </c:pt>
              </c:numCache>
            </c:numRef>
          </c:yVal>
          <c:bubbleSize>
            <c:numRef>
              <c:f>'Rel. prod. cf employment'!$E$8</c:f>
              <c:numCache>
                <c:formatCode>#,##0_ ;\-#,##0\ </c:formatCode>
                <c:ptCount val="1"/>
                <c:pt idx="0">
                  <c:v>2140</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1.2881442729183208</c:v>
                </c:pt>
              </c:numCache>
            </c:numRef>
          </c:xVal>
          <c:yVal>
            <c:numRef>
              <c:f>'Rel. prod. cf employment'!$C$9</c:f>
              <c:numCache>
                <c:formatCode>#,##0.0_ ;\-#,##0.0\ </c:formatCode>
                <c:ptCount val="1"/>
                <c:pt idx="0">
                  <c:v>0.93287592664049002</c:v>
                </c:pt>
              </c:numCache>
            </c:numRef>
          </c:yVal>
          <c:bubbleSize>
            <c:numRef>
              <c:f>'Rel. prod. cf employment'!$E$9</c:f>
              <c:numCache>
                <c:formatCode>#,##0_ ;\-#,##0\ </c:formatCode>
                <c:ptCount val="1"/>
                <c:pt idx="0">
                  <c:v>595</c:v>
                </c:pt>
              </c:numCache>
            </c:numRef>
          </c:bubbleSize>
          <c:bubble3D val="1"/>
        </c:ser>
        <c:ser>
          <c:idx val="4"/>
          <c:order val="4"/>
          <c:tx>
            <c:strRef>
              <c:f>'Rel. prod. cf employment'!$A$10</c:f>
              <c:strCache>
                <c:ptCount val="1"/>
                <c:pt idx="0">
                  <c:v>Wholesale &amp; retail</c:v>
                </c:pt>
              </c:strCache>
            </c:strRef>
          </c:tx>
          <c:spPr>
            <a:solidFill>
              <a:srgbClr val="6666FF"/>
            </a:solidFill>
            <a:ln w="25400">
              <a:noFill/>
            </a:ln>
          </c:spPr>
          <c:invertIfNegative val="0"/>
          <c:xVal>
            <c:numRef>
              <c:f>'Rel. prod. cf employment'!$B$10</c:f>
              <c:numCache>
                <c:formatCode>#,##0.0_ ;\-#,##0.0\ </c:formatCode>
                <c:ptCount val="1"/>
                <c:pt idx="0">
                  <c:v>1.6773989942048715</c:v>
                </c:pt>
              </c:numCache>
            </c:numRef>
          </c:xVal>
          <c:yVal>
            <c:numRef>
              <c:f>'Rel. prod. cf employment'!$C$10</c:f>
              <c:numCache>
                <c:formatCode>#,##0.0_ ;\-#,##0.0\ </c:formatCode>
                <c:ptCount val="1"/>
                <c:pt idx="0">
                  <c:v>1.231468651300559</c:v>
                </c:pt>
              </c:numCache>
            </c:numRef>
          </c:yVal>
          <c:bubbleSize>
            <c:numRef>
              <c:f>'Rel. prod. cf employment'!$E$10</c:f>
              <c:numCache>
                <c:formatCode>#,##0_ ;\-#,##0\ </c:formatCode>
                <c:ptCount val="1"/>
                <c:pt idx="0">
                  <c:v>4661</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0.57810334663721052</c:v>
                </c:pt>
              </c:numCache>
            </c:numRef>
          </c:xVal>
          <c:yVal>
            <c:numRef>
              <c:f>'Rel. prod. cf employment'!$C$11</c:f>
              <c:numCache>
                <c:formatCode>#,##0.0_ ;\-#,##0.0\ </c:formatCode>
                <c:ptCount val="1"/>
                <c:pt idx="0">
                  <c:v>2.8565489318433728</c:v>
                </c:pt>
              </c:numCache>
            </c:numRef>
          </c:yVal>
          <c:bubbleSize>
            <c:numRef>
              <c:f>'Rel. prod. cf employment'!$E$11</c:f>
              <c:numCache>
                <c:formatCode>#,##0_ ;\-#,##0\ </c:formatCode>
                <c:ptCount val="1"/>
                <c:pt idx="0">
                  <c:v>728</c:v>
                </c:pt>
              </c:numCache>
            </c:numRef>
          </c:bubbleSize>
          <c:bubble3D val="1"/>
        </c:ser>
        <c:ser>
          <c:idx val="6"/>
          <c:order val="6"/>
          <c:tx>
            <c:strRef>
              <c:f>'Rel. prod. cf employment'!$A$12</c:f>
              <c:strCache>
                <c:ptCount val="1"/>
                <c:pt idx="0">
                  <c:v>Other (incl. hotels/restaurants, utilities)</c:v>
                </c:pt>
              </c:strCache>
            </c:strRef>
          </c:tx>
          <c:spPr>
            <a:solidFill>
              <a:srgbClr val="FF00FF"/>
            </a:solidFill>
            <a:ln w="25400">
              <a:noFill/>
            </a:ln>
          </c:spPr>
          <c:invertIfNegative val="0"/>
          <c:xVal>
            <c:numRef>
              <c:f>'Rel. prod. cf employment'!$B$12</c:f>
              <c:numCache>
                <c:formatCode>#,##0.0_ ;\-#,##0.0\ </c:formatCode>
                <c:ptCount val="1"/>
                <c:pt idx="0">
                  <c:v>0.71822102702934831</c:v>
                </c:pt>
              </c:numCache>
            </c:numRef>
          </c:xVal>
          <c:yVal>
            <c:numRef>
              <c:f>'Rel. prod. cf employment'!$C$12</c:f>
              <c:numCache>
                <c:formatCode>#,##0.0_ ;\-#,##0.0\ </c:formatCode>
                <c:ptCount val="1"/>
                <c:pt idx="0">
                  <c:v>0.40920488874755162</c:v>
                </c:pt>
              </c:numCache>
            </c:numRef>
          </c:yVal>
          <c:bubbleSize>
            <c:numRef>
              <c:f>'Rel. prod. cf employment'!$E$12</c:f>
              <c:numCache>
                <c:formatCode>#,##0_ ;\-#,##0\ </c:formatCode>
                <c:ptCount val="1"/>
                <c:pt idx="0">
                  <c:v>1545</c:v>
                </c:pt>
              </c:numCache>
            </c:numRef>
          </c:bubbleSize>
          <c:bubble3D val="1"/>
        </c:ser>
        <c:dLbls>
          <c:showLegendKey val="0"/>
          <c:showVal val="0"/>
          <c:showCatName val="0"/>
          <c:showSerName val="0"/>
          <c:showPercent val="0"/>
          <c:showBubbleSize val="0"/>
        </c:dLbls>
        <c:bubbleScale val="100"/>
        <c:showNegBubbles val="0"/>
        <c:axId val="89286912"/>
        <c:axId val="89289088"/>
      </c:bubbleChart>
      <c:valAx>
        <c:axId val="89286912"/>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89289088"/>
        <c:crosses val="autoZero"/>
        <c:crossBetween val="midCat"/>
      </c:valAx>
      <c:valAx>
        <c:axId val="89289088"/>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8928691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0.6502772583155072</c:v>
                </c:pt>
                <c:pt idx="1">
                  <c:v>0.63343598253033206</c:v>
                </c:pt>
                <c:pt idx="2">
                  <c:v>0.62739700091710393</c:v>
                </c:pt>
                <c:pt idx="3">
                  <c:v>0.62386671508317992</c:v>
                </c:pt>
                <c:pt idx="4">
                  <c:v>0.62354783582274642</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0.34972257351325414</c:v>
                </c:pt>
                <c:pt idx="1">
                  <c:v>0.36656401746966788</c:v>
                </c:pt>
                <c:pt idx="2">
                  <c:v>0.37260327268190502</c:v>
                </c:pt>
                <c:pt idx="3">
                  <c:v>0.37613328491682002</c:v>
                </c:pt>
                <c:pt idx="4">
                  <c:v>0.37645192797138127</c:v>
                </c:pt>
              </c:numCache>
            </c:numRef>
          </c:val>
        </c:ser>
        <c:dLbls>
          <c:showLegendKey val="0"/>
          <c:showVal val="0"/>
          <c:showCatName val="0"/>
          <c:showSerName val="0"/>
          <c:showPercent val="0"/>
          <c:showBubbleSize val="0"/>
        </c:dLbls>
        <c:gapWidth val="150"/>
        <c:axId val="98518912"/>
        <c:axId val="98520448"/>
      </c:barChart>
      <c:catAx>
        <c:axId val="98518912"/>
        <c:scaling>
          <c:orientation val="minMax"/>
        </c:scaling>
        <c:delete val="0"/>
        <c:axPos val="b"/>
        <c:numFmt formatCode="General" sourceLinked="1"/>
        <c:majorTickMark val="out"/>
        <c:minorTickMark val="none"/>
        <c:tickLblPos val="nextTo"/>
        <c:crossAx val="98520448"/>
        <c:crosses val="autoZero"/>
        <c:auto val="1"/>
        <c:lblAlgn val="ctr"/>
        <c:lblOffset val="100"/>
        <c:noMultiLvlLbl val="0"/>
      </c:catAx>
      <c:valAx>
        <c:axId val="98520448"/>
        <c:scaling>
          <c:orientation val="minMax"/>
          <c:max val="1"/>
        </c:scaling>
        <c:delete val="1"/>
        <c:axPos val="l"/>
        <c:majorGridlines/>
        <c:numFmt formatCode="0%" sourceLinked="1"/>
        <c:majorTickMark val="out"/>
        <c:minorTickMark val="none"/>
        <c:tickLblPos val="nextTo"/>
        <c:crossAx val="98518912"/>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0.63481944800502921</c:v>
                </c:pt>
                <c:pt idx="1">
                  <c:v>0.59682126481738507</c:v>
                </c:pt>
                <c:pt idx="2">
                  <c:v>0.58708170212366884</c:v>
                </c:pt>
                <c:pt idx="3">
                  <c:v>0.58114082021163294</c:v>
                </c:pt>
                <c:pt idx="4">
                  <c:v>0.58010647291938666</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0.36518055199497085</c:v>
                </c:pt>
                <c:pt idx="1">
                  <c:v>0.40317889002231549</c:v>
                </c:pt>
                <c:pt idx="2">
                  <c:v>0.41291829787633122</c:v>
                </c:pt>
                <c:pt idx="3">
                  <c:v>0.41885917978836701</c:v>
                </c:pt>
                <c:pt idx="4">
                  <c:v>0.41989340541674314</c:v>
                </c:pt>
              </c:numCache>
            </c:numRef>
          </c:val>
        </c:ser>
        <c:dLbls>
          <c:showLegendKey val="0"/>
          <c:showVal val="0"/>
          <c:showCatName val="0"/>
          <c:showSerName val="0"/>
          <c:showPercent val="0"/>
          <c:showBubbleSize val="0"/>
        </c:dLbls>
        <c:gapWidth val="150"/>
        <c:axId val="98554240"/>
        <c:axId val="98555776"/>
      </c:barChart>
      <c:catAx>
        <c:axId val="98554240"/>
        <c:scaling>
          <c:orientation val="minMax"/>
        </c:scaling>
        <c:delete val="0"/>
        <c:axPos val="b"/>
        <c:numFmt formatCode="General" sourceLinked="1"/>
        <c:majorTickMark val="out"/>
        <c:minorTickMark val="none"/>
        <c:tickLblPos val="nextTo"/>
        <c:crossAx val="98555776"/>
        <c:crosses val="autoZero"/>
        <c:auto val="1"/>
        <c:lblAlgn val="ctr"/>
        <c:lblOffset val="100"/>
        <c:noMultiLvlLbl val="0"/>
      </c:catAx>
      <c:valAx>
        <c:axId val="98555776"/>
        <c:scaling>
          <c:orientation val="minMax"/>
          <c:max val="1"/>
        </c:scaling>
        <c:delete val="1"/>
        <c:axPos val="l"/>
        <c:majorGridlines/>
        <c:numFmt formatCode="0%" sourceLinked="1"/>
        <c:majorTickMark val="out"/>
        <c:minorTickMark val="none"/>
        <c:tickLblPos val="nextTo"/>
        <c:crossAx val="9855424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48.2</c:v>
                </c:pt>
                <c:pt idx="1">
                  <c:v>38.200000000000003</c:v>
                </c:pt>
                <c:pt idx="2">
                  <c:v>25.200000000000003</c:v>
                </c:pt>
                <c:pt idx="3">
                  <c:v>12.9</c:v>
                </c:pt>
                <c:pt idx="4">
                  <c:v>6.9</c:v>
                </c:pt>
              </c:numCache>
            </c:numRef>
          </c:val>
        </c:ser>
        <c:ser>
          <c:idx val="1"/>
          <c:order val="1"/>
          <c:tx>
            <c:strRef>
              <c:f>'Sectoral employ by sex'!$A$7</c:f>
              <c:strCache>
                <c:ptCount val="1"/>
                <c:pt idx="0">
                  <c:v>Mining</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0.8</c:v>
                </c:pt>
                <c:pt idx="1">
                  <c:v>1.2000000000000002</c:v>
                </c:pt>
                <c:pt idx="2">
                  <c:v>1.3</c:v>
                </c:pt>
                <c:pt idx="3">
                  <c:v>1.1000000000000001</c:v>
                </c:pt>
                <c:pt idx="4">
                  <c:v>1.1000000000000001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5.2</c:v>
                </c:pt>
                <c:pt idx="1">
                  <c:v>7.1000000000000005</c:v>
                </c:pt>
                <c:pt idx="2">
                  <c:v>8.2000000000000011</c:v>
                </c:pt>
                <c:pt idx="3">
                  <c:v>8.6</c:v>
                </c:pt>
                <c:pt idx="4">
                  <c:v>9</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2.1</c:v>
                </c:pt>
                <c:pt idx="1">
                  <c:v>4.6000000000000005</c:v>
                </c:pt>
                <c:pt idx="2">
                  <c:v>7.1000000000000005</c:v>
                </c:pt>
                <c:pt idx="3">
                  <c:v>9.5</c:v>
                </c:pt>
                <c:pt idx="4">
                  <c:v>11.3</c:v>
                </c:pt>
              </c:numCache>
            </c:numRef>
          </c:val>
        </c:ser>
        <c:ser>
          <c:idx val="4"/>
          <c:order val="4"/>
          <c:tx>
            <c:strRef>
              <c:f>'Sectoral employ by sex'!$A$10</c:f>
              <c:strCache>
                <c:ptCount val="1"/>
                <c:pt idx="0">
                  <c:v>Wholesale &amp; retail</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30.400000000000002</c:v>
                </c:pt>
                <c:pt idx="1">
                  <c:v>33.4</c:v>
                </c:pt>
                <c:pt idx="2">
                  <c:v>38</c:v>
                </c:pt>
                <c:pt idx="3">
                  <c:v>42.800000000000004</c:v>
                </c:pt>
                <c:pt idx="4">
                  <c:v>45</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4.3</c:v>
                </c:pt>
                <c:pt idx="1">
                  <c:v>5.3000000000000007</c:v>
                </c:pt>
                <c:pt idx="2">
                  <c:v>7.7</c:v>
                </c:pt>
                <c:pt idx="3">
                  <c:v>9.7000000000000011</c:v>
                </c:pt>
                <c:pt idx="4">
                  <c:v>10.3</c:v>
                </c:pt>
              </c:numCache>
            </c:numRef>
          </c:val>
        </c:ser>
        <c:ser>
          <c:idx val="6"/>
          <c:order val="6"/>
          <c:tx>
            <c:strRef>
              <c:f>'Sectoral employ by sex'!$A$12</c:f>
              <c:strCache>
                <c:ptCount val="1"/>
                <c:pt idx="0">
                  <c:v>Other (including hotels, gas/electricity)</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9</c:v>
                </c:pt>
                <c:pt idx="1">
                  <c:v>10.1</c:v>
                </c:pt>
                <c:pt idx="2">
                  <c:v>12.7</c:v>
                </c:pt>
                <c:pt idx="3">
                  <c:v>15.4</c:v>
                </c:pt>
                <c:pt idx="4">
                  <c:v>16.300000000000004</c:v>
                </c:pt>
              </c:numCache>
            </c:numRef>
          </c:val>
        </c:ser>
        <c:dLbls>
          <c:showLegendKey val="0"/>
          <c:showVal val="0"/>
          <c:showCatName val="0"/>
          <c:showSerName val="0"/>
          <c:showPercent val="0"/>
          <c:showBubbleSize val="0"/>
        </c:dLbls>
        <c:gapWidth val="150"/>
        <c:overlap val="100"/>
        <c:axId val="98617984"/>
        <c:axId val="98627968"/>
      </c:barChart>
      <c:catAx>
        <c:axId val="98617984"/>
        <c:scaling>
          <c:orientation val="minMax"/>
        </c:scaling>
        <c:delete val="0"/>
        <c:axPos val="b"/>
        <c:numFmt formatCode="General" sourceLinked="1"/>
        <c:majorTickMark val="out"/>
        <c:minorTickMark val="none"/>
        <c:tickLblPos val="nextTo"/>
        <c:crossAx val="98627968"/>
        <c:crosses val="autoZero"/>
        <c:auto val="1"/>
        <c:lblAlgn val="ctr"/>
        <c:lblOffset val="100"/>
        <c:noMultiLvlLbl val="0"/>
      </c:catAx>
      <c:valAx>
        <c:axId val="98627968"/>
        <c:scaling>
          <c:orientation val="minMax"/>
          <c:max val="1"/>
          <c:min val="0"/>
        </c:scaling>
        <c:delete val="0"/>
        <c:axPos val="l"/>
        <c:majorGridlines/>
        <c:numFmt formatCode="0%" sourceLinked="1"/>
        <c:majorTickMark val="out"/>
        <c:minorTickMark val="none"/>
        <c:tickLblPos val="nextTo"/>
        <c:crossAx val="9861798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85</c:v>
                </c:pt>
                <c:pt idx="1">
                  <c:v>83.300000000000011</c:v>
                </c:pt>
                <c:pt idx="2">
                  <c:v>80.900000000000006</c:v>
                </c:pt>
                <c:pt idx="3">
                  <c:v>78.800000000000011</c:v>
                </c:pt>
                <c:pt idx="4">
                  <c:v>77.7</c:v>
                </c:pt>
              </c:numCache>
            </c:numRef>
          </c:val>
        </c:ser>
        <c:ser>
          <c:idx val="1"/>
          <c:order val="1"/>
          <c:tx>
            <c:strRef>
              <c:f>'Sectoral employ by sex'!$A$7</c:f>
              <c:strCache>
                <c:ptCount val="1"/>
                <c:pt idx="0">
                  <c:v>Mining</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0.2</c:v>
                </c:pt>
                <c:pt idx="1">
                  <c:v>0.2</c:v>
                </c:pt>
                <c:pt idx="2">
                  <c:v>0.2</c:v>
                </c:pt>
                <c:pt idx="3">
                  <c:v>0.4</c:v>
                </c:pt>
                <c:pt idx="4">
                  <c:v>0.5</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9.1</c:v>
                </c:pt>
                <c:pt idx="1">
                  <c:v>10.100000000000001</c:v>
                </c:pt>
                <c:pt idx="2">
                  <c:v>11.3</c:v>
                </c:pt>
                <c:pt idx="3">
                  <c:v>11.700000000000001</c:v>
                </c:pt>
                <c:pt idx="4">
                  <c:v>12.100000000000001</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0.1</c:v>
                </c:pt>
                <c:pt idx="2">
                  <c:v>0.2</c:v>
                </c:pt>
                <c:pt idx="3">
                  <c:v>0.2</c:v>
                </c:pt>
                <c:pt idx="4">
                  <c:v>0.30000000000000004</c:v>
                </c:pt>
              </c:numCache>
            </c:numRef>
          </c:val>
        </c:ser>
        <c:ser>
          <c:idx val="4"/>
          <c:order val="4"/>
          <c:tx>
            <c:strRef>
              <c:f>'Sectoral employ by sex'!$A$10</c:f>
              <c:strCache>
                <c:ptCount val="1"/>
                <c:pt idx="0">
                  <c:v>Wholesale &amp; retail</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3.4000000000000004</c:v>
                </c:pt>
                <c:pt idx="1">
                  <c:v>3.6</c:v>
                </c:pt>
                <c:pt idx="2">
                  <c:v>4</c:v>
                </c:pt>
                <c:pt idx="3">
                  <c:v>4.7</c:v>
                </c:pt>
                <c:pt idx="4">
                  <c:v>4.9000000000000004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0.4</c:v>
                </c:pt>
                <c:pt idx="1">
                  <c:v>0.4</c:v>
                </c:pt>
                <c:pt idx="2">
                  <c:v>0.60000000000000009</c:v>
                </c:pt>
                <c:pt idx="3">
                  <c:v>0.8</c:v>
                </c:pt>
                <c:pt idx="4">
                  <c:v>0.9</c:v>
                </c:pt>
              </c:numCache>
            </c:numRef>
          </c:val>
        </c:ser>
        <c:ser>
          <c:idx val="6"/>
          <c:order val="6"/>
          <c:tx>
            <c:strRef>
              <c:f>'Sectoral employ by sex'!$A$12</c:f>
              <c:strCache>
                <c:ptCount val="1"/>
                <c:pt idx="0">
                  <c:v>Other (including hotels, gas/electricity)</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1.7000000000000002</c:v>
                </c:pt>
                <c:pt idx="1">
                  <c:v>2</c:v>
                </c:pt>
                <c:pt idx="2">
                  <c:v>3.0000000000000004</c:v>
                </c:pt>
                <c:pt idx="3">
                  <c:v>3.6000000000000005</c:v>
                </c:pt>
                <c:pt idx="4">
                  <c:v>3.7</c:v>
                </c:pt>
              </c:numCache>
            </c:numRef>
          </c:val>
        </c:ser>
        <c:dLbls>
          <c:showLegendKey val="0"/>
          <c:showVal val="0"/>
          <c:showCatName val="0"/>
          <c:showSerName val="0"/>
          <c:showPercent val="0"/>
          <c:showBubbleSize val="0"/>
        </c:dLbls>
        <c:gapWidth val="150"/>
        <c:overlap val="100"/>
        <c:axId val="99198080"/>
        <c:axId val="99199616"/>
      </c:barChart>
      <c:catAx>
        <c:axId val="99198080"/>
        <c:scaling>
          <c:orientation val="minMax"/>
        </c:scaling>
        <c:delete val="0"/>
        <c:axPos val="b"/>
        <c:numFmt formatCode="General" sourceLinked="1"/>
        <c:majorTickMark val="out"/>
        <c:minorTickMark val="none"/>
        <c:tickLblPos val="nextTo"/>
        <c:crossAx val="99199616"/>
        <c:crosses val="autoZero"/>
        <c:auto val="1"/>
        <c:lblAlgn val="ctr"/>
        <c:lblOffset val="100"/>
        <c:noMultiLvlLbl val="0"/>
      </c:catAx>
      <c:valAx>
        <c:axId val="99199616"/>
        <c:scaling>
          <c:orientation val="minMax"/>
          <c:max val="1"/>
          <c:min val="0"/>
        </c:scaling>
        <c:delete val="1"/>
        <c:axPos val="l"/>
        <c:majorGridlines/>
        <c:numFmt formatCode="0%" sourceLinked="1"/>
        <c:majorTickMark val="out"/>
        <c:minorTickMark val="none"/>
        <c:tickLblPos val="nextTo"/>
        <c:crossAx val="991980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strRef>
              <c:f>'X graphs'!$A$9:$A$12</c:f>
              <c:strCache>
                <c:ptCount val="4"/>
                <c:pt idx="0">
                  <c:v>2010 (own data)</c:v>
                </c:pt>
                <c:pt idx="1">
                  <c:v>2011 (mirror data)</c:v>
                </c:pt>
                <c:pt idx="2">
                  <c:v>2012 (mirror data)</c:v>
                </c:pt>
                <c:pt idx="3">
                  <c:v>2013 (mirror data)</c:v>
                </c:pt>
              </c:strCache>
            </c:strRef>
          </c:cat>
          <c:val>
            <c:numRef>
              <c:f>'X graphs'!$B$9:$B$12</c:f>
              <c:numCache>
                <c:formatCode>_-* #,##0_-;\-* #,##0_-;_-* "-"??_-;_-@_-</c:formatCode>
                <c:ptCount val="4"/>
                <c:pt idx="0">
                  <c:v>7625237</c:v>
                </c:pt>
                <c:pt idx="1">
                  <c:v>8464373</c:v>
                </c:pt>
                <c:pt idx="2">
                  <c:v>8512280</c:v>
                </c:pt>
                <c:pt idx="3">
                  <c:v>10705997</c:v>
                </c:pt>
              </c:numCache>
            </c:numRef>
          </c:val>
          <c:smooth val="0"/>
        </c:ser>
        <c:ser>
          <c:idx val="1"/>
          <c:order val="1"/>
          <c:tx>
            <c:strRef>
              <c:f>'X graphs'!$C$3</c:f>
              <c:strCache>
                <c:ptCount val="1"/>
                <c:pt idx="0">
                  <c:v>Imports</c:v>
                </c:pt>
              </c:strCache>
            </c:strRef>
          </c:tx>
          <c:spPr>
            <a:ln>
              <a:solidFill>
                <a:schemeClr val="accent6"/>
              </a:solidFill>
            </a:ln>
          </c:spPr>
          <c:marker>
            <c:symbol val="none"/>
          </c:marker>
          <c:cat>
            <c:strRef>
              <c:f>'X graphs'!$A$9:$A$12</c:f>
              <c:strCache>
                <c:ptCount val="4"/>
                <c:pt idx="0">
                  <c:v>2010 (own data)</c:v>
                </c:pt>
                <c:pt idx="1">
                  <c:v>2011 (mirror data)</c:v>
                </c:pt>
                <c:pt idx="2">
                  <c:v>2012 (mirror data)</c:v>
                </c:pt>
                <c:pt idx="3">
                  <c:v>2013 (mirror data)</c:v>
                </c:pt>
              </c:strCache>
            </c:strRef>
          </c:cat>
          <c:val>
            <c:numRef>
              <c:f>'X graphs'!$C$9:$C$12</c:f>
              <c:numCache>
                <c:formatCode>_-* #,##0_-;\-* #,##0_-;_-* "-"??_-;_-@_-</c:formatCode>
                <c:ptCount val="4"/>
                <c:pt idx="0">
                  <c:v>4164318</c:v>
                </c:pt>
                <c:pt idx="1">
                  <c:v>12454433</c:v>
                </c:pt>
                <c:pt idx="2">
                  <c:v>15429445</c:v>
                </c:pt>
                <c:pt idx="3">
                  <c:v>18415934</c:v>
                </c:pt>
              </c:numCache>
            </c:numRef>
          </c:val>
          <c:smooth val="0"/>
        </c:ser>
        <c:dLbls>
          <c:showLegendKey val="0"/>
          <c:showVal val="0"/>
          <c:showCatName val="0"/>
          <c:showSerName val="0"/>
          <c:showPercent val="0"/>
          <c:showBubbleSize val="0"/>
        </c:dLbls>
        <c:marker val="1"/>
        <c:smooth val="0"/>
        <c:axId val="99208192"/>
        <c:axId val="99394304"/>
      </c:lineChart>
      <c:catAx>
        <c:axId val="99208192"/>
        <c:scaling>
          <c:orientation val="minMax"/>
        </c:scaling>
        <c:delete val="0"/>
        <c:axPos val="b"/>
        <c:numFmt formatCode="General" sourceLinked="1"/>
        <c:majorTickMark val="out"/>
        <c:minorTickMark val="none"/>
        <c:tickLblPos val="nextTo"/>
        <c:crossAx val="99394304"/>
        <c:crosses val="autoZero"/>
        <c:auto val="1"/>
        <c:lblAlgn val="ctr"/>
        <c:lblOffset val="100"/>
        <c:noMultiLvlLbl val="0"/>
      </c:catAx>
      <c:valAx>
        <c:axId val="99394304"/>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99208192"/>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2010 (own data)</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4.4877982393121435E-2</c:v>
                </c:pt>
                <c:pt idx="1">
                  <c:v>0.15087138999067637</c:v>
                </c:pt>
                <c:pt idx="2">
                  <c:v>2.3036868121768301E-6</c:v>
                </c:pt>
                <c:pt idx="3">
                  <c:v>2.3410254069764565E-3</c:v>
                </c:pt>
                <c:pt idx="4">
                  <c:v>0.38837762584804769</c:v>
                </c:pt>
                <c:pt idx="5">
                  <c:v>1.2281263869748393E-4</c:v>
                </c:pt>
                <c:pt idx="6">
                  <c:v>2.5798544793277631E-2</c:v>
                </c:pt>
                <c:pt idx="7">
                  <c:v>8.8602521115189309E-4</c:v>
                </c:pt>
                <c:pt idx="8">
                  <c:v>7.7131545397375559E-2</c:v>
                </c:pt>
                <c:pt idx="9">
                  <c:v>8.1896408278535825E-4</c:v>
                </c:pt>
                <c:pt idx="10">
                  <c:v>4.5957294533086702E-2</c:v>
                </c:pt>
                <c:pt idx="11">
                  <c:v>7.212674987682818E-3</c:v>
                </c:pt>
                <c:pt idx="12">
                  <c:v>2.8194110788164858E-5</c:v>
                </c:pt>
                <c:pt idx="13">
                  <c:v>0.24619064434925009</c:v>
                </c:pt>
                <c:pt idx="14">
                  <c:v>6.9968567176343695E-3</c:v>
                </c:pt>
                <c:pt idx="15">
                  <c:v>2.4760527963106784E-4</c:v>
                </c:pt>
                <c:pt idx="16">
                  <c:v>2.7780123478526295E-4</c:v>
                </c:pt>
                <c:pt idx="17">
                  <c:v>1.2189541397741293E-3</c:v>
                </c:pt>
                <c:pt idx="18">
                  <c:v>0</c:v>
                </c:pt>
                <c:pt idx="19">
                  <c:v>4.3892983780721034E-4</c:v>
                </c:pt>
                <c:pt idx="20">
                  <c:v>2.0282536063816718E-4</c:v>
                </c:pt>
              </c:numCache>
            </c:numRef>
          </c:yVal>
          <c:bubbleSize>
            <c:numRef>
              <c:f>'X graphs'!$C$27:$C$47</c:f>
              <c:numCache>
                <c:formatCode>General</c:formatCode>
                <c:ptCount val="21"/>
                <c:pt idx="0">
                  <c:v>23</c:v>
                </c:pt>
                <c:pt idx="1">
                  <c:v>37</c:v>
                </c:pt>
                <c:pt idx="2">
                  <c:v>1</c:v>
                </c:pt>
                <c:pt idx="3">
                  <c:v>14</c:v>
                </c:pt>
                <c:pt idx="4">
                  <c:v>8</c:v>
                </c:pt>
                <c:pt idx="5">
                  <c:v>11</c:v>
                </c:pt>
                <c:pt idx="6">
                  <c:v>7</c:v>
                </c:pt>
                <c:pt idx="7">
                  <c:v>4</c:v>
                </c:pt>
                <c:pt idx="8">
                  <c:v>6</c:v>
                </c:pt>
                <c:pt idx="9">
                  <c:v>6</c:v>
                </c:pt>
                <c:pt idx="10">
                  <c:v>46</c:v>
                </c:pt>
                <c:pt idx="11">
                  <c:v>6</c:v>
                </c:pt>
                <c:pt idx="12">
                  <c:v>5</c:v>
                </c:pt>
                <c:pt idx="13">
                  <c:v>4</c:v>
                </c:pt>
                <c:pt idx="14">
                  <c:v>8</c:v>
                </c:pt>
                <c:pt idx="15">
                  <c:v>3</c:v>
                </c:pt>
                <c:pt idx="16">
                  <c:v>3</c:v>
                </c:pt>
                <c:pt idx="17">
                  <c:v>4</c:v>
                </c:pt>
                <c:pt idx="18">
                  <c:v>0</c:v>
                </c:pt>
                <c:pt idx="19">
                  <c:v>6</c:v>
                </c:pt>
                <c:pt idx="20">
                  <c:v>2</c:v>
                </c:pt>
              </c:numCache>
            </c:numRef>
          </c:bubbleSize>
          <c:bubble3D val="1"/>
        </c:ser>
        <c:dLbls>
          <c:showLegendKey val="0"/>
          <c:showVal val="1"/>
          <c:showCatName val="0"/>
          <c:showSerName val="0"/>
          <c:showPercent val="0"/>
          <c:showBubbleSize val="0"/>
        </c:dLbls>
        <c:bubbleScale val="100"/>
        <c:showNegBubbles val="0"/>
        <c:axId val="99409280"/>
        <c:axId val="99292288"/>
      </c:bubbleChart>
      <c:valAx>
        <c:axId val="9940928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292288"/>
        <c:crosses val="autoZero"/>
        <c:crossBetween val="midCat"/>
        <c:majorUnit val="1"/>
      </c:valAx>
      <c:valAx>
        <c:axId val="99292288"/>
        <c:scaling>
          <c:orientation val="minMax"/>
          <c:max val="0.4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940928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solidFill>
                  <a:sysClr val="windowText" lastClr="000000"/>
                </a:solidFill>
              </a:rPr>
              <a:t>Average 2011-13 </a:t>
            </a:r>
            <a:r>
              <a:rPr lang="en-US" sz="800" b="1">
                <a:solidFill>
                  <a:srgbClr val="FF0000"/>
                </a:solidFill>
              </a:rPr>
              <a:t>(mirror data)</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3.7571552222165336E-2</c:v>
                </c:pt>
                <c:pt idx="1">
                  <c:v>0.1362989011904566</c:v>
                </c:pt>
                <c:pt idx="2">
                  <c:v>1.8879777223691335E-4</c:v>
                </c:pt>
                <c:pt idx="3">
                  <c:v>6.4948097065993674E-3</c:v>
                </c:pt>
                <c:pt idx="4">
                  <c:v>0.42354239875073091</c:v>
                </c:pt>
                <c:pt idx="5">
                  <c:v>1.580534960530743E-3</c:v>
                </c:pt>
                <c:pt idx="6">
                  <c:v>2.4221839298923471E-2</c:v>
                </c:pt>
                <c:pt idx="7">
                  <c:v>5.9195930502169548E-4</c:v>
                </c:pt>
                <c:pt idx="8">
                  <c:v>0.14377353553534966</c:v>
                </c:pt>
                <c:pt idx="9">
                  <c:v>5.5420698281994534E-4</c:v>
                </c:pt>
                <c:pt idx="10">
                  <c:v>0.10618223928260755</c:v>
                </c:pt>
                <c:pt idx="11">
                  <c:v>1.2838935575445198E-2</c:v>
                </c:pt>
                <c:pt idx="12">
                  <c:v>3.4501427789932783E-4</c:v>
                </c:pt>
                <c:pt idx="13">
                  <c:v>8.4610294783439094E-2</c:v>
                </c:pt>
                <c:pt idx="14">
                  <c:v>8.8149141055115232E-3</c:v>
                </c:pt>
                <c:pt idx="15">
                  <c:v>4.2263435415033999E-3</c:v>
                </c:pt>
                <c:pt idx="16">
                  <c:v>3.5188491125022101E-4</c:v>
                </c:pt>
                <c:pt idx="17">
                  <c:v>6.862714041925619E-3</c:v>
                </c:pt>
                <c:pt idx="18">
                  <c:v>2.8928982530076747E-6</c:v>
                </c:pt>
                <c:pt idx="19">
                  <c:v>8.9824490755888295E-4</c:v>
                </c:pt>
                <c:pt idx="20">
                  <c:v>4.7985949771764798E-5</c:v>
                </c:pt>
              </c:numCache>
            </c:numRef>
          </c:yVal>
          <c:bubbleSize>
            <c:numRef>
              <c:f>'X graphs'!$C$51:$C$71</c:f>
              <c:numCache>
                <c:formatCode>General</c:formatCode>
                <c:ptCount val="21"/>
                <c:pt idx="0">
                  <c:v>149</c:v>
                </c:pt>
                <c:pt idx="1">
                  <c:v>167</c:v>
                </c:pt>
                <c:pt idx="2">
                  <c:v>11</c:v>
                </c:pt>
                <c:pt idx="3">
                  <c:v>103</c:v>
                </c:pt>
                <c:pt idx="4">
                  <c:v>51</c:v>
                </c:pt>
                <c:pt idx="5">
                  <c:v>220</c:v>
                </c:pt>
                <c:pt idx="6">
                  <c:v>113</c:v>
                </c:pt>
                <c:pt idx="7">
                  <c:v>39</c:v>
                </c:pt>
                <c:pt idx="8">
                  <c:v>81</c:v>
                </c:pt>
                <c:pt idx="9">
                  <c:v>56</c:v>
                </c:pt>
                <c:pt idx="10">
                  <c:v>366</c:v>
                </c:pt>
                <c:pt idx="11">
                  <c:v>37</c:v>
                </c:pt>
                <c:pt idx="12">
                  <c:v>62</c:v>
                </c:pt>
                <c:pt idx="13">
                  <c:v>21</c:v>
                </c:pt>
                <c:pt idx="14">
                  <c:v>194</c:v>
                </c:pt>
                <c:pt idx="15">
                  <c:v>371</c:v>
                </c:pt>
                <c:pt idx="16">
                  <c:v>67</c:v>
                </c:pt>
                <c:pt idx="17">
                  <c:v>85</c:v>
                </c:pt>
                <c:pt idx="18">
                  <c:v>2</c:v>
                </c:pt>
                <c:pt idx="19">
                  <c:v>65</c:v>
                </c:pt>
                <c:pt idx="20">
                  <c:v>6</c:v>
                </c:pt>
              </c:numCache>
            </c:numRef>
          </c:bubbleSize>
          <c:bubble3D val="1"/>
        </c:ser>
        <c:dLbls>
          <c:showLegendKey val="0"/>
          <c:showVal val="1"/>
          <c:showCatName val="0"/>
          <c:showSerName val="0"/>
          <c:showPercent val="0"/>
          <c:showBubbleSize val="0"/>
        </c:dLbls>
        <c:bubbleScale val="100"/>
        <c:showNegBubbles val="0"/>
        <c:axId val="99312384"/>
        <c:axId val="99319808"/>
      </c:bubbleChart>
      <c:valAx>
        <c:axId val="9931238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319808"/>
        <c:crosses val="autoZero"/>
        <c:crossBetween val="midCat"/>
        <c:majorUnit val="1"/>
      </c:valAx>
      <c:valAx>
        <c:axId val="99319808"/>
        <c:scaling>
          <c:orientation val="minMax"/>
          <c:max val="0.45"/>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931238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-0.73064301709560997</c:v>
                </c:pt>
                <c:pt idx="1">
                  <c:v>-1.4572488800219774</c:v>
                </c:pt>
                <c:pt idx="2">
                  <c:v>1.8649408542473652E-2</c:v>
                </c:pt>
                <c:pt idx="3">
                  <c:v>0.41537842996229102</c:v>
                </c:pt>
                <c:pt idx="4">
                  <c:v>3.5164772902683215</c:v>
                </c:pt>
                <c:pt idx="5">
                  <c:v>0.14577223218332591</c:v>
                </c:pt>
                <c:pt idx="6">
                  <c:v>-0.15767054943541595</c:v>
                </c:pt>
                <c:pt idx="7">
                  <c:v>-2.940659061301976E-2</c:v>
                </c:pt>
                <c:pt idx="8">
                  <c:v>6.6641990137974103</c:v>
                </c:pt>
                <c:pt idx="9">
                  <c:v>-2.6475709996541291E-2</c:v>
                </c:pt>
                <c:pt idx="10">
                  <c:v>6.0224944749520848</c:v>
                </c:pt>
                <c:pt idx="11">
                  <c:v>0.56262605877623795</c:v>
                </c:pt>
                <c:pt idx="12">
                  <c:v>3.1682016711116298E-2</c:v>
                </c:pt>
                <c:pt idx="13">
                  <c:v>-16.158034956581098</c:v>
                </c:pt>
                <c:pt idx="14">
                  <c:v>0.18180573878771536</c:v>
                </c:pt>
                <c:pt idx="15">
                  <c:v>0.39787382618723321</c:v>
                </c:pt>
                <c:pt idx="16">
                  <c:v>7.4083676464958064E-3</c:v>
                </c:pt>
                <c:pt idx="17">
                  <c:v>0.56437599021514895</c:v>
                </c:pt>
                <c:pt idx="18">
                  <c:v>2.8928982530076748E-4</c:v>
                </c:pt>
                <c:pt idx="19">
                  <c:v>4.5931506975167263E-2</c:v>
                </c:pt>
                <c:pt idx="20">
                  <c:v>-1.5483941086640238E-2</c:v>
                </c:pt>
              </c:numCache>
            </c:numRef>
          </c:val>
        </c:ser>
        <c:dLbls>
          <c:showLegendKey val="0"/>
          <c:showVal val="0"/>
          <c:showCatName val="0"/>
          <c:showSerName val="0"/>
          <c:showPercent val="0"/>
          <c:showBubbleSize val="0"/>
        </c:dLbls>
        <c:gapWidth val="49"/>
        <c:axId val="99326976"/>
        <c:axId val="99030144"/>
      </c:barChart>
      <c:catAx>
        <c:axId val="99326976"/>
        <c:scaling>
          <c:orientation val="minMax"/>
        </c:scaling>
        <c:delete val="0"/>
        <c:axPos val="b"/>
        <c:title>
          <c:tx>
            <c:rich>
              <a:bodyPr/>
              <a:lstStyle/>
              <a:p>
                <a:pPr>
                  <a:defRPr b="0"/>
                </a:pPr>
                <a:r>
                  <a:rPr lang="en-US" b="0"/>
                  <a:t>HS Section</a:t>
                </a:r>
              </a:p>
            </c:rich>
          </c:tx>
          <c:overlay val="0"/>
        </c:title>
        <c:majorTickMark val="out"/>
        <c:minorTickMark val="none"/>
        <c:tickLblPos val="low"/>
        <c:crossAx val="99030144"/>
        <c:crosses val="autoZero"/>
        <c:auto val="1"/>
        <c:lblAlgn val="ctr"/>
        <c:lblOffset val="100"/>
        <c:noMultiLvlLbl val="0"/>
      </c:catAx>
      <c:valAx>
        <c:axId val="99030144"/>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99326976"/>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2010 (own data)</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1.3110284399157792E-2</c:v>
                </c:pt>
                <c:pt idx="1">
                  <c:v>1.7402734873284462E-2</c:v>
                </c:pt>
                <c:pt idx="2">
                  <c:v>4.1917129650975146E-2</c:v>
                </c:pt>
                <c:pt idx="3">
                  <c:v>1.1223527287257749E-2</c:v>
                </c:pt>
                <c:pt idx="4">
                  <c:v>0.25027375628198628</c:v>
                </c:pt>
                <c:pt idx="5">
                  <c:v>6.8650871409470238E-2</c:v>
                </c:pt>
                <c:pt idx="6">
                  <c:v>6.7400237447554065E-2</c:v>
                </c:pt>
                <c:pt idx="7">
                  <c:v>4.7460694361196919E-3</c:v>
                </c:pt>
                <c:pt idx="8">
                  <c:v>5.0236679115373386E-4</c:v>
                </c:pt>
                <c:pt idx="9">
                  <c:v>1.4606578603593219E-2</c:v>
                </c:pt>
                <c:pt idx="10">
                  <c:v>7.5163149138580229E-2</c:v>
                </c:pt>
                <c:pt idx="11">
                  <c:v>2.0027433261100096E-3</c:v>
                </c:pt>
                <c:pt idx="12">
                  <c:v>1.0466375044185225E-2</c:v>
                </c:pt>
                <c:pt idx="13">
                  <c:v>1.2006854473081593E-6</c:v>
                </c:pt>
                <c:pt idx="14">
                  <c:v>0.1350540596615796</c:v>
                </c:pt>
                <c:pt idx="15">
                  <c:v>0.18570569566754269</c:v>
                </c:pt>
                <c:pt idx="16">
                  <c:v>8.7027362180521622E-2</c:v>
                </c:pt>
                <c:pt idx="17">
                  <c:v>6.173924570058555E-3</c:v>
                </c:pt>
                <c:pt idx="18">
                  <c:v>0</c:v>
                </c:pt>
                <c:pt idx="19">
                  <c:v>8.5697723116172561E-3</c:v>
                </c:pt>
                <c:pt idx="20">
                  <c:v>2.1612338051546867E-6</c:v>
                </c:pt>
              </c:numCache>
            </c:numRef>
          </c:yVal>
          <c:bubbleSize>
            <c:numRef>
              <c:f>'M graphs'!$C$28:$C$48</c:f>
              <c:numCache>
                <c:formatCode>#,##0</c:formatCode>
                <c:ptCount val="21"/>
                <c:pt idx="0">
                  <c:v>42</c:v>
                </c:pt>
                <c:pt idx="1">
                  <c:v>73</c:v>
                </c:pt>
                <c:pt idx="2">
                  <c:v>18</c:v>
                </c:pt>
                <c:pt idx="3">
                  <c:v>100</c:v>
                </c:pt>
                <c:pt idx="4">
                  <c:v>46</c:v>
                </c:pt>
                <c:pt idx="5">
                  <c:v>380</c:v>
                </c:pt>
                <c:pt idx="6">
                  <c:v>154</c:v>
                </c:pt>
                <c:pt idx="7">
                  <c:v>32</c:v>
                </c:pt>
                <c:pt idx="8">
                  <c:v>28</c:v>
                </c:pt>
                <c:pt idx="9">
                  <c:v>95</c:v>
                </c:pt>
                <c:pt idx="10">
                  <c:v>263</c:v>
                </c:pt>
                <c:pt idx="11">
                  <c:v>31</c:v>
                </c:pt>
                <c:pt idx="12">
                  <c:v>95</c:v>
                </c:pt>
                <c:pt idx="13">
                  <c:v>2</c:v>
                </c:pt>
                <c:pt idx="14">
                  <c:v>347</c:v>
                </c:pt>
                <c:pt idx="15">
                  <c:v>600</c:v>
                </c:pt>
                <c:pt idx="16">
                  <c:v>87</c:v>
                </c:pt>
                <c:pt idx="17">
                  <c:v>131</c:v>
                </c:pt>
                <c:pt idx="18">
                  <c:v>0</c:v>
                </c:pt>
                <c:pt idx="19">
                  <c:v>92</c:v>
                </c:pt>
                <c:pt idx="20">
                  <c:v>3</c:v>
                </c:pt>
              </c:numCache>
            </c:numRef>
          </c:bubbleSize>
          <c:bubble3D val="1"/>
        </c:ser>
        <c:dLbls>
          <c:showLegendKey val="0"/>
          <c:showVal val="1"/>
          <c:showCatName val="0"/>
          <c:showSerName val="0"/>
          <c:showPercent val="0"/>
          <c:showBubbleSize val="0"/>
        </c:dLbls>
        <c:bubbleScale val="100"/>
        <c:showNegBubbles val="0"/>
        <c:axId val="99071104"/>
        <c:axId val="99078528"/>
      </c:bubbleChart>
      <c:valAx>
        <c:axId val="99071104"/>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078528"/>
        <c:crosses val="autoZero"/>
        <c:crossBetween val="midCat"/>
        <c:majorUnit val="1"/>
      </c:valAx>
      <c:valAx>
        <c:axId val="99078528"/>
        <c:scaling>
          <c:orientation val="minMax"/>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9071104"/>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2011-13 </a:t>
            </a:r>
            <a:r>
              <a:rPr lang="en-US" sz="800" b="1">
                <a:solidFill>
                  <a:srgbClr val="FF0000"/>
                </a:solidFill>
              </a:rPr>
              <a:t>(mirror</a:t>
            </a:r>
            <a:r>
              <a:rPr lang="en-US" sz="800" b="1" baseline="0">
                <a:solidFill>
                  <a:srgbClr val="FF0000"/>
                </a:solidFill>
              </a:rPr>
              <a:t> data)</a:t>
            </a:r>
            <a:endParaRPr lang="en-US" sz="800" b="1">
              <a:solidFill>
                <a:srgbClr val="FF0000"/>
              </a:solidFill>
            </a:endParaRP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9.865527509876305E-3</c:v>
                </c:pt>
                <c:pt idx="1">
                  <c:v>1.05988610430658E-2</c:v>
                </c:pt>
                <c:pt idx="2">
                  <c:v>3.5361433562132893E-2</c:v>
                </c:pt>
                <c:pt idx="3">
                  <c:v>6.8590285156743286E-2</c:v>
                </c:pt>
                <c:pt idx="4">
                  <c:v>9.5328698435496045E-2</c:v>
                </c:pt>
                <c:pt idx="5">
                  <c:v>6.6172711217858601E-2</c:v>
                </c:pt>
                <c:pt idx="6">
                  <c:v>4.7591689831928907E-2</c:v>
                </c:pt>
                <c:pt idx="7">
                  <c:v>3.9006525515260736E-3</c:v>
                </c:pt>
                <c:pt idx="8">
                  <c:v>1.4442379531537006E-3</c:v>
                </c:pt>
                <c:pt idx="9">
                  <c:v>1.2632382917348412E-2</c:v>
                </c:pt>
                <c:pt idx="10">
                  <c:v>8.5440238524975731E-2</c:v>
                </c:pt>
                <c:pt idx="11">
                  <c:v>7.5359632230815139E-3</c:v>
                </c:pt>
                <c:pt idx="12">
                  <c:v>1.1863534798047061E-2</c:v>
                </c:pt>
                <c:pt idx="13">
                  <c:v>1.1391866958465417E-2</c:v>
                </c:pt>
                <c:pt idx="14">
                  <c:v>0.13089265047850707</c:v>
                </c:pt>
                <c:pt idx="15">
                  <c:v>0.21852383042951445</c:v>
                </c:pt>
                <c:pt idx="16">
                  <c:v>0.14252692691629912</c:v>
                </c:pt>
                <c:pt idx="17">
                  <c:v>1.7546984561089496E-2</c:v>
                </c:pt>
                <c:pt idx="18">
                  <c:v>1.5186150808149395E-5</c:v>
                </c:pt>
                <c:pt idx="19">
                  <c:v>2.2764893461821589E-2</c:v>
                </c:pt>
                <c:pt idx="20">
                  <c:v>1.1444318260320078E-5</c:v>
                </c:pt>
              </c:numCache>
            </c:numRef>
          </c:yVal>
          <c:bubbleSize>
            <c:numRef>
              <c:f>'M graphs'!$C$52:$C$72</c:f>
              <c:numCache>
                <c:formatCode>General</c:formatCode>
                <c:ptCount val="21"/>
                <c:pt idx="0">
                  <c:v>168</c:v>
                </c:pt>
                <c:pt idx="1">
                  <c:v>244</c:v>
                </c:pt>
                <c:pt idx="2">
                  <c:v>35</c:v>
                </c:pt>
                <c:pt idx="3">
                  <c:v>191</c:v>
                </c:pt>
                <c:pt idx="4">
                  <c:v>107</c:v>
                </c:pt>
                <c:pt idx="5">
                  <c:v>622</c:v>
                </c:pt>
                <c:pt idx="6">
                  <c:v>201</c:v>
                </c:pt>
                <c:pt idx="7">
                  <c:v>50</c:v>
                </c:pt>
                <c:pt idx="8">
                  <c:v>66</c:v>
                </c:pt>
                <c:pt idx="9">
                  <c:v>127</c:v>
                </c:pt>
                <c:pt idx="10">
                  <c:v>693</c:v>
                </c:pt>
                <c:pt idx="11">
                  <c:v>49</c:v>
                </c:pt>
                <c:pt idx="12">
                  <c:v>139</c:v>
                </c:pt>
                <c:pt idx="13">
                  <c:v>28</c:v>
                </c:pt>
                <c:pt idx="14">
                  <c:v>497</c:v>
                </c:pt>
                <c:pt idx="15">
                  <c:v>764</c:v>
                </c:pt>
                <c:pt idx="16">
                  <c:v>125</c:v>
                </c:pt>
                <c:pt idx="17">
                  <c:v>205</c:v>
                </c:pt>
                <c:pt idx="18">
                  <c:v>10</c:v>
                </c:pt>
                <c:pt idx="19">
                  <c:v>117</c:v>
                </c:pt>
                <c:pt idx="20">
                  <c:v>4</c:v>
                </c:pt>
              </c:numCache>
            </c:numRef>
          </c:bubbleSize>
          <c:bubble3D val="1"/>
        </c:ser>
        <c:dLbls>
          <c:showLegendKey val="0"/>
          <c:showVal val="1"/>
          <c:showCatName val="0"/>
          <c:showSerName val="0"/>
          <c:showPercent val="0"/>
          <c:showBubbleSize val="0"/>
        </c:dLbls>
        <c:bubbleScale val="100"/>
        <c:showNegBubbles val="0"/>
        <c:axId val="99705216"/>
        <c:axId val="99708288"/>
      </c:bubbleChart>
      <c:valAx>
        <c:axId val="9970521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9708288"/>
        <c:crosses val="autoZero"/>
        <c:crossBetween val="midCat"/>
        <c:majorUnit val="1"/>
      </c:valAx>
      <c:valAx>
        <c:axId val="99708288"/>
        <c:scaling>
          <c:orientation val="minMax"/>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970521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-7.5882292821827377</c:v>
                </c:pt>
              </c:numCache>
            </c:numRef>
          </c:xVal>
          <c:yVal>
            <c:numRef>
              <c:f>'Rel. prod. cf employment'!$C$23</c:f>
              <c:numCache>
                <c:formatCode>#,##0.0_ ;\-#,##0.0\ </c:formatCode>
                <c:ptCount val="1"/>
                <c:pt idx="0">
                  <c:v>0.88448515999203914</c:v>
                </c:pt>
              </c:numCache>
            </c:numRef>
          </c:yVal>
          <c:bubbleSize>
            <c:numRef>
              <c:f>'Rel. prod. cf employment'!$E$23</c:f>
              <c:numCache>
                <c:formatCode>#,##0_ ;\-#,##0\ </c:formatCode>
                <c:ptCount val="1"/>
                <c:pt idx="0">
                  <c:v>14302</c:v>
                </c:pt>
              </c:numCache>
            </c:numRef>
          </c:bubbleSize>
          <c:bubble3D val="1"/>
        </c:ser>
        <c:ser>
          <c:idx val="1"/>
          <c:order val="1"/>
          <c:tx>
            <c:strRef>
              <c:f>'Rel. prod. cf employment'!$A$24</c:f>
              <c:strCache>
                <c:ptCount val="1"/>
                <c:pt idx="0">
                  <c:v>Mining</c:v>
                </c:pt>
              </c:strCache>
            </c:strRef>
          </c:tx>
          <c:spPr>
            <a:solidFill>
              <a:srgbClr val="000000"/>
            </a:solidFill>
            <a:ln w="25400">
              <a:noFill/>
            </a:ln>
          </c:spPr>
          <c:invertIfNegative val="0"/>
          <c:xVal>
            <c:numRef>
              <c:f>'Rel. prod. cf employment'!$B$24</c:f>
              <c:numCache>
                <c:formatCode>#,##0.0_ ;\-#,##0.0\ </c:formatCode>
                <c:ptCount val="1"/>
                <c:pt idx="0">
                  <c:v>6.3998301740720187E-2</c:v>
                </c:pt>
              </c:numCache>
            </c:numRef>
          </c:xVal>
          <c:yVal>
            <c:numRef>
              <c:f>'Rel. prod. cf employment'!$C$24</c:f>
              <c:numCache>
                <c:formatCode>#,##0.0_ ;\-#,##0.0\ </c:formatCode>
                <c:ptCount val="1"/>
                <c:pt idx="0">
                  <c:v>1.2598886018580435</c:v>
                </c:pt>
              </c:numCache>
            </c:numRef>
          </c:yVal>
          <c:bubbleSize>
            <c:numRef>
              <c:f>'Rel. prod. cf employment'!$E$24</c:f>
              <c:numCache>
                <c:formatCode>#,##0_ ;\-#,##0\ </c:formatCode>
                <c:ptCount val="1"/>
                <c:pt idx="0">
                  <c:v>205</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1.111513908711105</c:v>
                </c:pt>
              </c:numCache>
            </c:numRef>
          </c:xVal>
          <c:yVal>
            <c:numRef>
              <c:f>'Rel. prod. cf employment'!$C$25</c:f>
              <c:numCache>
                <c:formatCode>#,##0.0_ ;\-#,##0.0\ </c:formatCode>
                <c:ptCount val="1"/>
                <c:pt idx="0">
                  <c:v>1.315858669780771</c:v>
                </c:pt>
              </c:numCache>
            </c:numRef>
          </c:yVal>
          <c:bubbleSize>
            <c:numRef>
              <c:f>'Rel. prod. cf employment'!$E$25</c:f>
              <c:numCache>
                <c:formatCode>#,##0_ ;\-#,##0\ </c:formatCode>
                <c:ptCount val="1"/>
                <c:pt idx="0">
                  <c:v>2636</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1.2542111136677936</c:v>
                </c:pt>
              </c:numCache>
            </c:numRef>
          </c:xVal>
          <c:yVal>
            <c:numRef>
              <c:f>'Rel. prod. cf employment'!$C$26</c:f>
              <c:numCache>
                <c:formatCode>#,##0.0_ ;\-#,##0.0\ </c:formatCode>
                <c:ptCount val="1"/>
                <c:pt idx="0">
                  <c:v>1.029375434170501</c:v>
                </c:pt>
              </c:numCache>
            </c:numRef>
          </c:yVal>
          <c:bubbleSize>
            <c:numRef>
              <c:f>'Rel. prod. cf employment'!$E$26</c:f>
              <c:numCache>
                <c:formatCode>#,##0_ ;\-#,##0\ </c:formatCode>
                <c:ptCount val="1"/>
                <c:pt idx="0">
                  <c:v>989</c:v>
                </c:pt>
              </c:numCache>
            </c:numRef>
          </c:bubbleSize>
          <c:bubble3D val="1"/>
        </c:ser>
        <c:ser>
          <c:idx val="4"/>
          <c:order val="4"/>
          <c:tx>
            <c:strRef>
              <c:f>'Rel. prod. cf employment'!$A$27</c:f>
              <c:strCache>
                <c:ptCount val="1"/>
                <c:pt idx="0">
                  <c:v>Wholesale &amp; retail</c:v>
                </c:pt>
              </c:strCache>
            </c:strRef>
          </c:tx>
          <c:spPr>
            <a:solidFill>
              <a:srgbClr val="6666FF"/>
            </a:solidFill>
            <a:ln w="25400">
              <a:noFill/>
            </a:ln>
          </c:spPr>
          <c:invertIfNegative val="0"/>
          <c:xVal>
            <c:numRef>
              <c:f>'Rel. prod. cf employment'!$B$27</c:f>
              <c:numCache>
                <c:formatCode>#,##0.0_ ;\-#,##0.0\ </c:formatCode>
                <c:ptCount val="1"/>
                <c:pt idx="0">
                  <c:v>2.4087153313242595</c:v>
                </c:pt>
              </c:numCache>
            </c:numRef>
          </c:xVal>
          <c:yVal>
            <c:numRef>
              <c:f>'Rel. prod. cf employment'!$C$27</c:f>
              <c:numCache>
                <c:formatCode>#,##0.0_ ;\-#,##0.0\ </c:formatCode>
                <c:ptCount val="1"/>
                <c:pt idx="0">
                  <c:v>1.0250529973287672</c:v>
                </c:pt>
              </c:numCache>
            </c:numRef>
          </c:yVal>
          <c:bubbleSize>
            <c:numRef>
              <c:f>'Rel. prod. cf employment'!$E$27</c:f>
              <c:numCache>
                <c:formatCode>#,##0_ ;\-#,##0\ </c:formatCode>
                <c:ptCount val="1"/>
                <c:pt idx="0">
                  <c:v>5738</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1.2464276729946704</c:v>
                </c:pt>
              </c:numCache>
            </c:numRef>
          </c:xVal>
          <c:yVal>
            <c:numRef>
              <c:f>'Rel. prod. cf employment'!$C$28</c:f>
              <c:numCache>
                <c:formatCode>#,##0.0_ ;\-#,##0.0\ </c:formatCode>
                <c:ptCount val="1"/>
                <c:pt idx="0">
                  <c:v>2.7509943659702532</c:v>
                </c:pt>
              </c:numCache>
            </c:numRef>
          </c:yVal>
          <c:bubbleSize>
            <c:numRef>
              <c:f>'Rel. prod. cf employment'!$E$28</c:f>
              <c:numCache>
                <c:formatCode>#,##0_ ;\-#,##0\ </c:formatCode>
                <c:ptCount val="1"/>
                <c:pt idx="0">
                  <c:v>1132</c:v>
                </c:pt>
              </c:numCache>
            </c:numRef>
          </c:bubbleSize>
          <c:bubble3D val="1"/>
        </c:ser>
        <c:ser>
          <c:idx val="6"/>
          <c:order val="6"/>
          <c:tx>
            <c:strRef>
              <c:f>'Rel. prod. cf employment'!$A$29</c:f>
              <c:strCache>
                <c:ptCount val="1"/>
                <c:pt idx="0">
                  <c:v>Other (incl. hotels/restaurants, utilities)</c:v>
                </c:pt>
              </c:strCache>
            </c:strRef>
          </c:tx>
          <c:spPr>
            <a:solidFill>
              <a:srgbClr val="FF00FF"/>
            </a:solidFill>
            <a:ln w="25400">
              <a:noFill/>
            </a:ln>
          </c:spPr>
          <c:invertIfNegative val="0"/>
          <c:xVal>
            <c:numRef>
              <c:f>'Rel. prod. cf employment'!$B$29</c:f>
              <c:numCache>
                <c:formatCode>#,##0.0_ ;\-#,##0.0\ </c:formatCode>
                <c:ptCount val="1"/>
                <c:pt idx="0">
                  <c:v>1.5033629537441762</c:v>
                </c:pt>
              </c:numCache>
            </c:numRef>
          </c:xVal>
          <c:yVal>
            <c:numRef>
              <c:f>'Rel. prod. cf employment'!$C$29</c:f>
              <c:numCache>
                <c:formatCode>#,##0.0_ ;\-#,##0.0\ </c:formatCode>
                <c:ptCount val="1"/>
                <c:pt idx="0">
                  <c:v>0.33649335858835605</c:v>
                </c:pt>
              </c:numCache>
            </c:numRef>
          </c:yVal>
          <c:bubbleSize>
            <c:numRef>
              <c:f>'Rel. prod. cf employment'!$E$29</c:f>
              <c:numCache>
                <c:formatCode>#,##0_ ;\-#,##0\ </c:formatCode>
                <c:ptCount val="1"/>
                <c:pt idx="0">
                  <c:v>2093</c:v>
                </c:pt>
              </c:numCache>
            </c:numRef>
          </c:bubbleSize>
          <c:bubble3D val="1"/>
        </c:ser>
        <c:dLbls>
          <c:showLegendKey val="0"/>
          <c:showVal val="0"/>
          <c:showCatName val="0"/>
          <c:showSerName val="0"/>
          <c:showPercent val="0"/>
          <c:showBubbleSize val="0"/>
        </c:dLbls>
        <c:bubbleScale val="100"/>
        <c:showNegBubbles val="0"/>
        <c:axId val="89806720"/>
        <c:axId val="89812992"/>
      </c:bubbleChart>
      <c:valAx>
        <c:axId val="89806720"/>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89812992"/>
        <c:crosses val="autoZero"/>
        <c:crossBetween val="midCat"/>
      </c:valAx>
      <c:valAx>
        <c:axId val="89812992"/>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89806720"/>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-0.32447568892814865</c:v>
                </c:pt>
                <c:pt idx="1">
                  <c:v>-0.68038738302186619</c:v>
                </c:pt>
                <c:pt idx="2">
                  <c:v>-0.65556960888422533</c:v>
                </c:pt>
                <c:pt idx="3">
                  <c:v>5.7366757869485534</c:v>
                </c:pt>
                <c:pt idx="4">
                  <c:v>-15.494505784649023</c:v>
                </c:pt>
                <c:pt idx="5">
                  <c:v>-0.24781601916116364</c:v>
                </c:pt>
                <c:pt idx="6">
                  <c:v>-1.9808547615625158</c:v>
                </c:pt>
                <c:pt idx="7">
                  <c:v>-8.454168845936183E-2</c:v>
                </c:pt>
                <c:pt idx="8">
                  <c:v>9.4187116199996673E-2</c:v>
                </c:pt>
                <c:pt idx="9">
                  <c:v>-0.19741956862448073</c:v>
                </c:pt>
                <c:pt idx="10">
                  <c:v>1.0277089386395502</c:v>
                </c:pt>
                <c:pt idx="11">
                  <c:v>0.55332198969715052</c:v>
                </c:pt>
                <c:pt idx="12">
                  <c:v>0.13971597538618361</c:v>
                </c:pt>
                <c:pt idx="13">
                  <c:v>1.1390666273018109</c:v>
                </c:pt>
                <c:pt idx="14">
                  <c:v>-0.41614091830725342</c:v>
                </c:pt>
                <c:pt idx="15">
                  <c:v>3.2818134761971764</c:v>
                </c:pt>
                <c:pt idx="16">
                  <c:v>5.5499564735777493</c:v>
                </c:pt>
                <c:pt idx="17">
                  <c:v>1.137305999103094</c:v>
                </c:pt>
                <c:pt idx="18">
                  <c:v>1.5186150808149394E-3</c:v>
                </c:pt>
                <c:pt idx="19">
                  <c:v>1.4195121150204333</c:v>
                </c:pt>
                <c:pt idx="20">
                  <c:v>9.2830844551653911E-4</c:v>
                </c:pt>
              </c:numCache>
            </c:numRef>
          </c:val>
        </c:ser>
        <c:dLbls>
          <c:showLegendKey val="0"/>
          <c:showVal val="0"/>
          <c:showCatName val="0"/>
          <c:showSerName val="0"/>
          <c:showPercent val="0"/>
          <c:showBubbleSize val="0"/>
        </c:dLbls>
        <c:gapWidth val="49"/>
        <c:axId val="99728000"/>
        <c:axId val="99742464"/>
      </c:barChart>
      <c:catAx>
        <c:axId val="99728000"/>
        <c:scaling>
          <c:orientation val="minMax"/>
        </c:scaling>
        <c:delete val="0"/>
        <c:axPos val="b"/>
        <c:title>
          <c:tx>
            <c:rich>
              <a:bodyPr/>
              <a:lstStyle/>
              <a:p>
                <a:pPr>
                  <a:defRPr b="0"/>
                </a:pPr>
                <a:r>
                  <a:rPr lang="en-US" b="0"/>
                  <a:t>HS Section</a:t>
                </a:r>
              </a:p>
            </c:rich>
          </c:tx>
          <c:overlay val="0"/>
        </c:title>
        <c:majorTickMark val="out"/>
        <c:minorTickMark val="none"/>
        <c:tickLblPos val="low"/>
        <c:crossAx val="99742464"/>
        <c:crosses val="autoZero"/>
        <c:auto val="1"/>
        <c:lblAlgn val="ctr"/>
        <c:lblOffset val="100"/>
        <c:noMultiLvlLbl val="0"/>
      </c:catAx>
      <c:valAx>
        <c:axId val="99742464"/>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9972800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1.34833</c:v>
                </c:pt>
                <c:pt idx="1">
                  <c:v>1.2961400000000001</c:v>
                </c:pt>
                <c:pt idx="2">
                  <c:v>0.89252299999999996</c:v>
                </c:pt>
                <c:pt idx="3">
                  <c:v>0.64391600000000004</c:v>
                </c:pt>
                <c:pt idx="4">
                  <c:v>8.6891999999999997E-2</c:v>
                </c:pt>
                <c:pt idx="5">
                  <c:v>8.7756000000000001E-2</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3.2656999999999998</c:v>
                </c:pt>
                <c:pt idx="1">
                  <c:v>2.6937799999999998</c:v>
                </c:pt>
                <c:pt idx="2">
                  <c:v>2.8661699999999999</c:v>
                </c:pt>
                <c:pt idx="3">
                  <c:v>3.07463</c:v>
                </c:pt>
                <c:pt idx="4">
                  <c:v>3.8559700000000001</c:v>
                </c:pt>
                <c:pt idx="5">
                  <c:v>3.9043600000000001</c:v>
                </c:pt>
              </c:numCache>
            </c:numRef>
          </c:val>
        </c:ser>
        <c:dLbls>
          <c:showLegendKey val="0"/>
          <c:showVal val="0"/>
          <c:showCatName val="0"/>
          <c:showSerName val="0"/>
          <c:showPercent val="0"/>
          <c:showBubbleSize val="0"/>
        </c:dLbls>
        <c:gapWidth val="150"/>
        <c:overlap val="100"/>
        <c:axId val="99455744"/>
        <c:axId val="99457280"/>
      </c:barChart>
      <c:catAx>
        <c:axId val="99455744"/>
        <c:scaling>
          <c:orientation val="minMax"/>
        </c:scaling>
        <c:delete val="0"/>
        <c:axPos val="b"/>
        <c:numFmt formatCode="General" sourceLinked="1"/>
        <c:majorTickMark val="out"/>
        <c:minorTickMark val="none"/>
        <c:tickLblPos val="nextTo"/>
        <c:crossAx val="99457280"/>
        <c:crosses val="autoZero"/>
        <c:auto val="1"/>
        <c:lblAlgn val="ctr"/>
        <c:lblOffset val="100"/>
        <c:noMultiLvlLbl val="0"/>
      </c:catAx>
      <c:valAx>
        <c:axId val="99457280"/>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994557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graphs'!$A$75:$D$75</c:f>
              <c:strCache>
                <c:ptCount val="1"/>
                <c:pt idx="0">
                  <c:v>No. HS 6-digit subheads exported (left axis)</c:v>
                </c:pt>
              </c:strCache>
            </c:strRef>
          </c:tx>
          <c:spPr>
            <a:ln>
              <a:solidFill>
                <a:schemeClr val="accent1"/>
              </a:solidFill>
            </a:ln>
          </c:spPr>
          <c:marker>
            <c:symbol val="none"/>
          </c:marker>
          <c:cat>
            <c:strRef>
              <c:f>'X graphs'!$J$73:$M$74</c:f>
              <c:strCache>
                <c:ptCount val="4"/>
                <c:pt idx="0">
                  <c:v>2010</c:v>
                </c:pt>
                <c:pt idx="1">
                  <c:v>2011</c:v>
                </c:pt>
                <c:pt idx="2">
                  <c:v>2012</c:v>
                </c:pt>
                <c:pt idx="3">
                  <c:v>2013</c:v>
                </c:pt>
              </c:strCache>
            </c:strRef>
          </c:cat>
          <c:val>
            <c:numRef>
              <c:f>'X graphs'!$J$75:$M$75</c:f>
              <c:numCache>
                <c:formatCode>_-* #,##0_-;\-* #,##0_-;_-* "-"??_-;_-@_-</c:formatCode>
                <c:ptCount val="4"/>
                <c:pt idx="0">
                  <c:v>198</c:v>
                </c:pt>
                <c:pt idx="1">
                  <c:v>1411</c:v>
                </c:pt>
                <c:pt idx="2">
                  <c:v>1537</c:v>
                </c:pt>
                <c:pt idx="3">
                  <c:v>1284</c:v>
                </c:pt>
              </c:numCache>
            </c:numRef>
          </c:val>
          <c:smooth val="0"/>
        </c:ser>
        <c:dLbls>
          <c:showLegendKey val="0"/>
          <c:showVal val="0"/>
          <c:showCatName val="0"/>
          <c:showSerName val="0"/>
          <c:showPercent val="0"/>
          <c:showBubbleSize val="0"/>
        </c:dLbls>
        <c:marker val="1"/>
        <c:smooth val="0"/>
        <c:axId val="99561472"/>
        <c:axId val="99563392"/>
      </c:lineChart>
      <c:lineChart>
        <c:grouping val="standard"/>
        <c:varyColors val="0"/>
        <c:ser>
          <c:idx val="0"/>
          <c:order val="1"/>
          <c:tx>
            <c:strRef>
              <c:f>'X graphs'!$A$76:$D$76</c:f>
              <c:strCache>
                <c:ptCount val="1"/>
                <c:pt idx="0">
                  <c:v>No. of markets (right axis)</c:v>
                </c:pt>
              </c:strCache>
            </c:strRef>
          </c:tx>
          <c:spPr>
            <a:ln>
              <a:noFill/>
            </a:ln>
          </c:spPr>
          <c:marker>
            <c:symbol val="circle"/>
            <c:size val="5"/>
            <c:spPr>
              <a:solidFill>
                <a:schemeClr val="accent6"/>
              </a:solidFill>
              <a:ln>
                <a:solidFill>
                  <a:schemeClr val="accent6"/>
                </a:solidFill>
              </a:ln>
            </c:spPr>
          </c:marker>
          <c:val>
            <c:numRef>
              <c:f>'X graphs'!$J$76:$M$76</c:f>
              <c:numCache>
                <c:formatCode>General</c:formatCode>
                <c:ptCount val="4"/>
                <c:pt idx="0">
                  <c:v>73</c:v>
                </c:pt>
              </c:numCache>
            </c:numRef>
          </c:val>
          <c:smooth val="0"/>
        </c:ser>
        <c:dLbls>
          <c:showLegendKey val="0"/>
          <c:showVal val="0"/>
          <c:showCatName val="0"/>
          <c:showSerName val="0"/>
          <c:showPercent val="0"/>
          <c:showBubbleSize val="0"/>
        </c:dLbls>
        <c:marker val="1"/>
        <c:smooth val="0"/>
        <c:axId val="99579008"/>
        <c:axId val="99564928"/>
      </c:lineChart>
      <c:catAx>
        <c:axId val="99561472"/>
        <c:scaling>
          <c:orientation val="minMax"/>
        </c:scaling>
        <c:delete val="0"/>
        <c:axPos val="b"/>
        <c:majorTickMark val="out"/>
        <c:minorTickMark val="none"/>
        <c:tickLblPos val="nextTo"/>
        <c:crossAx val="99563392"/>
        <c:crosses val="autoZero"/>
        <c:auto val="1"/>
        <c:lblAlgn val="ctr"/>
        <c:lblOffset val="100"/>
        <c:noMultiLvlLbl val="0"/>
      </c:catAx>
      <c:valAx>
        <c:axId val="99563392"/>
        <c:scaling>
          <c:orientation val="minMax"/>
        </c:scaling>
        <c:delete val="0"/>
        <c:axPos val="l"/>
        <c:majorGridlines/>
        <c:numFmt formatCode="_-* #,##0_-;\-* #,##0_-;_-* &quot;-&quot;??_-;_-@_-" sourceLinked="1"/>
        <c:majorTickMark val="out"/>
        <c:minorTickMark val="none"/>
        <c:tickLblPos val="nextTo"/>
        <c:crossAx val="99561472"/>
        <c:crosses val="autoZero"/>
        <c:crossBetween val="between"/>
      </c:valAx>
      <c:valAx>
        <c:axId val="99564928"/>
        <c:scaling>
          <c:orientation val="minMax"/>
        </c:scaling>
        <c:delete val="0"/>
        <c:axPos val="r"/>
        <c:numFmt formatCode="General" sourceLinked="1"/>
        <c:majorTickMark val="out"/>
        <c:minorTickMark val="none"/>
        <c:tickLblPos val="nextTo"/>
        <c:crossAx val="99579008"/>
        <c:crosses val="max"/>
        <c:crossBetween val="between"/>
      </c:valAx>
      <c:catAx>
        <c:axId val="99579008"/>
        <c:scaling>
          <c:orientation val="minMax"/>
        </c:scaling>
        <c:delete val="1"/>
        <c:axPos val="b"/>
        <c:majorTickMark val="out"/>
        <c:minorTickMark val="none"/>
        <c:tickLblPos val="nextTo"/>
        <c:crossAx val="9956492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graphs'!$J$74:$M$75</c:f>
              <c:strCache>
                <c:ptCount val="4"/>
                <c:pt idx="0">
                  <c:v>2010</c:v>
                </c:pt>
                <c:pt idx="1">
                  <c:v>2011</c:v>
                </c:pt>
                <c:pt idx="2">
                  <c:v>2012</c:v>
                </c:pt>
                <c:pt idx="3">
                  <c:v>2013</c:v>
                </c:pt>
              </c:strCache>
            </c:strRef>
          </c:cat>
          <c:val>
            <c:numRef>
              <c:f>'M graphs'!$J$76:$M$76</c:f>
              <c:numCache>
                <c:formatCode>_-* #,##0_-;\-* #,##0_-;_-* "-"??_-;_-@_-</c:formatCode>
                <c:ptCount val="4"/>
                <c:pt idx="0">
                  <c:v>2619</c:v>
                </c:pt>
                <c:pt idx="1">
                  <c:v>3761</c:v>
                </c:pt>
                <c:pt idx="2">
                  <c:v>3937</c:v>
                </c:pt>
                <c:pt idx="3">
                  <c:v>4018</c:v>
                </c:pt>
              </c:numCache>
            </c:numRef>
          </c:val>
          <c:smooth val="0"/>
        </c:ser>
        <c:dLbls>
          <c:showLegendKey val="0"/>
          <c:showVal val="0"/>
          <c:showCatName val="0"/>
          <c:showSerName val="0"/>
          <c:showPercent val="0"/>
          <c:showBubbleSize val="0"/>
        </c:dLbls>
        <c:marker val="1"/>
        <c:smooth val="0"/>
        <c:axId val="99600640"/>
        <c:axId val="99606912"/>
      </c:lineChart>
      <c:lineChart>
        <c:grouping val="standard"/>
        <c:varyColors val="0"/>
        <c:ser>
          <c:idx val="0"/>
          <c:order val="1"/>
          <c:tx>
            <c:strRef>
              <c:f>'M graphs'!$D$77</c:f>
              <c:strCache>
                <c:ptCount val="1"/>
                <c:pt idx="0">
                  <c:v>No. of supplying countries (right axis)</c:v>
                </c:pt>
              </c:strCache>
            </c:strRef>
          </c:tx>
          <c:spPr>
            <a:ln>
              <a:noFill/>
            </a:ln>
          </c:spPr>
          <c:marker>
            <c:symbol val="circle"/>
            <c:size val="5"/>
            <c:spPr>
              <a:solidFill>
                <a:schemeClr val="accent6"/>
              </a:solidFill>
              <a:ln>
                <a:solidFill>
                  <a:schemeClr val="accent6"/>
                </a:solidFill>
              </a:ln>
            </c:spPr>
          </c:marker>
          <c:val>
            <c:numRef>
              <c:f>'M graphs'!$J$77:$M$77</c:f>
              <c:numCache>
                <c:formatCode>General</c:formatCode>
                <c:ptCount val="4"/>
                <c:pt idx="0">
                  <c:v>116</c:v>
                </c:pt>
              </c:numCache>
            </c:numRef>
          </c:val>
          <c:smooth val="0"/>
        </c:ser>
        <c:dLbls>
          <c:showLegendKey val="0"/>
          <c:showVal val="0"/>
          <c:showCatName val="0"/>
          <c:showSerName val="0"/>
          <c:showPercent val="0"/>
          <c:showBubbleSize val="0"/>
        </c:dLbls>
        <c:marker val="1"/>
        <c:smooth val="0"/>
        <c:axId val="99609984"/>
        <c:axId val="99608448"/>
      </c:lineChart>
      <c:catAx>
        <c:axId val="99600640"/>
        <c:scaling>
          <c:orientation val="minMax"/>
        </c:scaling>
        <c:delete val="0"/>
        <c:axPos val="b"/>
        <c:majorTickMark val="out"/>
        <c:minorTickMark val="none"/>
        <c:tickLblPos val="nextTo"/>
        <c:crossAx val="99606912"/>
        <c:crosses val="autoZero"/>
        <c:auto val="1"/>
        <c:lblAlgn val="ctr"/>
        <c:lblOffset val="100"/>
        <c:noMultiLvlLbl val="0"/>
      </c:catAx>
      <c:valAx>
        <c:axId val="99606912"/>
        <c:scaling>
          <c:orientation val="minMax"/>
        </c:scaling>
        <c:delete val="0"/>
        <c:axPos val="l"/>
        <c:majorGridlines/>
        <c:numFmt formatCode="_-* #,##0_-;\-* #,##0_-;_-* &quot;-&quot;??_-;_-@_-" sourceLinked="1"/>
        <c:majorTickMark val="out"/>
        <c:minorTickMark val="none"/>
        <c:tickLblPos val="nextTo"/>
        <c:crossAx val="99600640"/>
        <c:crosses val="autoZero"/>
        <c:crossBetween val="between"/>
      </c:valAx>
      <c:valAx>
        <c:axId val="99608448"/>
        <c:scaling>
          <c:orientation val="minMax"/>
        </c:scaling>
        <c:delete val="0"/>
        <c:axPos val="r"/>
        <c:numFmt formatCode="General" sourceLinked="1"/>
        <c:majorTickMark val="out"/>
        <c:minorTickMark val="none"/>
        <c:tickLblPos val="nextTo"/>
        <c:crossAx val="99609984"/>
        <c:crosses val="max"/>
        <c:crossBetween val="between"/>
      </c:valAx>
      <c:catAx>
        <c:axId val="99609984"/>
        <c:scaling>
          <c:orientation val="minMax"/>
        </c:scaling>
        <c:delete val="1"/>
        <c:axPos val="b"/>
        <c:majorTickMark val="out"/>
        <c:minorTickMark val="none"/>
        <c:tickLblPos val="nextTo"/>
        <c:crossAx val="9960844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figures(A-N).xlsx]Burma(Myanmar)'!$B$3</c:f>
              <c:strCache>
                <c:ptCount val="1"/>
                <c:pt idx="0">
                  <c:v>1996-2011</c:v>
                </c:pt>
              </c:strCache>
            </c:strRef>
          </c:tx>
          <c:invertIfNegative val="0"/>
          <c:cat>
            <c:strRef>
              <c:f>'[SET figures(A-N).xlsx]Burma(Myanmar)'!$A$4:$A$6</c:f>
              <c:strCache>
                <c:ptCount val="3"/>
                <c:pt idx="0">
                  <c:v>DVA</c:v>
                </c:pt>
                <c:pt idx="1">
                  <c:v>FVA</c:v>
                </c:pt>
                <c:pt idx="2">
                  <c:v>Exports</c:v>
                </c:pt>
              </c:strCache>
            </c:strRef>
          </c:cat>
          <c:val>
            <c:numRef>
              <c:f>'[SET figures(A-N).xlsx]Burma(Myanmar)'!$B$4:$B$6</c:f>
              <c:numCache>
                <c:formatCode>0.0%</c:formatCode>
                <c:ptCount val="3"/>
                <c:pt idx="0">
                  <c:v>9.4160550827490752E-2</c:v>
                </c:pt>
                <c:pt idx="1">
                  <c:v>-1.794529837003711E-2</c:v>
                </c:pt>
                <c:pt idx="2">
                  <c:v>8.9055290293381217E-2</c:v>
                </c:pt>
              </c:numCache>
            </c:numRef>
          </c:val>
        </c:ser>
        <c:ser>
          <c:idx val="1"/>
          <c:order val="1"/>
          <c:tx>
            <c:strRef>
              <c:f>'[SET figures(A-N).xlsx]Burma(Myanmar)'!$C$3</c:f>
              <c:strCache>
                <c:ptCount val="1"/>
                <c:pt idx="0">
                  <c:v>2006-2011</c:v>
                </c:pt>
              </c:strCache>
            </c:strRef>
          </c:tx>
          <c:spPr>
            <a:solidFill>
              <a:schemeClr val="accent6"/>
            </a:solidFill>
          </c:spPr>
          <c:invertIfNegative val="0"/>
          <c:cat>
            <c:strRef>
              <c:f>'[SET figures(A-N).xlsx]Burma(Myanmar)'!$A$4:$A$6</c:f>
              <c:strCache>
                <c:ptCount val="3"/>
                <c:pt idx="0">
                  <c:v>DVA</c:v>
                </c:pt>
                <c:pt idx="1">
                  <c:v>FVA</c:v>
                </c:pt>
                <c:pt idx="2">
                  <c:v>Exports</c:v>
                </c:pt>
              </c:strCache>
            </c:strRef>
          </c:cat>
          <c:val>
            <c:numRef>
              <c:f>'[SET figures(A-N).xlsx]Burma(Myanmar)'!$C$4:$C$6</c:f>
              <c:numCache>
                <c:formatCode>0.0%</c:formatCode>
                <c:ptCount val="3"/>
                <c:pt idx="0">
                  <c:v>0.21019667502304373</c:v>
                </c:pt>
                <c:pt idx="1">
                  <c:v>5.5515512881881834E-2</c:v>
                </c:pt>
                <c:pt idx="2">
                  <c:v>0.20568442251745478</c:v>
                </c:pt>
              </c:numCache>
            </c:numRef>
          </c:val>
        </c:ser>
        <c:dLbls>
          <c:showLegendKey val="0"/>
          <c:showVal val="0"/>
          <c:showCatName val="0"/>
          <c:showSerName val="0"/>
          <c:showPercent val="0"/>
          <c:showBubbleSize val="0"/>
        </c:dLbls>
        <c:gapWidth val="150"/>
        <c:axId val="99635584"/>
        <c:axId val="99637120"/>
      </c:barChart>
      <c:catAx>
        <c:axId val="99635584"/>
        <c:scaling>
          <c:orientation val="minMax"/>
        </c:scaling>
        <c:delete val="0"/>
        <c:axPos val="b"/>
        <c:majorTickMark val="out"/>
        <c:minorTickMark val="none"/>
        <c:tickLblPos val="low"/>
        <c:crossAx val="99637120"/>
        <c:crosses val="autoZero"/>
        <c:auto val="1"/>
        <c:lblAlgn val="ctr"/>
        <c:lblOffset val="100"/>
        <c:noMultiLvlLbl val="0"/>
      </c:catAx>
      <c:valAx>
        <c:axId val="99637120"/>
        <c:scaling>
          <c:orientation val="minMax"/>
        </c:scaling>
        <c:delete val="0"/>
        <c:axPos val="l"/>
        <c:majorGridlines/>
        <c:numFmt formatCode="0%" sourceLinked="0"/>
        <c:majorTickMark val="out"/>
        <c:minorTickMark val="none"/>
        <c:tickLblPos val="nextTo"/>
        <c:crossAx val="9963558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graphs'!$A$30</c:f>
              <c:strCache>
                <c:ptCount val="1"/>
                <c:pt idx="0">
                  <c:v>DVA</c:v>
                </c:pt>
              </c:strCache>
            </c:strRef>
          </c:tx>
          <c:invertIfNegative val="0"/>
          <c:cat>
            <c:numRef>
              <c:f>'DVA-FVA graphs'!$B$29:$E$29</c:f>
              <c:numCache>
                <c:formatCode>General</c:formatCode>
                <c:ptCount val="4"/>
                <c:pt idx="0">
                  <c:v>1996</c:v>
                </c:pt>
                <c:pt idx="1">
                  <c:v>2000</c:v>
                </c:pt>
                <c:pt idx="2">
                  <c:v>2006</c:v>
                </c:pt>
                <c:pt idx="3">
                  <c:v>2011</c:v>
                </c:pt>
              </c:numCache>
            </c:numRef>
          </c:cat>
          <c:val>
            <c:numRef>
              <c:f>'DVA-FVA graphs'!$B$30:$E$30</c:f>
              <c:numCache>
                <c:formatCode>0.0%</c:formatCode>
                <c:ptCount val="4"/>
                <c:pt idx="0">
                  <c:v>0.91430863238883298</c:v>
                </c:pt>
                <c:pt idx="1">
                  <c:v>0.86265043193342739</c:v>
                </c:pt>
                <c:pt idx="2">
                  <c:v>0.96460280499289897</c:v>
                </c:pt>
                <c:pt idx="3">
                  <c:v>0.98181582174940496</c:v>
                </c:pt>
              </c:numCache>
            </c:numRef>
          </c:val>
        </c:ser>
        <c:ser>
          <c:idx val="1"/>
          <c:order val="1"/>
          <c:tx>
            <c:strRef>
              <c:f>'DVA-FVA graphs'!$A$31</c:f>
              <c:strCache>
                <c:ptCount val="1"/>
                <c:pt idx="0">
                  <c:v>FVA</c:v>
                </c:pt>
              </c:strCache>
            </c:strRef>
          </c:tx>
          <c:spPr>
            <a:solidFill>
              <a:schemeClr val="accent6"/>
            </a:solidFill>
          </c:spPr>
          <c:invertIfNegative val="0"/>
          <c:cat>
            <c:numRef>
              <c:f>'DVA-FVA graphs'!$B$29:$E$29</c:f>
              <c:numCache>
                <c:formatCode>General</c:formatCode>
                <c:ptCount val="4"/>
                <c:pt idx="0">
                  <c:v>1996</c:v>
                </c:pt>
                <c:pt idx="1">
                  <c:v>2000</c:v>
                </c:pt>
                <c:pt idx="2">
                  <c:v>2006</c:v>
                </c:pt>
                <c:pt idx="3">
                  <c:v>2011</c:v>
                </c:pt>
              </c:numCache>
            </c:numRef>
          </c:cat>
          <c:val>
            <c:numRef>
              <c:f>'DVA-FVA graphs'!$B$31:$E$31</c:f>
              <c:numCache>
                <c:formatCode>0.0%</c:formatCode>
                <c:ptCount val="4"/>
                <c:pt idx="0">
                  <c:v>8.569136761116701E-2</c:v>
                </c:pt>
                <c:pt idx="1">
                  <c:v>0.13734956806657264</c:v>
                </c:pt>
                <c:pt idx="2">
                  <c:v>3.5397195007101041E-2</c:v>
                </c:pt>
                <c:pt idx="3">
                  <c:v>1.8184178250595137E-2</c:v>
                </c:pt>
              </c:numCache>
            </c:numRef>
          </c:val>
        </c:ser>
        <c:dLbls>
          <c:showLegendKey val="0"/>
          <c:showVal val="0"/>
          <c:showCatName val="0"/>
          <c:showSerName val="0"/>
          <c:showPercent val="0"/>
          <c:showBubbleSize val="0"/>
        </c:dLbls>
        <c:gapWidth val="150"/>
        <c:axId val="99654656"/>
        <c:axId val="99664640"/>
      </c:barChart>
      <c:catAx>
        <c:axId val="99654656"/>
        <c:scaling>
          <c:orientation val="minMax"/>
        </c:scaling>
        <c:delete val="0"/>
        <c:axPos val="b"/>
        <c:numFmt formatCode="General" sourceLinked="1"/>
        <c:majorTickMark val="out"/>
        <c:minorTickMark val="none"/>
        <c:tickLblPos val="nextTo"/>
        <c:crossAx val="99664640"/>
        <c:crosses val="autoZero"/>
        <c:auto val="1"/>
        <c:lblAlgn val="ctr"/>
        <c:lblOffset val="100"/>
        <c:noMultiLvlLbl val="0"/>
      </c:catAx>
      <c:valAx>
        <c:axId val="99664640"/>
        <c:scaling>
          <c:orientation val="minMax"/>
          <c:max val="1"/>
        </c:scaling>
        <c:delete val="0"/>
        <c:axPos val="l"/>
        <c:majorGridlines/>
        <c:numFmt formatCode="0%" sourceLinked="0"/>
        <c:majorTickMark val="out"/>
        <c:minorTickMark val="none"/>
        <c:tickLblPos val="nextTo"/>
        <c:crossAx val="996546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figures(A-N).xlsx]Burma(Myanmar)'!$A$27</c:f>
              <c:strCache>
                <c:ptCount val="1"/>
                <c:pt idx="0">
                  <c:v>DVA</c:v>
                </c:pt>
              </c:strCache>
            </c:strRef>
          </c:tx>
          <c:invertIfNegative val="0"/>
          <c:cat>
            <c:numRef>
              <c:f>'[SET figures(A-N).xlsx]Burma(Myanmar)'!$B$26:$E$26</c:f>
              <c:numCache>
                <c:formatCode>General</c:formatCode>
                <c:ptCount val="4"/>
                <c:pt idx="0">
                  <c:v>1996</c:v>
                </c:pt>
                <c:pt idx="1">
                  <c:v>2000</c:v>
                </c:pt>
                <c:pt idx="2">
                  <c:v>2006</c:v>
                </c:pt>
                <c:pt idx="3">
                  <c:v>2011</c:v>
                </c:pt>
              </c:numCache>
            </c:numRef>
          </c:cat>
          <c:val>
            <c:numRef>
              <c:f>'[SET figures(A-N).xlsx]Burma(Myanmar)'!$B$27:$E$27</c:f>
              <c:numCache>
                <c:formatCode>_-* #,##0_-;\-* #,##0_-;_-* "-"??_-;_-@_-</c:formatCode>
                <c:ptCount val="4"/>
                <c:pt idx="0">
                  <c:v>1229692.1818772</c:v>
                </c:pt>
                <c:pt idx="1">
                  <c:v>1716204.1045284299</c:v>
                </c:pt>
                <c:pt idx="2">
                  <c:v>1826974.2368590201</c:v>
                </c:pt>
                <c:pt idx="3">
                  <c:v>4742553.0776045304</c:v>
                </c:pt>
              </c:numCache>
            </c:numRef>
          </c:val>
        </c:ser>
        <c:ser>
          <c:idx val="1"/>
          <c:order val="1"/>
          <c:tx>
            <c:strRef>
              <c:f>'[SET figures(A-N).xlsx]Burma(Myanmar)'!$A$28</c:f>
              <c:strCache>
                <c:ptCount val="1"/>
                <c:pt idx="0">
                  <c:v>FVA</c:v>
                </c:pt>
              </c:strCache>
            </c:strRef>
          </c:tx>
          <c:spPr>
            <a:solidFill>
              <a:schemeClr val="accent6"/>
            </a:solidFill>
          </c:spPr>
          <c:invertIfNegative val="0"/>
          <c:cat>
            <c:numRef>
              <c:f>'[SET figures(A-N).xlsx]Burma(Myanmar)'!$B$26:$E$26</c:f>
              <c:numCache>
                <c:formatCode>General</c:formatCode>
                <c:ptCount val="4"/>
                <c:pt idx="0">
                  <c:v>1996</c:v>
                </c:pt>
                <c:pt idx="1">
                  <c:v>2000</c:v>
                </c:pt>
                <c:pt idx="2">
                  <c:v>2006</c:v>
                </c:pt>
                <c:pt idx="3">
                  <c:v>2011</c:v>
                </c:pt>
              </c:numCache>
            </c:numRef>
          </c:cat>
          <c:val>
            <c:numRef>
              <c:f>'[SET figures(A-N).xlsx]Burma(Myanmar)'!$B$28:$E$28</c:f>
              <c:numCache>
                <c:formatCode>_-* #,##0_-;\-* #,##0_-;_-* "-"??_-;_-@_-</c:formatCode>
                <c:ptCount val="4"/>
                <c:pt idx="0">
                  <c:v>115249.92882382</c:v>
                </c:pt>
                <c:pt idx="1">
                  <c:v>273250.76733891899</c:v>
                </c:pt>
                <c:pt idx="2">
                  <c:v>67042.893717818297</c:v>
                </c:pt>
                <c:pt idx="3">
                  <c:v>87836.668156770407</c:v>
                </c:pt>
              </c:numCache>
            </c:numRef>
          </c:val>
        </c:ser>
        <c:dLbls>
          <c:showLegendKey val="0"/>
          <c:showVal val="0"/>
          <c:showCatName val="0"/>
          <c:showSerName val="0"/>
          <c:showPercent val="0"/>
          <c:showBubbleSize val="0"/>
        </c:dLbls>
        <c:gapWidth val="150"/>
        <c:axId val="93209344"/>
        <c:axId val="93210880"/>
      </c:barChart>
      <c:catAx>
        <c:axId val="93209344"/>
        <c:scaling>
          <c:orientation val="minMax"/>
        </c:scaling>
        <c:delete val="0"/>
        <c:axPos val="b"/>
        <c:numFmt formatCode="General" sourceLinked="1"/>
        <c:majorTickMark val="out"/>
        <c:minorTickMark val="none"/>
        <c:tickLblPos val="nextTo"/>
        <c:crossAx val="93210880"/>
        <c:crosses val="autoZero"/>
        <c:auto val="1"/>
        <c:lblAlgn val="ctr"/>
        <c:lblOffset val="100"/>
        <c:noMultiLvlLbl val="0"/>
      </c:catAx>
      <c:valAx>
        <c:axId val="93210880"/>
        <c:scaling>
          <c:orientation val="minMax"/>
        </c:scaling>
        <c:delete val="0"/>
        <c:axPos val="l"/>
        <c:majorGridlines/>
        <c:numFmt formatCode="_-* #,##0_-;\-* #,##0_-;_-* &quot;-&quot;??_-;_-@_-" sourceLinked="1"/>
        <c:majorTickMark val="out"/>
        <c:minorTickMark val="none"/>
        <c:tickLblPos val="nextTo"/>
        <c:crossAx val="93209344"/>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figures(A-N).xlsx]Burma(Myanmar)'!$B$34</c:f>
              <c:strCache>
                <c:ptCount val="1"/>
                <c:pt idx="0">
                  <c:v>1996-2011</c:v>
                </c:pt>
              </c:strCache>
            </c:strRef>
          </c:tx>
          <c:invertIfNegative val="0"/>
          <c:cat>
            <c:strRef>
              <c:f>'[SET figures(A-N).xlsx]Burma(Myanmar)'!$A$35:$A$49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figures(A-N).xlsx]Burma(Myanmar)'!$B$35:$B$49</c:f>
              <c:numCache>
                <c:formatCode>0.0%</c:formatCode>
                <c:ptCount val="15"/>
                <c:pt idx="0">
                  <c:v>0.10608705898170867</c:v>
                </c:pt>
                <c:pt idx="1">
                  <c:v>8.0210751768515109E-2</c:v>
                </c:pt>
                <c:pt idx="2">
                  <c:v>3.2651605720120047E-2</c:v>
                </c:pt>
                <c:pt idx="3">
                  <c:v>8.2850345533732606E-2</c:v>
                </c:pt>
                <c:pt idx="4">
                  <c:v>7.7098173126919578E-2</c:v>
                </c:pt>
                <c:pt idx="5">
                  <c:v>6.8282842973986346E-2</c:v>
                </c:pt>
                <c:pt idx="6">
                  <c:v>0.10513466790827697</c:v>
                </c:pt>
                <c:pt idx="7">
                  <c:v>0.10159896764138354</c:v>
                </c:pt>
                <c:pt idx="8">
                  <c:v>6.7248754373024022E-2</c:v>
                </c:pt>
                <c:pt idx="9">
                  <c:v>7.9880007921313334E-2</c:v>
                </c:pt>
                <c:pt idx="10">
                  <c:v>6.658187107487068E-2</c:v>
                </c:pt>
                <c:pt idx="11">
                  <c:v>5.7721279888677923E-2</c:v>
                </c:pt>
                <c:pt idx="12">
                  <c:v>8.0102632196309642E-2</c:v>
                </c:pt>
                <c:pt idx="13">
                  <c:v>0.10845418356933201</c:v>
                </c:pt>
                <c:pt idx="14">
                  <c:v>8.1411266287189976E-2</c:v>
                </c:pt>
              </c:numCache>
            </c:numRef>
          </c:val>
        </c:ser>
        <c:ser>
          <c:idx val="1"/>
          <c:order val="1"/>
          <c:tx>
            <c:strRef>
              <c:f>'[SET figures(A-N).xlsx]Burma(Myanmar)'!$C$34</c:f>
              <c:strCache>
                <c:ptCount val="1"/>
                <c:pt idx="0">
                  <c:v>2006-2011</c:v>
                </c:pt>
              </c:strCache>
            </c:strRef>
          </c:tx>
          <c:spPr>
            <a:solidFill>
              <a:schemeClr val="accent6"/>
            </a:solidFill>
          </c:spPr>
          <c:invertIfNegative val="0"/>
          <c:cat>
            <c:strRef>
              <c:f>'[SET figures(A-N).xlsx]Burma(Myanmar)'!$A$35:$A$49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figures(A-N).xlsx]Burma(Myanmar)'!$C$35:$C$49</c:f>
              <c:numCache>
                <c:formatCode>0.0%</c:formatCode>
                <c:ptCount val="15"/>
                <c:pt idx="0">
                  <c:v>0.25711213268780475</c:v>
                </c:pt>
                <c:pt idx="1">
                  <c:v>0.13293401213186806</c:v>
                </c:pt>
                <c:pt idx="2">
                  <c:v>0.11327937848682512</c:v>
                </c:pt>
                <c:pt idx="3">
                  <c:v>0.215807545787424</c:v>
                </c:pt>
                <c:pt idx="4">
                  <c:v>0.19974374033042097</c:v>
                </c:pt>
                <c:pt idx="5">
                  <c:v>0.18467243843381209</c:v>
                </c:pt>
                <c:pt idx="6">
                  <c:v>0.2213683332074794</c:v>
                </c:pt>
                <c:pt idx="7">
                  <c:v>0.20451530096768211</c:v>
                </c:pt>
                <c:pt idx="8">
                  <c:v>0.15764904284574643</c:v>
                </c:pt>
                <c:pt idx="9">
                  <c:v>0.19769949077136206</c:v>
                </c:pt>
                <c:pt idx="10">
                  <c:v>0.17491696443009164</c:v>
                </c:pt>
                <c:pt idx="11">
                  <c:v>0.1337367083786607</c:v>
                </c:pt>
                <c:pt idx="12">
                  <c:v>0.1916988674165212</c:v>
                </c:pt>
                <c:pt idx="13">
                  <c:v>0.19397603509329775</c:v>
                </c:pt>
                <c:pt idx="14">
                  <c:v>0.18711270289976656</c:v>
                </c:pt>
              </c:numCache>
            </c:numRef>
          </c:val>
        </c:ser>
        <c:dLbls>
          <c:showLegendKey val="0"/>
          <c:showVal val="0"/>
          <c:showCatName val="0"/>
          <c:showSerName val="0"/>
          <c:showPercent val="0"/>
          <c:showBubbleSize val="0"/>
        </c:dLbls>
        <c:gapWidth val="150"/>
        <c:axId val="99220096"/>
        <c:axId val="99352960"/>
      </c:barChart>
      <c:catAx>
        <c:axId val="99220096"/>
        <c:scaling>
          <c:orientation val="minMax"/>
        </c:scaling>
        <c:delete val="0"/>
        <c:axPos val="b"/>
        <c:majorTickMark val="out"/>
        <c:minorTickMark val="none"/>
        <c:tickLblPos val="nextTo"/>
        <c:spPr>
          <a:ln>
            <a:noFill/>
          </a:ln>
        </c:spPr>
        <c:txPr>
          <a:bodyPr rot="-5400000" vert="horz"/>
          <a:lstStyle/>
          <a:p>
            <a:pPr>
              <a:defRPr sz="700"/>
            </a:pPr>
            <a:endParaRPr lang="en-US"/>
          </a:p>
        </c:txPr>
        <c:crossAx val="99352960"/>
        <c:crosses val="autoZero"/>
        <c:auto val="1"/>
        <c:lblAlgn val="ctr"/>
        <c:lblOffset val="100"/>
        <c:noMultiLvlLbl val="0"/>
      </c:catAx>
      <c:valAx>
        <c:axId val="99352960"/>
        <c:scaling>
          <c:orientation val="minMax"/>
        </c:scaling>
        <c:delete val="0"/>
        <c:axPos val="l"/>
        <c:majorGridlines/>
        <c:numFmt formatCode="0%" sourceLinked="0"/>
        <c:majorTickMark val="out"/>
        <c:minorTickMark val="none"/>
        <c:tickLblPos val="nextTo"/>
        <c:crossAx val="99220096"/>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graphs'!$B$102</c:f>
              <c:strCache>
                <c:ptCount val="1"/>
                <c:pt idx="0">
                  <c:v>2000</c:v>
                </c:pt>
              </c:strCache>
            </c:strRef>
          </c:tx>
          <c:invertIfNegative val="0"/>
          <c:cat>
            <c:strRef>
              <c:f>'DVA-FVA graphs'!$A$103:$A$117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graphs'!$B$103:$B$117</c:f>
              <c:numCache>
                <c:formatCode>0.0%</c:formatCode>
                <c:ptCount val="15"/>
                <c:pt idx="0">
                  <c:v>0.98156420427562352</c:v>
                </c:pt>
                <c:pt idx="1">
                  <c:v>0.9847332356710552</c:v>
                </c:pt>
                <c:pt idx="2">
                  <c:v>0.96269305746447331</c:v>
                </c:pt>
                <c:pt idx="3">
                  <c:v>0.91062726361995605</c:v>
                </c:pt>
                <c:pt idx="4">
                  <c:v>0.98165818074860345</c:v>
                </c:pt>
                <c:pt idx="5">
                  <c:v>0.98374244804896183</c:v>
                </c:pt>
                <c:pt idx="6">
                  <c:v>0.98077305259485537</c:v>
                </c:pt>
                <c:pt idx="7">
                  <c:v>0.717333498244212</c:v>
                </c:pt>
                <c:pt idx="8">
                  <c:v>0.9760309189787153</c:v>
                </c:pt>
                <c:pt idx="9">
                  <c:v>0.98201686817183576</c:v>
                </c:pt>
                <c:pt idx="10">
                  <c:v>0.98681063166909055</c:v>
                </c:pt>
                <c:pt idx="11">
                  <c:v>0.97743817626445018</c:v>
                </c:pt>
                <c:pt idx="12">
                  <c:v>0.9858703728098368</c:v>
                </c:pt>
                <c:pt idx="13">
                  <c:v>0.98081479051546838</c:v>
                </c:pt>
                <c:pt idx="14">
                  <c:v>0.98256616090711657</c:v>
                </c:pt>
              </c:numCache>
            </c:numRef>
          </c:val>
        </c:ser>
        <c:ser>
          <c:idx val="1"/>
          <c:order val="1"/>
          <c:tx>
            <c:strRef>
              <c:f>'DVA-FVA graphs'!$C$102</c:f>
              <c:strCache>
                <c:ptCount val="1"/>
                <c:pt idx="0">
                  <c:v>2011</c:v>
                </c:pt>
              </c:strCache>
            </c:strRef>
          </c:tx>
          <c:spPr>
            <a:solidFill>
              <a:schemeClr val="accent6"/>
            </a:solidFill>
          </c:spPr>
          <c:invertIfNegative val="0"/>
          <c:cat>
            <c:strRef>
              <c:f>'DVA-FVA graphs'!$A$103:$A$117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graphs'!$C$103:$C$117</c:f>
              <c:numCache>
                <c:formatCode>0.0%</c:formatCode>
                <c:ptCount val="15"/>
                <c:pt idx="0">
                  <c:v>0.98195597333373619</c:v>
                </c:pt>
                <c:pt idx="1">
                  <c:v>0.98969477660569261</c:v>
                </c:pt>
                <c:pt idx="2">
                  <c:v>0.98872907578790969</c:v>
                </c:pt>
                <c:pt idx="3">
                  <c:v>0.97109063649141392</c:v>
                </c:pt>
                <c:pt idx="4">
                  <c:v>0.98285397638276317</c:v>
                </c:pt>
                <c:pt idx="5">
                  <c:v>0.98845628448613732</c:v>
                </c:pt>
                <c:pt idx="6">
                  <c:v>0.98825706583084461</c:v>
                </c:pt>
                <c:pt idx="7">
                  <c:v>0.98020587614560961</c:v>
                </c:pt>
                <c:pt idx="8">
                  <c:v>0.98475757411169706</c:v>
                </c:pt>
                <c:pt idx="9">
                  <c:v>0.98852168527411344</c:v>
                </c:pt>
                <c:pt idx="10">
                  <c:v>0.99246984100933033</c:v>
                </c:pt>
                <c:pt idx="11">
                  <c:v>0.98666859003995444</c:v>
                </c:pt>
                <c:pt idx="12">
                  <c:v>0.98989855209076538</c:v>
                </c:pt>
                <c:pt idx="13">
                  <c:v>0.98629622861523025</c:v>
                </c:pt>
                <c:pt idx="14">
                  <c:v>0.9865289598647663</c:v>
                </c:pt>
              </c:numCache>
            </c:numRef>
          </c:val>
        </c:ser>
        <c:dLbls>
          <c:showLegendKey val="0"/>
          <c:showVal val="0"/>
          <c:showCatName val="0"/>
          <c:showSerName val="0"/>
          <c:showPercent val="0"/>
          <c:showBubbleSize val="0"/>
        </c:dLbls>
        <c:gapWidth val="150"/>
        <c:axId val="99746944"/>
        <c:axId val="99748480"/>
      </c:barChart>
      <c:catAx>
        <c:axId val="99746944"/>
        <c:scaling>
          <c:orientation val="minMax"/>
        </c:scaling>
        <c:delete val="0"/>
        <c:axPos val="b"/>
        <c:majorTickMark val="out"/>
        <c:minorTickMark val="none"/>
        <c:tickLblPos val="nextTo"/>
        <c:txPr>
          <a:bodyPr rot="-5400000" vert="horz"/>
          <a:lstStyle/>
          <a:p>
            <a:pPr>
              <a:defRPr sz="700"/>
            </a:pPr>
            <a:endParaRPr lang="en-US"/>
          </a:p>
        </c:txPr>
        <c:crossAx val="99748480"/>
        <c:crosses val="autoZero"/>
        <c:auto val="1"/>
        <c:lblAlgn val="ctr"/>
        <c:lblOffset val="100"/>
        <c:noMultiLvlLbl val="0"/>
      </c:catAx>
      <c:valAx>
        <c:axId val="99748480"/>
        <c:scaling>
          <c:orientation val="minMax"/>
          <c:max val="1"/>
        </c:scaling>
        <c:delete val="0"/>
        <c:axPos val="l"/>
        <c:majorGridlines/>
        <c:numFmt formatCode="0%" sourceLinked="0"/>
        <c:majorTickMark val="out"/>
        <c:minorTickMark val="none"/>
        <c:tickLblPos val="nextTo"/>
        <c:crossAx val="997469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1"/>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'Burma(Myanmar)'!$R$4:$R$19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'Burma(Myanmar)'!$S$4:$S$19</c:f>
              <c:numCache>
                <c:formatCode>0.0%</c:formatCode>
                <c:ptCount val="16"/>
                <c:pt idx="0">
                  <c:v>0.22568852390737112</c:v>
                </c:pt>
                <c:pt idx="1">
                  <c:v>1.7425104474999762E-2</c:v>
                </c:pt>
                <c:pt idx="2">
                  <c:v>7.0720617360226935E-3</c:v>
                </c:pt>
                <c:pt idx="3">
                  <c:v>3.871689691614077E-3</c:v>
                </c:pt>
                <c:pt idx="4">
                  <c:v>2.8740702699628581E-2</c:v>
                </c:pt>
                <c:pt idx="5">
                  <c:v>1.2822383324944764E-2</c:v>
                </c:pt>
                <c:pt idx="6">
                  <c:v>1.0368696385028322E-2</c:v>
                </c:pt>
                <c:pt idx="7">
                  <c:v>0.36840846401352501</c:v>
                </c:pt>
                <c:pt idx="8">
                  <c:v>1.4315846532475475E-2</c:v>
                </c:pt>
                <c:pt idx="9">
                  <c:v>5.8019302049255603E-3</c:v>
                </c:pt>
                <c:pt idx="10">
                  <c:v>8.9015063305244706E-3</c:v>
                </c:pt>
                <c:pt idx="11">
                  <c:v>0.14621579887919975</c:v>
                </c:pt>
                <c:pt idx="12">
                  <c:v>3.9320844426182826E-2</c:v>
                </c:pt>
                <c:pt idx="13">
                  <c:v>1.2948893437889434E-2</c:v>
                </c:pt>
                <c:pt idx="14">
                  <c:v>6.3440648984394374E-2</c:v>
                </c:pt>
                <c:pt idx="15">
                  <c:v>3.4656904971273716E-2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-7.1125943621335068</c:v>
                </c:pt>
              </c:numCache>
            </c:numRef>
          </c:xVal>
          <c:yVal>
            <c:numRef>
              <c:f>'Rel. prod. cf employment'!$C$40</c:f>
              <c:numCache>
                <c:formatCode>#,##0.0_ ;\-#,##0.0\ </c:formatCode>
                <c:ptCount val="1"/>
                <c:pt idx="0">
                  <c:v>0.83451645720396472</c:v>
                </c:pt>
              </c:numCache>
            </c:numRef>
          </c:yVal>
          <c:bubbleSize>
            <c:numRef>
              <c:f>'Rel. prod. cf employment'!$E$40</c:f>
              <c:numCache>
                <c:formatCode>#,##0_ ;\-#,##0\ </c:formatCode>
                <c:ptCount val="1"/>
                <c:pt idx="0">
                  <c:v>13286</c:v>
                </c:pt>
              </c:numCache>
            </c:numRef>
          </c:bubbleSize>
          <c:bubble3D val="1"/>
        </c:ser>
        <c:ser>
          <c:idx val="1"/>
          <c:order val="1"/>
          <c:tx>
            <c:strRef>
              <c:f>'Rel. prod. cf employment'!$A$41</c:f>
              <c:strCache>
                <c:ptCount val="1"/>
                <c:pt idx="0">
                  <c:v>Mining</c:v>
                </c:pt>
              </c:strCache>
            </c:strRef>
          </c:tx>
          <c:spPr>
            <a:solidFill>
              <a:srgbClr val="000000"/>
            </a:solidFill>
            <a:ln w="25400">
              <a:noFill/>
            </a:ln>
          </c:spPr>
          <c:invertIfNegative val="0"/>
          <c:xVal>
            <c:numRef>
              <c:f>'Rel. prod. cf employment'!$B$41</c:f>
              <c:numCache>
                <c:formatCode>#,##0.0_ ;\-#,##0.0\ </c:formatCode>
                <c:ptCount val="1"/>
                <c:pt idx="0">
                  <c:v>-3.126199142329944E-2</c:v>
                </c:pt>
              </c:numCache>
            </c:numRef>
          </c:xVal>
          <c:yVal>
            <c:numRef>
              <c:f>'Rel. prod. cf employment'!$C$41</c:f>
              <c:numCache>
                <c:formatCode>#,##0.0_ ;\-#,##0.0\ </c:formatCode>
                <c:ptCount val="1"/>
                <c:pt idx="0">
                  <c:v>0.91089737143222438</c:v>
                </c:pt>
              </c:numCache>
            </c:numRef>
          </c:yVal>
          <c:bubbleSize>
            <c:numRef>
              <c:f>'Rel. prod. cf employment'!$E$41</c:f>
              <c:numCache>
                <c:formatCode>#,##0_ ;\-#,##0\ </c:formatCode>
                <c:ptCount val="1"/>
                <c:pt idx="0">
                  <c:v>211</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0.36752076948612356</c:v>
                </c:pt>
              </c:numCache>
            </c:numRef>
          </c:xVal>
          <c:yVal>
            <c:numRef>
              <c:f>'Rel. prod. cf employment'!$C$42</c:f>
              <c:numCache>
                <c:formatCode>#,##0.0_ ;\-#,##0.0\ </c:formatCode>
                <c:ptCount val="1"/>
                <c:pt idx="0">
                  <c:v>1.8765690175715861</c:v>
                </c:pt>
              </c:numCache>
            </c:numRef>
          </c:yVal>
          <c:bubbleSize>
            <c:numRef>
              <c:f>'Rel. prod. cf employment'!$E$42</c:f>
              <c:numCache>
                <c:formatCode>#,##0_ ;\-#,##0\ </c:formatCode>
                <c:ptCount val="1"/>
                <c:pt idx="0">
                  <c:v>2937</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1.2587834549014008</c:v>
                </c:pt>
              </c:numCache>
            </c:numRef>
          </c:xVal>
          <c:yVal>
            <c:numRef>
              <c:f>'Rel. prod. cf employment'!$C$43</c:f>
              <c:numCache>
                <c:formatCode>#,##0.0_ ;\-#,##0.0\ </c:formatCode>
                <c:ptCount val="1"/>
                <c:pt idx="0">
                  <c:v>0.92368464541422413</c:v>
                </c:pt>
              </c:numCache>
            </c:numRef>
          </c:yVal>
          <c:bubbleSize>
            <c:numRef>
              <c:f>'Rel. prod. cf employment'!$E$43</c:f>
              <c:numCache>
                <c:formatCode>#,##0_ ;\-#,##0\ </c:formatCode>
                <c:ptCount val="1"/>
                <c:pt idx="0">
                  <c:v>1428</c:v>
                </c:pt>
              </c:numCache>
            </c:numRef>
          </c:bubbleSize>
          <c:bubble3D val="1"/>
        </c:ser>
        <c:ser>
          <c:idx val="4"/>
          <c:order val="4"/>
          <c:tx>
            <c:strRef>
              <c:f>'Rel. prod. cf employment'!$A$44</c:f>
              <c:strCache>
                <c:ptCount val="1"/>
                <c:pt idx="0">
                  <c:v>Wholesale &amp; retail</c:v>
                </c:pt>
              </c:strCache>
            </c:strRef>
          </c:tx>
          <c:spPr>
            <a:solidFill>
              <a:srgbClr val="6666FF"/>
            </a:solidFill>
            <a:ln w="25400">
              <a:noFill/>
            </a:ln>
          </c:spPr>
          <c:invertIfNegative val="0"/>
          <c:xVal>
            <c:numRef>
              <c:f>'Rel. prod. cf employment'!$B$44</c:f>
              <c:numCache>
                <c:formatCode>#,##0.0_ ;\-#,##0.0\ </c:formatCode>
                <c:ptCount val="1"/>
                <c:pt idx="0">
                  <c:v>2.6762189312510891</c:v>
                </c:pt>
              </c:numCache>
            </c:numRef>
          </c:xVal>
          <c:yVal>
            <c:numRef>
              <c:f>'Rel. prod. cf employment'!$C$44</c:f>
              <c:numCache>
                <c:formatCode>#,##0.0_ ;\-#,##0.0\ </c:formatCode>
                <c:ptCount val="1"/>
                <c:pt idx="0">
                  <c:v>0.89937180777073666</c:v>
                </c:pt>
              </c:numCache>
            </c:numRef>
          </c:yVal>
          <c:bubbleSize>
            <c:numRef>
              <c:f>'Rel. prod. cf employment'!$E$44</c:f>
              <c:numCache>
                <c:formatCode>#,##0_ ;\-#,##0\ </c:formatCode>
                <c:ptCount val="1"/>
                <c:pt idx="0">
                  <c:v>6939</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1.1022724050456905</c:v>
                </c:pt>
              </c:numCache>
            </c:numRef>
          </c:xVal>
          <c:yVal>
            <c:numRef>
              <c:f>'Rel. prod. cf employment'!$C$45</c:f>
              <c:numCache>
                <c:formatCode>#,##0.0_ ;\-#,##0.0\ </c:formatCode>
                <c:ptCount val="1"/>
                <c:pt idx="0">
                  <c:v>2.6232234096783857</c:v>
                </c:pt>
              </c:numCache>
            </c:numRef>
          </c:yVal>
          <c:bubbleSize>
            <c:numRef>
              <c:f>'Rel. prod. cf employment'!$E$45</c:f>
              <c:numCache>
                <c:formatCode>#,##0_ ;\-#,##0\ </c:formatCode>
                <c:ptCount val="1"/>
                <c:pt idx="0">
                  <c:v>1536</c:v>
                </c:pt>
              </c:numCache>
            </c:numRef>
          </c:bubbleSize>
          <c:bubble3D val="1"/>
        </c:ser>
        <c:ser>
          <c:idx val="6"/>
          <c:order val="6"/>
          <c:tx>
            <c:strRef>
              <c:f>'Rel. prod. cf employment'!$A$46</c:f>
              <c:strCache>
                <c:ptCount val="1"/>
                <c:pt idx="0">
                  <c:v>Other (incl. hotels/restaurants, utilities)</c:v>
                </c:pt>
              </c:strCache>
            </c:strRef>
          </c:tx>
          <c:spPr>
            <a:solidFill>
              <a:srgbClr val="FF00FF"/>
            </a:solidFill>
            <a:ln w="25400">
              <a:noFill/>
            </a:ln>
          </c:spPr>
          <c:invertIfNegative val="0"/>
          <c:xVal>
            <c:numRef>
              <c:f>'Rel. prod. cf employment'!$B$46</c:f>
              <c:numCache>
                <c:formatCode>#,##0.0_ ;\-#,##0.0\ </c:formatCode>
                <c:ptCount val="1"/>
                <c:pt idx="0">
                  <c:v>1.7390607928725119</c:v>
                </c:pt>
              </c:numCache>
            </c:numRef>
          </c:xVal>
          <c:yVal>
            <c:numRef>
              <c:f>'Rel. prod. cf employment'!$C$46</c:f>
              <c:numCache>
                <c:formatCode>#,##0.0_ ;\-#,##0.0\ </c:formatCode>
                <c:ptCount val="1"/>
                <c:pt idx="0">
                  <c:v>0.25786341974918964</c:v>
                </c:pt>
              </c:numCache>
            </c:numRef>
          </c:yVal>
          <c:bubbleSize>
            <c:numRef>
              <c:f>'Rel. prod. cf employment'!$E$46</c:f>
              <c:numCache>
                <c:formatCode>#,##0_ ;\-#,##0\ </c:formatCode>
                <c:ptCount val="1"/>
                <c:pt idx="0">
                  <c:v>2753</c:v>
                </c:pt>
              </c:numCache>
            </c:numRef>
          </c:bubbleSize>
          <c:bubble3D val="1"/>
        </c:ser>
        <c:dLbls>
          <c:showLegendKey val="0"/>
          <c:showVal val="0"/>
          <c:showCatName val="0"/>
          <c:showSerName val="0"/>
          <c:showPercent val="0"/>
          <c:showBubbleSize val="0"/>
        </c:dLbls>
        <c:bubbleScale val="100"/>
        <c:showNegBubbles val="0"/>
        <c:axId val="89855488"/>
        <c:axId val="89857408"/>
      </c:bubbleChart>
      <c:valAx>
        <c:axId val="89855488"/>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89857408"/>
        <c:crosses val="autoZero"/>
        <c:crossBetween val="midCat"/>
      </c:valAx>
      <c:valAx>
        <c:axId val="89857408"/>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8985548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'Burma(Myanmar)'!$V$4:$V$19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'Burma(Myanmar)'!$W$4:$W$19</c:f>
              <c:numCache>
                <c:formatCode>0.0%</c:formatCode>
                <c:ptCount val="16"/>
                <c:pt idx="0">
                  <c:v>0.31518541894843993</c:v>
                </c:pt>
                <c:pt idx="1">
                  <c:v>5.5898209222733234E-3</c:v>
                </c:pt>
                <c:pt idx="2">
                  <c:v>3.928160757275194E-4</c:v>
                </c:pt>
                <c:pt idx="3">
                  <c:v>3.4340126372338288E-3</c:v>
                </c:pt>
                <c:pt idx="4">
                  <c:v>2.3298296210993056E-2</c:v>
                </c:pt>
                <c:pt idx="5">
                  <c:v>9.184736756817866E-3</c:v>
                </c:pt>
                <c:pt idx="6">
                  <c:v>4.3194559118664147E-3</c:v>
                </c:pt>
                <c:pt idx="7">
                  <c:v>0.43657215712098218</c:v>
                </c:pt>
                <c:pt idx="8">
                  <c:v>7.2789977906364579E-3</c:v>
                </c:pt>
                <c:pt idx="9">
                  <c:v>4.3036734987007596E-3</c:v>
                </c:pt>
                <c:pt idx="10">
                  <c:v>6.7187096664369896E-3</c:v>
                </c:pt>
                <c:pt idx="11">
                  <c:v>7.1545970851332172E-2</c:v>
                </c:pt>
                <c:pt idx="12">
                  <c:v>3.3035845910226985E-2</c:v>
                </c:pt>
                <c:pt idx="13">
                  <c:v>1.5116261587442992E-3</c:v>
                </c:pt>
                <c:pt idx="14">
                  <c:v>5.5482519442406529E-2</c:v>
                </c:pt>
                <c:pt idx="15">
                  <c:v>2.2145942097181681E-2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figures(A-N).xlsx]Burma(Myanmar)'!$S$22</c:f>
              <c:strCache>
                <c:ptCount val="1"/>
                <c:pt idx="0">
                  <c:v>1996-2011</c:v>
                </c:pt>
              </c:strCache>
            </c:strRef>
          </c:tx>
          <c:invertIfNegative val="0"/>
          <c:cat>
            <c:strRef>
              <c:f>'[SET figures(A-N).xlsx]Burma(Myanmar)'!$R$23:$R$37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figures(A-N).xlsx]Burma(Myanmar)'!$S$23:$S$37</c:f>
              <c:numCache>
                <c:formatCode>0.0%</c:formatCode>
                <c:ptCount val="15"/>
                <c:pt idx="0">
                  <c:v>-3.7526443068836013E-4</c:v>
                </c:pt>
                <c:pt idx="1">
                  <c:v>-0.11241852952564035</c:v>
                </c:pt>
                <c:pt idx="2">
                  <c:v>-6.7576708887448045E-2</c:v>
                </c:pt>
                <c:pt idx="3">
                  <c:v>-6.7855294486684592E-2</c:v>
                </c:pt>
                <c:pt idx="4">
                  <c:v>-8.4377659982516673E-2</c:v>
                </c:pt>
                <c:pt idx="5">
                  <c:v>-0.13893503945812413</c:v>
                </c:pt>
                <c:pt idx="6">
                  <c:v>-6.8849574065153796E-2</c:v>
                </c:pt>
                <c:pt idx="7">
                  <c:v>5.6543000558771928E-2</c:v>
                </c:pt>
                <c:pt idx="8">
                  <c:v>-0.10930843835570092</c:v>
                </c:pt>
                <c:pt idx="9">
                  <c:v>-9.1358259016080523E-2</c:v>
                </c:pt>
                <c:pt idx="10">
                  <c:v>-0.1172753102679065</c:v>
                </c:pt>
                <c:pt idx="11">
                  <c:v>-8.7795914930346997E-2</c:v>
                </c:pt>
                <c:pt idx="12">
                  <c:v>-8.972655032337018E-2</c:v>
                </c:pt>
                <c:pt idx="13">
                  <c:v>-0.10263364804388497</c:v>
                </c:pt>
                <c:pt idx="14">
                  <c:v>-7.6824254100800404E-2</c:v>
                </c:pt>
              </c:numCache>
            </c:numRef>
          </c:val>
        </c:ser>
        <c:ser>
          <c:idx val="1"/>
          <c:order val="1"/>
          <c:tx>
            <c:strRef>
              <c:f>'[SET figures(A-N).xlsx]Burma(Myanmar)'!$T$22</c:f>
              <c:strCache>
                <c:ptCount val="1"/>
                <c:pt idx="0">
                  <c:v>2006-2011</c:v>
                </c:pt>
              </c:strCache>
            </c:strRef>
          </c:tx>
          <c:spPr>
            <a:solidFill>
              <a:schemeClr val="accent6"/>
            </a:solidFill>
          </c:spPr>
          <c:invertIfNegative val="0"/>
          <c:cat>
            <c:strRef>
              <c:f>'[SET figures(A-N).xlsx]Burma(Myanmar)'!$R$23:$R$37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figures(A-N).xlsx]Burma(Myanmar)'!$T$23:$T$37</c:f>
              <c:numCache>
                <c:formatCode>0.0%</c:formatCode>
                <c:ptCount val="15"/>
                <c:pt idx="0">
                  <c:v>9.0672432697569416E-2</c:v>
                </c:pt>
                <c:pt idx="1">
                  <c:v>-7.8232632685725889E-2</c:v>
                </c:pt>
                <c:pt idx="2">
                  <c:v>-6.0289358321196196E-2</c:v>
                </c:pt>
                <c:pt idx="3">
                  <c:v>7.8869783825033624E-2</c:v>
                </c:pt>
                <c:pt idx="4">
                  <c:v>7.4855712296955756E-2</c:v>
                </c:pt>
                <c:pt idx="5">
                  <c:v>3.595430286579937E-2</c:v>
                </c:pt>
                <c:pt idx="6">
                  <c:v>1.6992492086960187E-2</c:v>
                </c:pt>
                <c:pt idx="7">
                  <c:v>5.9134532475271007E-2</c:v>
                </c:pt>
                <c:pt idx="8">
                  <c:v>-3.1476688713506173E-2</c:v>
                </c:pt>
                <c:pt idx="9">
                  <c:v>2.0557389797994929E-3</c:v>
                </c:pt>
                <c:pt idx="10">
                  <c:v>3.494059883446976E-2</c:v>
                </c:pt>
                <c:pt idx="11">
                  <c:v>-5.7575301702423198E-2</c:v>
                </c:pt>
                <c:pt idx="12">
                  <c:v>1.7627816520757733E-3</c:v>
                </c:pt>
                <c:pt idx="13">
                  <c:v>-1.8194031704275804E-2</c:v>
                </c:pt>
                <c:pt idx="14">
                  <c:v>6.2134901402131071E-3</c:v>
                </c:pt>
              </c:numCache>
            </c:numRef>
          </c:val>
        </c:ser>
        <c:dLbls>
          <c:showLegendKey val="0"/>
          <c:showVal val="0"/>
          <c:showCatName val="0"/>
          <c:showSerName val="0"/>
          <c:showPercent val="0"/>
          <c:showBubbleSize val="0"/>
        </c:dLbls>
        <c:gapWidth val="150"/>
        <c:axId val="100979072"/>
        <c:axId val="100980608"/>
      </c:barChart>
      <c:catAx>
        <c:axId val="100979072"/>
        <c:scaling>
          <c:orientation val="minMax"/>
        </c:scaling>
        <c:delete val="0"/>
        <c:axPos val="b"/>
        <c:majorTickMark val="out"/>
        <c:minorTickMark val="none"/>
        <c:tickLblPos val="low"/>
        <c:txPr>
          <a:bodyPr rot="-5400000" vert="horz"/>
          <a:lstStyle/>
          <a:p>
            <a:pPr>
              <a:defRPr sz="700"/>
            </a:pPr>
            <a:endParaRPr lang="en-US"/>
          </a:p>
        </c:txPr>
        <c:crossAx val="100980608"/>
        <c:crosses val="autoZero"/>
        <c:auto val="1"/>
        <c:lblAlgn val="ctr"/>
        <c:lblOffset val="100"/>
        <c:noMultiLvlLbl val="0"/>
      </c:catAx>
      <c:valAx>
        <c:axId val="100980608"/>
        <c:scaling>
          <c:orientation val="minMax"/>
        </c:scaling>
        <c:delete val="0"/>
        <c:axPos val="l"/>
        <c:majorGridlines/>
        <c:numFmt formatCode="0%" sourceLinked="0"/>
        <c:majorTickMark val="out"/>
        <c:minorTickMark val="none"/>
        <c:tickLblPos val="nextTo"/>
        <c:crossAx val="10097907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1.8435795724376512E-2</c:v>
                </c:pt>
                <c:pt idx="1">
                  <c:v>1.5266764328944716E-2</c:v>
                </c:pt>
                <c:pt idx="2">
                  <c:v>3.7306942535526709E-2</c:v>
                </c:pt>
                <c:pt idx="3">
                  <c:v>8.9372736380043852E-2</c:v>
                </c:pt>
                <c:pt idx="4">
                  <c:v>1.8341819251396534E-2</c:v>
                </c:pt>
                <c:pt idx="5">
                  <c:v>1.6257551951038219E-2</c:v>
                </c:pt>
                <c:pt idx="6">
                  <c:v>1.9226947405144666E-2</c:v>
                </c:pt>
                <c:pt idx="7">
                  <c:v>0.282666501755788</c:v>
                </c:pt>
                <c:pt idx="8">
                  <c:v>2.3969081021284682E-2</c:v>
                </c:pt>
                <c:pt idx="9">
                  <c:v>1.7983131828164241E-2</c:v>
                </c:pt>
                <c:pt idx="10">
                  <c:v>1.3189368330909378E-2</c:v>
                </c:pt>
                <c:pt idx="11">
                  <c:v>2.2561823735549814E-2</c:v>
                </c:pt>
                <c:pt idx="12">
                  <c:v>1.4129627190163335E-2</c:v>
                </c:pt>
                <c:pt idx="13">
                  <c:v>1.9185209484531597E-2</c:v>
                </c:pt>
                <c:pt idx="14">
                  <c:v>1.7433839092883357E-2</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1.8044026666263691E-2</c:v>
                </c:pt>
                <c:pt idx="1">
                  <c:v>1.0305223394307388E-2</c:v>
                </c:pt>
                <c:pt idx="2">
                  <c:v>1.1270924212090234E-2</c:v>
                </c:pt>
                <c:pt idx="3">
                  <c:v>2.8909363508586187E-2</c:v>
                </c:pt>
                <c:pt idx="4">
                  <c:v>1.7146023617236827E-2</c:v>
                </c:pt>
                <c:pt idx="5">
                  <c:v>1.1543715513862705E-2</c:v>
                </c:pt>
                <c:pt idx="6">
                  <c:v>1.1742934169155306E-2</c:v>
                </c:pt>
                <c:pt idx="7">
                  <c:v>1.9794123854390305E-2</c:v>
                </c:pt>
                <c:pt idx="8">
                  <c:v>1.5242425888303001E-2</c:v>
                </c:pt>
                <c:pt idx="9">
                  <c:v>1.1478314725886545E-2</c:v>
                </c:pt>
                <c:pt idx="10">
                  <c:v>7.5301589906696291E-3</c:v>
                </c:pt>
                <c:pt idx="11">
                  <c:v>1.3331409960045549E-2</c:v>
                </c:pt>
                <c:pt idx="12">
                  <c:v>1.0101447909234607E-2</c:v>
                </c:pt>
                <c:pt idx="13">
                  <c:v>1.370377138476972E-2</c:v>
                </c:pt>
                <c:pt idx="14">
                  <c:v>1.347104013523375E-2</c:v>
                </c:pt>
              </c:numCache>
            </c:numRef>
          </c:val>
        </c:ser>
        <c:dLbls>
          <c:showLegendKey val="0"/>
          <c:showVal val="0"/>
          <c:showCatName val="0"/>
          <c:showSerName val="0"/>
          <c:showPercent val="0"/>
          <c:showBubbleSize val="0"/>
        </c:dLbls>
        <c:gapWidth val="150"/>
        <c:axId val="101071488"/>
        <c:axId val="101077376"/>
      </c:barChart>
      <c:catAx>
        <c:axId val="101071488"/>
        <c:scaling>
          <c:orientation val="minMax"/>
        </c:scaling>
        <c:delete val="0"/>
        <c:axPos val="b"/>
        <c:majorTickMark val="out"/>
        <c:minorTickMark val="none"/>
        <c:tickLblPos val="nextTo"/>
        <c:txPr>
          <a:bodyPr rot="-5400000" vert="horz"/>
          <a:lstStyle/>
          <a:p>
            <a:pPr>
              <a:defRPr sz="700"/>
            </a:pPr>
            <a:endParaRPr lang="en-US"/>
          </a:p>
        </c:txPr>
        <c:crossAx val="101077376"/>
        <c:crosses val="autoZero"/>
        <c:auto val="1"/>
        <c:lblAlgn val="ctr"/>
        <c:lblOffset val="100"/>
        <c:noMultiLvlLbl val="0"/>
      </c:catAx>
      <c:valAx>
        <c:axId val="101077376"/>
        <c:scaling>
          <c:orientation val="minMax"/>
        </c:scaling>
        <c:delete val="0"/>
        <c:axPos val="l"/>
        <c:majorGridlines/>
        <c:numFmt formatCode="0%" sourceLinked="0"/>
        <c:majorTickMark val="out"/>
        <c:minorTickMark val="none"/>
        <c:tickLblPos val="nextTo"/>
        <c:crossAx val="1010714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manualLayout>
          <c:layoutTarget val="inner"/>
          <c:xMode val="edge"/>
          <c:yMode val="edge"/>
          <c:x val="9.2344187075915532E-2"/>
          <c:y val="0.19174828541691818"/>
          <c:w val="0.81531162584816896"/>
          <c:h val="0.70114572223932659"/>
        </c:manualLayout>
      </c:layout>
      <c:ofPieChart>
        <c:ofPieType val="bar"/>
        <c:varyColors val="1"/>
        <c:ser>
          <c:idx val="0"/>
          <c:order val="0"/>
          <c:dPt>
            <c:idx val="0"/>
            <c:bubble3D val="0"/>
            <c:spPr>
              <a:solidFill>
                <a:schemeClr val="accent2"/>
              </a:solidFill>
            </c:spPr>
          </c:dPt>
          <c:dPt>
            <c:idx val="1"/>
            <c:bubble3D val="0"/>
            <c:spPr>
              <a:solidFill>
                <a:schemeClr val="accent2"/>
              </a:solidFill>
            </c:spPr>
          </c:dPt>
          <c:dPt>
            <c:idx val="2"/>
            <c:bubble3D val="0"/>
            <c:spPr>
              <a:solidFill>
                <a:schemeClr val="accent6"/>
              </a:solidFill>
            </c:spPr>
          </c:dPt>
          <c:dPt>
            <c:idx val="3"/>
            <c:bubble3D val="0"/>
            <c:spPr>
              <a:solidFill>
                <a:schemeClr val="accent2"/>
              </a:solidFill>
            </c:spPr>
          </c:dPt>
          <c:dPt>
            <c:idx val="4"/>
            <c:bubble3D val="0"/>
            <c:spPr>
              <a:solidFill>
                <a:schemeClr val="bg1">
                  <a:lumMod val="75000"/>
                </a:schemeClr>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accent6"/>
              </a:solidFill>
            </c:spPr>
          </c:dPt>
          <c:dPt>
            <c:idx val="16"/>
            <c:bubble3D val="0"/>
            <c:spPr>
              <a:solidFill>
                <a:sysClr val="window" lastClr="FFFFFF"/>
              </a:solidFill>
            </c:spPr>
          </c:dPt>
          <c:dLbls>
            <c:dLbl>
              <c:idx val="0"/>
              <c:layout>
                <c:manualLayout>
                  <c:x val="-4.87840587516137E-2"/>
                  <c:y val="0.23630819924683327"/>
                </c:manualLayout>
              </c:layout>
              <c:tx>
                <c:rich>
                  <a:bodyPr/>
                  <a:lstStyle/>
                  <a:p>
                    <a:r>
                      <a:rPr lang="en-US"/>
                      <a:t>Petrol./Chem. </a:t>
                    </a:r>
                    <a:br>
                      <a:rPr lang="en-US"/>
                    </a:br>
                    <a:r>
                      <a:rPr lang="en-US"/>
                      <a:t>&amp; Non-Metal. </a:t>
                    </a:r>
                    <a:br>
                      <a:rPr lang="en-US"/>
                    </a:br>
                    <a:r>
                      <a:rPr lang="en-US"/>
                      <a:t>Min. Prod
0%</a:t>
                    </a:r>
                  </a:p>
                </c:rich>
              </c:tx>
              <c:dLblPos val="bestFit"/>
              <c:showLegendKey val="0"/>
              <c:showVal val="0"/>
              <c:showCatName val="1"/>
              <c:showSerName val="0"/>
              <c:showPercent val="1"/>
              <c:showBubbleSize val="0"/>
            </c:dLbl>
            <c:dLbl>
              <c:idx val="2"/>
              <c:layout>
                <c:manualLayout>
                  <c:x val="-5.523032137269486E-2"/>
                  <c:y val="-0.17223553577541939"/>
                </c:manualLayout>
              </c:layout>
              <c:dLblPos val="bestFit"/>
              <c:showLegendKey val="0"/>
              <c:showVal val="0"/>
              <c:showCatName val="1"/>
              <c:showSerName val="0"/>
              <c:showPercent val="1"/>
              <c:showBubbleSize val="0"/>
            </c:dLbl>
            <c:dLbl>
              <c:idx val="3"/>
              <c:layout>
                <c:manualLayout>
                  <c:x val="-1.5780946762762146E-2"/>
                  <c:y val="-0.12495114401460687"/>
                </c:manualLayout>
              </c:layout>
              <c:tx>
                <c:rich>
                  <a:bodyPr/>
                  <a:lstStyle/>
                  <a:p>
                    <a:r>
                      <a:rPr lang="en-US"/>
                      <a:t>Textiles/</a:t>
                    </a:r>
                    <a:br>
                      <a:rPr lang="en-US"/>
                    </a:br>
                    <a:r>
                      <a:rPr lang="en-US"/>
                      <a:t>Apparel
2%</a:t>
                    </a:r>
                  </a:p>
                </c:rich>
              </c:tx>
              <c:dLblPos val="bestFit"/>
              <c:showLegendKey val="0"/>
              <c:showVal val="0"/>
              <c:showCatName val="1"/>
              <c:showSerName val="0"/>
              <c:showPercent val="1"/>
              <c:showBubbleSize val="0"/>
            </c:dLbl>
            <c:dLbl>
              <c:idx val="4"/>
              <c:layout>
                <c:manualLayout>
                  <c:x val="1.6498243094206057E-3"/>
                  <c:y val="-7.0081593061736849E-2"/>
                </c:manualLayout>
              </c:layout>
              <c:dLblPos val="bestFit"/>
              <c:showLegendKey val="0"/>
              <c:showVal val="0"/>
              <c:showCatName val="1"/>
              <c:showSerName val="0"/>
              <c:showPercent val="1"/>
              <c:showBubbleSize val="0"/>
            </c:dLbl>
            <c:dLbl>
              <c:idx val="5"/>
              <c:tx>
                <c:rich>
                  <a:bodyPr/>
                  <a:lstStyle/>
                  <a:p>
                    <a:pPr>
                      <a:defRPr sz="600"/>
                    </a:pPr>
                    <a:r>
                      <a:rPr lang="en-US"/>
                      <a:t>Electrical/Machinery</a:t>
                    </a:r>
                  </a:p>
                </c:rich>
              </c:tx>
              <c:spPr/>
              <c:dLblPos val="bestFit"/>
              <c:showLegendKey val="0"/>
              <c:showVal val="0"/>
              <c:showCatName val="1"/>
              <c:showSerName val="0"/>
              <c:showPercent val="0"/>
              <c:showBubbleSize val="0"/>
            </c:dLbl>
            <c:dLbl>
              <c:idx val="6"/>
              <c:tx>
                <c:rich>
                  <a:bodyPr/>
                  <a:lstStyle/>
                  <a:p>
                    <a:pPr>
                      <a:defRPr sz="600"/>
                    </a:pPr>
                    <a:r>
                      <a:rPr lang="en-US"/>
                      <a:t>Financial/Business.</a:t>
                    </a:r>
                  </a:p>
                </c:rich>
              </c:tx>
              <c:spPr/>
              <c:dLblPos val="bestFit"/>
              <c:showLegendKey val="0"/>
              <c:showVal val="0"/>
              <c:showCatName val="1"/>
              <c:showSerName val="0"/>
              <c:showPercent val="0"/>
              <c:showBubbleSize val="0"/>
            </c:dLbl>
            <c:dLbl>
              <c:idx val="7"/>
              <c:spPr/>
              <c:txPr>
                <a:bodyPr/>
                <a:lstStyle/>
                <a:p>
                  <a:pPr>
                    <a:defRPr sz="600"/>
                  </a:pPr>
                  <a:endParaRPr lang="en-US"/>
                </a:p>
              </c:txPr>
              <c:dLblPos val="bestFit"/>
              <c:showLegendKey val="0"/>
              <c:showVal val="0"/>
              <c:showCatName val="1"/>
              <c:showSerName val="0"/>
              <c:showPercent val="0"/>
              <c:showBubbleSize val="0"/>
            </c:dLbl>
            <c:dLbl>
              <c:idx val="8"/>
              <c:tx>
                <c:rich>
                  <a:bodyPr/>
                  <a:lstStyle/>
                  <a:p>
                    <a:pPr>
                      <a:defRPr sz="600"/>
                    </a:pPr>
                    <a:r>
                      <a:rPr lang="en-US"/>
                      <a:t>Food/Beverages.</a:t>
                    </a:r>
                  </a:p>
                </c:rich>
              </c:tx>
              <c:spPr/>
              <c:dLblPos val="bestFit"/>
              <c:showLegendKey val="0"/>
              <c:showVal val="0"/>
              <c:showCatName val="1"/>
              <c:showSerName val="0"/>
              <c:showPercent val="0"/>
              <c:showBubbleSize val="0"/>
            </c:dLbl>
            <c:dLbl>
              <c:idx val="9"/>
              <c:tx>
                <c:rich>
                  <a:bodyPr/>
                  <a:lstStyle/>
                  <a:p>
                    <a:pPr>
                      <a:defRPr sz="600"/>
                    </a:pPr>
                    <a:r>
                      <a:rPr lang="en-US"/>
                      <a:t>Hotels/restaurants</a:t>
                    </a:r>
                  </a:p>
                </c:rich>
              </c:tx>
              <c:spPr/>
              <c:dLblPos val="bestFit"/>
              <c:showLegendKey val="0"/>
              <c:showVal val="0"/>
              <c:showCatName val="1"/>
              <c:showSerName val="0"/>
              <c:showPercent val="0"/>
              <c:showBubbleSize val="0"/>
            </c:dLbl>
            <c:dLbl>
              <c:idx val="10"/>
              <c:spPr/>
              <c:txPr>
                <a:bodyPr/>
                <a:lstStyle/>
                <a:p>
                  <a:pPr>
                    <a:defRPr sz="600"/>
                  </a:pPr>
                  <a:endParaRPr lang="en-US"/>
                </a:p>
              </c:txPr>
              <c:dLblPos val="bestFit"/>
              <c:showLegendKey val="0"/>
              <c:showVal val="0"/>
              <c:showCatName val="1"/>
              <c:showSerName val="0"/>
              <c:showPercent val="0"/>
              <c:showBubbleSize val="0"/>
            </c:dLbl>
            <c:dLbl>
              <c:idx val="11"/>
              <c:tx>
                <c:rich>
                  <a:bodyPr/>
                  <a:lstStyle/>
                  <a:p>
                    <a:pPr>
                      <a:defRPr sz="600"/>
                    </a:pPr>
                    <a:r>
                      <a:rPr lang="en-US"/>
                      <a:t>Other Manufacturing</a:t>
                    </a:r>
                  </a:p>
                </c:rich>
              </c:tx>
              <c:spPr/>
              <c:dLblPos val="bestFit"/>
              <c:showLegendKey val="0"/>
              <c:showVal val="0"/>
              <c:showCatName val="1"/>
              <c:showSerName val="0"/>
              <c:showPercent val="0"/>
              <c:showBubbleSize val="0"/>
            </c:dLbl>
            <c:dLbl>
              <c:idx val="12"/>
              <c:spPr/>
              <c:txPr>
                <a:bodyPr/>
                <a:lstStyle/>
                <a:p>
                  <a:pPr>
                    <a:defRPr sz="600"/>
                  </a:pPr>
                  <a:endParaRPr lang="en-US"/>
                </a:p>
              </c:txPr>
              <c:dLblPos val="bestFit"/>
              <c:showLegendKey val="0"/>
              <c:showVal val="0"/>
              <c:showCatName val="1"/>
              <c:showSerName val="0"/>
              <c:showPercent val="0"/>
              <c:showBubbleSize val="0"/>
            </c:dLbl>
            <c:dLbl>
              <c:idx val="13"/>
              <c:spPr/>
              <c:txPr>
                <a:bodyPr/>
                <a:lstStyle/>
                <a:p>
                  <a:pPr>
                    <a:defRPr sz="600"/>
                  </a:pPr>
                  <a:endParaRPr lang="en-US"/>
                </a:p>
              </c:txPr>
              <c:dLblPos val="bestFit"/>
              <c:showLegendKey val="0"/>
              <c:showVal val="0"/>
              <c:showCatName val="1"/>
              <c:showSerName val="0"/>
              <c:showPercent val="0"/>
              <c:showBubbleSize val="0"/>
            </c:dLbl>
            <c:dLbl>
              <c:idx val="14"/>
              <c:spPr/>
              <c:txPr>
                <a:bodyPr/>
                <a:lstStyle/>
                <a:p>
                  <a:pPr>
                    <a:defRPr sz="600"/>
                  </a:pPr>
                  <a:endParaRPr lang="en-US"/>
                </a:p>
              </c:txPr>
              <c:dLblPos val="bestFit"/>
              <c:showLegendKey val="0"/>
              <c:showVal val="0"/>
              <c:showCatName val="1"/>
              <c:showSerName val="0"/>
              <c:showPercent val="0"/>
              <c:showBubbleSize val="0"/>
            </c:dLbl>
            <c:dLbl>
              <c:idx val="15"/>
              <c:spPr/>
              <c:txPr>
                <a:bodyPr/>
                <a:lstStyle/>
                <a:p>
                  <a:pPr>
                    <a:defRPr sz="600"/>
                  </a:pPr>
                  <a:endParaRPr lang="en-US"/>
                </a:p>
              </c:txPr>
              <c:dLblPos val="bestFit"/>
              <c:showLegendKey val="0"/>
              <c:showVal val="0"/>
              <c:showCatName val="1"/>
              <c:showSerName val="0"/>
              <c:showPercent val="0"/>
              <c:showBubbleSize val="0"/>
            </c:dLbl>
            <c:dLbl>
              <c:idx val="16"/>
              <c:layout>
                <c:manualLayout>
                  <c:x val="-5.1474774936520556E-2"/>
                  <c:y val="4.4972469473924456E-3"/>
                </c:manualLayout>
              </c:layout>
              <c:tx>
                <c:rich>
                  <a:bodyPr/>
                  <a:lstStyle/>
                  <a:p>
                    <a:r>
                      <a:rPr lang="en-US" sz="700"/>
                      <a:t>11</a:t>
                    </a:r>
                    <a:r>
                      <a:rPr lang="en-US" sz="700" baseline="0"/>
                      <a:t> </a:t>
                    </a:r>
                    <a:r>
                      <a:rPr lang="en-US" sz="700"/>
                      <a:t>other </a:t>
                    </a:r>
                    <a:br>
                      <a:rPr lang="en-US" sz="700"/>
                    </a:br>
                    <a:r>
                      <a:rPr lang="en-US" sz="700"/>
                      <a:t>sectors 3% &gt;&gt;</a:t>
                    </a:r>
                    <a:endParaRPr lang="en-US"/>
                  </a:p>
                </c:rich>
              </c:tx>
              <c:dLblPos val="bestFit"/>
              <c:showLegendKey val="0"/>
              <c:showVal val="1"/>
              <c:showCatName val="0"/>
              <c:showSerName val="0"/>
              <c:showPercent val="0"/>
              <c:showBubbleSize val="0"/>
            </c:dLbl>
            <c:txPr>
              <a:bodyPr/>
              <a:lstStyle/>
              <a:p>
                <a:pPr>
                  <a:defRPr sz="700"/>
                </a:pPr>
                <a:endParaRPr lang="en-US"/>
              </a:p>
            </c:txPr>
            <c:dLblPos val="bestFit"/>
            <c:showLegendKey val="0"/>
            <c:showVal val="0"/>
            <c:showCatName val="1"/>
            <c:showSerName val="0"/>
            <c:showPercent val="1"/>
            <c:showBubbleSize val="0"/>
            <c:showLeaderLines val="1"/>
          </c:dLbls>
          <c:cat>
            <c:strRef>
              <c:f>'Burma(Myanmar)'!$R$64:$R$79</c:f>
              <c:strCache>
                <c:ptCount val="16"/>
                <c:pt idx="0">
                  <c:v>Petrol./Chem. &amp; Non-Metal. Min. Prod</c:v>
                </c:pt>
                <c:pt idx="1">
                  <c:v>Mining &amp; Quarrying</c:v>
                </c:pt>
                <c:pt idx="2">
                  <c:v>Agriculture</c:v>
                </c:pt>
                <c:pt idx="3">
                  <c:v>Textiles/Apparel</c:v>
                </c:pt>
                <c:pt idx="4">
                  <c:v>Other</c:v>
                </c:pt>
                <c:pt idx="5">
                  <c:v>Elec/Mach</c:v>
                </c:pt>
                <c:pt idx="6">
                  <c:v>Fin./Bus.</c:v>
                </c:pt>
                <c:pt idx="7">
                  <c:v>Fishing</c:v>
                </c:pt>
                <c:pt idx="8">
                  <c:v>Food/Bev.</c:v>
                </c:pt>
                <c:pt idx="9">
                  <c:v>Hotels/rest.</c:v>
                </c:pt>
                <c:pt idx="10">
                  <c:v>Metal Products</c:v>
                </c:pt>
                <c:pt idx="11">
                  <c:v>Other Manuf.</c:v>
                </c:pt>
                <c:pt idx="12">
                  <c:v>Post/Telecom.</c:v>
                </c:pt>
                <c:pt idx="13">
                  <c:v>Transport</c:v>
                </c:pt>
                <c:pt idx="14">
                  <c:v>Transport Equip.</c:v>
                </c:pt>
                <c:pt idx="15">
                  <c:v>Wood/paper</c:v>
                </c:pt>
              </c:strCache>
            </c:strRef>
          </c:cat>
          <c:val>
            <c:numRef>
              <c:f>'Burma(Myanmar)'!$S$64:$S$79</c:f>
              <c:numCache>
                <c:formatCode>0.0%</c:formatCode>
                <c:ptCount val="16"/>
                <c:pt idx="0">
                  <c:v>6.6730814596138927E-4</c:v>
                </c:pt>
                <c:pt idx="1">
                  <c:v>0.91178066308594563</c:v>
                </c:pt>
                <c:pt idx="2">
                  <c:v>2.6623196486666782E-2</c:v>
                </c:pt>
                <c:pt idx="3">
                  <c:v>2.1197602895988977E-2</c:v>
                </c:pt>
                <c:pt idx="4">
                  <c:v>1.2790899503109965E-2</c:v>
                </c:pt>
                <c:pt idx="5">
                  <c:v>1.6967245442682576E-3</c:v>
                </c:pt>
                <c:pt idx="6">
                  <c:v>1.721295398041987E-3</c:v>
                </c:pt>
                <c:pt idx="7">
                  <c:v>2.386560755372402E-3</c:v>
                </c:pt>
                <c:pt idx="8">
                  <c:v>3.3727724954999132E-3</c:v>
                </c:pt>
                <c:pt idx="9">
                  <c:v>1.3309141460919921E-3</c:v>
                </c:pt>
                <c:pt idx="10">
                  <c:v>1.2766549024853622E-3</c:v>
                </c:pt>
                <c:pt idx="11">
                  <c:v>2.20806771599982E-3</c:v>
                </c:pt>
                <c:pt idx="12">
                  <c:v>7.4724192056644994E-4</c:v>
                </c:pt>
                <c:pt idx="13">
                  <c:v>3.5394947267489095E-3</c:v>
                </c:pt>
                <c:pt idx="14">
                  <c:v>1.5908152380197875E-3</c:v>
                </c:pt>
                <c:pt idx="15">
                  <c:v>7.0697880392325283E-3</c:v>
                </c:pt>
              </c:numCache>
            </c:numRef>
          </c:val>
        </c:ser>
        <c:dLbls>
          <c:dLblPos val="bestFit"/>
          <c:showLegendKey val="0"/>
          <c:showVal val="0"/>
          <c:showCatName val="1"/>
          <c:showSerName val="0"/>
          <c:showPercent val="1"/>
          <c:showBubbleSize val="0"/>
          <c:showLeaderLines val="1"/>
        </c:dLbls>
        <c:gapWidth val="100"/>
        <c:splitType val="pos"/>
        <c:splitPos val="11"/>
        <c:secondPieSize val="75"/>
        <c:serLines/>
      </c:of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'Burma(Myanmar)'!$V$65:$V$80</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'Burma(Myanmar)'!$W$65:$W$80</c:f>
              <c:numCache>
                <c:formatCode>0.0%</c:formatCode>
                <c:ptCount val="16"/>
                <c:pt idx="0">
                  <c:v>0.31253451542779986</c:v>
                </c:pt>
                <c:pt idx="1">
                  <c:v>3.1408301564099764E-3</c:v>
                </c:pt>
                <c:pt idx="2">
                  <c:v>2.4163614644641314E-4</c:v>
                </c:pt>
                <c:pt idx="3">
                  <c:v>5.5165946908502473E-3</c:v>
                </c:pt>
                <c:pt idx="4">
                  <c:v>2.1932543818923084E-2</c:v>
                </c:pt>
                <c:pt idx="5">
                  <c:v>5.7882234260810198E-3</c:v>
                </c:pt>
                <c:pt idx="6">
                  <c:v>2.7696581468838744E-3</c:v>
                </c:pt>
                <c:pt idx="7">
                  <c:v>0.47573536932972815</c:v>
                </c:pt>
                <c:pt idx="8">
                  <c:v>6.0797647421008986E-3</c:v>
                </c:pt>
                <c:pt idx="9">
                  <c:v>2.6966319025962843E-3</c:v>
                </c:pt>
                <c:pt idx="10">
                  <c:v>2.7508260388966021E-3</c:v>
                </c:pt>
                <c:pt idx="11">
                  <c:v>5.2165141141821539E-2</c:v>
                </c:pt>
                <c:pt idx="12">
                  <c:v>1.8191511948117467E-2</c:v>
                </c:pt>
                <c:pt idx="13">
                  <c:v>1.1333591515862299E-3</c:v>
                </c:pt>
                <c:pt idx="14">
                  <c:v>4.0882541859666464E-2</c:v>
                </c:pt>
                <c:pt idx="15">
                  <c:v>4.8440852072091811E-2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Myanmar!$B$6:$B$14</c:f>
              <c:numCache>
                <c:formatCode>_-* #,##0_-;\-* #,##0_-;_-* "-"??_-;_-@_-</c:formatCode>
                <c:ptCount val="9"/>
                <c:pt idx="0">
                  <c:v>3502320472.3126602</c:v>
                </c:pt>
                <c:pt idx="1">
                  <c:v>4221698958.2009101</c:v>
                </c:pt>
                <c:pt idx="2">
                  <c:v>5402494811.7636805</c:v>
                </c:pt>
                <c:pt idx="3">
                  <c:v>5905367870.45539</c:v>
                </c:pt>
                <c:pt idx="4">
                  <c:v>5903449906.0320101</c:v>
                </c:pt>
                <c:pt idx="5">
                  <c:v>7334734734.7580204</c:v>
                </c:pt>
                <c:pt idx="6">
                  <c:v>7699035580.07335</c:v>
                </c:pt>
                <c:pt idx="7">
                  <c:v>8220307242.7323303</c:v>
                </c:pt>
                <c:pt idx="8">
                  <c:v>9022394473.0755901</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Myanmar!$C$6:$C$14</c:f>
              <c:numCache>
                <c:formatCode>_-* #,##0_-;\-* #,##0_-;_-* "-"??_-;_-@_-</c:formatCode>
                <c:ptCount val="9"/>
                <c:pt idx="0">
                  <c:v>280772639.18807602</c:v>
                </c:pt>
                <c:pt idx="1">
                  <c:v>313622903.21842301</c:v>
                </c:pt>
                <c:pt idx="2">
                  <c:v>334841420.72394001</c:v>
                </c:pt>
                <c:pt idx="3">
                  <c:v>356708649.20255297</c:v>
                </c:pt>
                <c:pt idx="4">
                  <c:v>349190540.160945</c:v>
                </c:pt>
                <c:pt idx="5">
                  <c:v>369235188.14668697</c:v>
                </c:pt>
                <c:pt idx="6">
                  <c:v>758463892.463992</c:v>
                </c:pt>
                <c:pt idx="7">
                  <c:v>1231308421.9937799</c:v>
                </c:pt>
                <c:pt idx="8">
                  <c:v>2270916934.91082</c:v>
                </c:pt>
              </c:numCache>
            </c:numRef>
          </c:val>
        </c:ser>
        <c:dLbls>
          <c:showLegendKey val="0"/>
          <c:showVal val="0"/>
          <c:showCatName val="0"/>
          <c:showSerName val="0"/>
          <c:showPercent val="0"/>
          <c:showBubbleSize val="0"/>
        </c:dLbls>
        <c:gapWidth val="50"/>
        <c:overlap val="100"/>
        <c:axId val="101173888"/>
        <c:axId val="101183872"/>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b"/>
            <c:showLegendKey val="0"/>
            <c:showVal val="1"/>
            <c:showCatName val="0"/>
            <c:showSerName val="0"/>
            <c:showPercent val="0"/>
            <c:showBubbleSize val="0"/>
            <c:showLeaderLines val="0"/>
          </c:dLbls>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Myanmar!$E$6:$E$14</c:f>
              <c:numCache>
                <c:formatCode>0%</c:formatCode>
                <c:ptCount val="9"/>
                <c:pt idx="0">
                  <c:v>7.4217744822224263E-2</c:v>
                </c:pt>
                <c:pt idx="1">
                  <c:v>6.9151189882756064E-2</c:v>
                </c:pt>
                <c:pt idx="2">
                  <c:v>5.8361826317220727E-2</c:v>
                </c:pt>
                <c:pt idx="3">
                  <c:v>5.696331689380852E-2</c:v>
                </c:pt>
                <c:pt idx="4">
                  <c:v>5.5846892711311526E-2</c:v>
                </c:pt>
                <c:pt idx="5">
                  <c:v>4.792791143289802E-2</c:v>
                </c:pt>
                <c:pt idx="6">
                  <c:v>8.9679448982152229E-2</c:v>
                </c:pt>
                <c:pt idx="7">
                  <c:v>0.13027491443490269</c:v>
                </c:pt>
                <c:pt idx="8">
                  <c:v>0.20108512489125835</c:v>
                </c:pt>
              </c:numCache>
            </c:numRef>
          </c:val>
          <c:smooth val="0"/>
        </c:ser>
        <c:dLbls>
          <c:showLegendKey val="0"/>
          <c:showVal val="0"/>
          <c:showCatName val="0"/>
          <c:showSerName val="0"/>
          <c:showPercent val="0"/>
          <c:showBubbleSize val="0"/>
        </c:dLbls>
        <c:marker val="1"/>
        <c:smooth val="0"/>
        <c:axId val="101200256"/>
        <c:axId val="101186176"/>
      </c:lineChart>
      <c:catAx>
        <c:axId val="101173888"/>
        <c:scaling>
          <c:orientation val="minMax"/>
        </c:scaling>
        <c:delete val="0"/>
        <c:axPos val="b"/>
        <c:majorTickMark val="out"/>
        <c:minorTickMark val="none"/>
        <c:tickLblPos val="nextTo"/>
        <c:crossAx val="101183872"/>
        <c:crosses val="autoZero"/>
        <c:auto val="1"/>
        <c:lblAlgn val="ctr"/>
        <c:lblOffset val="100"/>
        <c:noMultiLvlLbl val="0"/>
      </c:catAx>
      <c:valAx>
        <c:axId val="101183872"/>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101173888"/>
        <c:crosses val="autoZero"/>
        <c:crossBetween val="between"/>
        <c:dispUnits>
          <c:builtInUnit val="billions"/>
        </c:dispUnits>
      </c:valAx>
      <c:valAx>
        <c:axId val="101186176"/>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101200256"/>
        <c:crosses val="max"/>
        <c:crossBetween val="between"/>
      </c:valAx>
      <c:catAx>
        <c:axId val="101200256"/>
        <c:scaling>
          <c:orientation val="minMax"/>
        </c:scaling>
        <c:delete val="1"/>
        <c:axPos val="b"/>
        <c:majorTickMark val="out"/>
        <c:minorTickMark val="none"/>
        <c:tickLblPos val="nextTo"/>
        <c:crossAx val="10118617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Myanmar!$B$6:$B$14</c:f>
              <c:numCache>
                <c:formatCode>_-* #,##0_-;\-* #,##0_-;_-* "-"??_-;_-@_-</c:formatCode>
                <c:ptCount val="9"/>
                <c:pt idx="0">
                  <c:v>33.963852962324381</c:v>
                </c:pt>
                <c:pt idx="1">
                  <c:v>44.298919589413082</c:v>
                </c:pt>
                <c:pt idx="2">
                  <c:v>41.260321877806696</c:v>
                </c:pt>
                <c:pt idx="3">
                  <c:v>46.743385910029225</c:v>
                </c:pt>
                <c:pt idx="4">
                  <c:v>44.359871977028391</c:v>
                </c:pt>
                <c:pt idx="5">
                  <c:v>40.386626392857139</c:v>
                </c:pt>
                <c:pt idx="6">
                  <c:v>28.654505157824094</c:v>
                </c:pt>
                <c:pt idx="7">
                  <c:v>40.166430624702045</c:v>
                </c:pt>
                <c:pt idx="8">
                  <c:v>48.862576150485999</c:v>
                </c:pt>
              </c:numCache>
            </c:numRef>
          </c:val>
          <c:smooth val="0"/>
        </c:ser>
        <c:ser>
          <c:idx val="1"/>
          <c:order val="1"/>
          <c:tx>
            <c:v>Insurance &amp; financial</c:v>
          </c:tx>
          <c:spPr>
            <a:ln w="28575">
              <a:solidFill>
                <a:schemeClr val="accent5"/>
              </a:solidFill>
            </a:ln>
          </c:spPr>
          <c:marker>
            <c:symbol val="none"/>
          </c:marker>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Myanmar!$C$6:$C$14</c:f>
              <c:numCache>
                <c:formatCode>General</c:formatCode>
                <c:ptCount val="9"/>
                <c:pt idx="7" formatCode="_-* #,##0_-;\-* #,##0_-;_-* &quot;-&quot;??_-;_-@_-">
                  <c:v>0.30838498926625402</c:v>
                </c:pt>
                <c:pt idx="8" formatCode="_-* #,##0_-;\-* #,##0_-;_-* &quot;-&quot;??_-;_-@_-">
                  <c:v>1.5826992223919212E-3</c:v>
                </c:pt>
              </c:numCache>
            </c:numRef>
          </c:val>
          <c:smooth val="0"/>
        </c:ser>
        <c:ser>
          <c:idx val="2"/>
          <c:order val="2"/>
          <c:tx>
            <c:v>Transport</c:v>
          </c:tx>
          <c:spPr>
            <a:ln w="28575"/>
          </c:spPr>
          <c:marker>
            <c:symbol val="none"/>
          </c:marker>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Myanmar!$D$6:$D$14</c:f>
              <c:numCache>
                <c:formatCode>_-* #,##0_-;\-* #,##0_-;_-* "-"??_-;_-@_-</c:formatCode>
                <c:ptCount val="9"/>
                <c:pt idx="0">
                  <c:v>42.190795492950159</c:v>
                </c:pt>
                <c:pt idx="1">
                  <c:v>41.075102193758639</c:v>
                </c:pt>
                <c:pt idx="2">
                  <c:v>33.316872583686283</c:v>
                </c:pt>
                <c:pt idx="3">
                  <c:v>34.10926950383832</c:v>
                </c:pt>
                <c:pt idx="4">
                  <c:v>39.704092881811249</c:v>
                </c:pt>
                <c:pt idx="5">
                  <c:v>40.141341036303906</c:v>
                </c:pt>
                <c:pt idx="6">
                  <c:v>28.443645814061213</c:v>
                </c:pt>
                <c:pt idx="7">
                  <c:v>15.773626146851866</c:v>
                </c:pt>
                <c:pt idx="8">
                  <c:v>10.241379190257934</c:v>
                </c:pt>
              </c:numCache>
            </c:numRef>
          </c:val>
          <c:smooth val="0"/>
        </c:ser>
        <c:ser>
          <c:idx val="3"/>
          <c:order val="3"/>
          <c:tx>
            <c:v>Travel</c:v>
          </c:tx>
          <c:spPr>
            <a:ln w="28575">
              <a:solidFill>
                <a:schemeClr val="bg1">
                  <a:lumMod val="50000"/>
                </a:schemeClr>
              </a:solidFill>
            </a:ln>
          </c:spPr>
          <c:marker>
            <c:symbol val="none"/>
          </c:marker>
          <c:cat>
            <c:strRef>
              <c:f>Myanmar!$A$6:$A$14</c:f>
              <c:strCache>
                <c:ptCount val="9"/>
                <c:pt idx="0">
                  <c:v>2005</c:v>
                </c:pt>
                <c:pt idx="1">
                  <c:v>2006</c:v>
                </c:pt>
                <c:pt idx="2">
                  <c:v>2007</c:v>
                </c:pt>
                <c:pt idx="3">
                  <c:v>2008</c:v>
                </c:pt>
                <c:pt idx="4">
                  <c:v>2009</c:v>
                </c:pt>
                <c:pt idx="5">
                  <c:v>2010</c:v>
                </c:pt>
                <c:pt idx="6">
                  <c:v>2011</c:v>
                </c:pt>
                <c:pt idx="7">
                  <c:v>2012</c:v>
                </c:pt>
                <c:pt idx="8">
                  <c:v>2013</c:v>
                </c:pt>
              </c:strCache>
            </c:strRef>
          </c:cat>
          <c:val>
            <c:numRef>
              <c:f>Myanmar!$E$6:$E$14</c:f>
              <c:numCache>
                <c:formatCode>_-* #,##0_-;\-* #,##0_-;_-* "-"??_-;_-@_-</c:formatCode>
                <c:ptCount val="9"/>
                <c:pt idx="0">
                  <c:v>23.845351560467616</c:v>
                </c:pt>
                <c:pt idx="1">
                  <c:v>14.625978227123767</c:v>
                </c:pt>
                <c:pt idx="2">
                  <c:v>25.42280554059117</c:v>
                </c:pt>
                <c:pt idx="3">
                  <c:v>19.147344591360465</c:v>
                </c:pt>
                <c:pt idx="4">
                  <c:v>15.936035138395145</c:v>
                </c:pt>
                <c:pt idx="5">
                  <c:v>19.472032563006174</c:v>
                </c:pt>
                <c:pt idx="6">
                  <c:v>42.901849017875051</c:v>
                </c:pt>
                <c:pt idx="7">
                  <c:v>43.751558234913247</c:v>
                </c:pt>
                <c:pt idx="8">
                  <c:v>40.894461960426995</c:v>
                </c:pt>
              </c:numCache>
            </c:numRef>
          </c:val>
          <c:smooth val="0"/>
        </c:ser>
        <c:dLbls>
          <c:showLegendKey val="0"/>
          <c:showVal val="0"/>
          <c:showCatName val="0"/>
          <c:showSerName val="0"/>
          <c:showPercent val="0"/>
          <c:showBubbleSize val="0"/>
        </c:dLbls>
        <c:marker val="1"/>
        <c:smooth val="0"/>
        <c:axId val="101214464"/>
        <c:axId val="101216256"/>
      </c:lineChart>
      <c:catAx>
        <c:axId val="101214464"/>
        <c:scaling>
          <c:orientation val="minMax"/>
        </c:scaling>
        <c:delete val="0"/>
        <c:axPos val="b"/>
        <c:majorTickMark val="out"/>
        <c:minorTickMark val="none"/>
        <c:tickLblPos val="nextTo"/>
        <c:crossAx val="101216256"/>
        <c:crosses val="autoZero"/>
        <c:auto val="1"/>
        <c:lblAlgn val="ctr"/>
        <c:lblOffset val="100"/>
        <c:noMultiLvlLbl val="0"/>
      </c:catAx>
      <c:valAx>
        <c:axId val="101216256"/>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121446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Sheet1!$R$681</c:f>
              <c:strCache>
                <c:ptCount val="1"/>
                <c:pt idx="0">
                  <c:v>Plantation supervisor</c:v>
                </c:pt>
              </c:strCache>
            </c:strRef>
          </c:tx>
          <c:marker>
            <c:symbol val="none"/>
          </c:marker>
          <c:cat>
            <c:numRef>
              <c:f>Sheet1!$S$680:$AH$680</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2006</c:v>
                </c:pt>
                <c:pt idx="15">
                  <c:v>2007</c:v>
                </c:pt>
              </c:numCache>
            </c:numRef>
          </c:cat>
          <c:val>
            <c:numRef>
              <c:f>Sheet1!$S$681:$AH$681</c:f>
              <c:numCache>
                <c:formatCode>General</c:formatCode>
                <c:ptCount val="16"/>
                <c:pt idx="0">
                  <c:v>0.91791044776119401</c:v>
                </c:pt>
                <c:pt idx="1">
                  <c:v>0.92028985507246375</c:v>
                </c:pt>
                <c:pt idx="2">
                  <c:v>0.91666666666666663</c:v>
                </c:pt>
                <c:pt idx="3">
                  <c:v>0.92441860465116277</c:v>
                </c:pt>
                <c:pt idx="4">
                  <c:v>0.92473118279569888</c:v>
                </c:pt>
                <c:pt idx="5">
                  <c:v>0.9269662921348315</c:v>
                </c:pt>
                <c:pt idx="6">
                  <c:v>0.93023255813953487</c:v>
                </c:pt>
                <c:pt idx="7">
                  <c:v>0.92941176470588238</c:v>
                </c:pt>
                <c:pt idx="8">
                  <c:v>0.93142857142857138</c:v>
                </c:pt>
                <c:pt idx="9">
                  <c:v>0.89344262295081966</c:v>
                </c:pt>
                <c:pt idx="10">
                  <c:v>0.89204545454545459</c:v>
                </c:pt>
                <c:pt idx="11">
                  <c:v>0.89603283173734605</c:v>
                </c:pt>
                <c:pt idx="12">
                  <c:v>0.89620253164556962</c:v>
                </c:pt>
                <c:pt idx="13">
                  <c:v>0.89688249400479614</c:v>
                </c:pt>
              </c:numCache>
            </c:numRef>
          </c:val>
          <c:smooth val="0"/>
        </c:ser>
        <c:ser>
          <c:idx val="1"/>
          <c:order val="1"/>
          <c:tx>
            <c:strRef>
              <c:f>Sheet1!$R$682</c:f>
              <c:strCache>
                <c:ptCount val="1"/>
                <c:pt idx="0">
                  <c:v>Labourer</c:v>
                </c:pt>
              </c:strCache>
            </c:strRef>
          </c:tx>
          <c:marker>
            <c:symbol val="none"/>
          </c:marker>
          <c:cat>
            <c:numRef>
              <c:f>Sheet1!$S$680:$AH$680</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2006</c:v>
                </c:pt>
                <c:pt idx="15">
                  <c:v>2007</c:v>
                </c:pt>
              </c:numCache>
            </c:numRef>
          </c:cat>
          <c:val>
            <c:numRef>
              <c:f>Sheet1!$S$682:$AH$682</c:f>
              <c:numCache>
                <c:formatCode>General</c:formatCode>
                <c:ptCount val="16"/>
                <c:pt idx="0">
                  <c:v>0.73880597014925375</c:v>
                </c:pt>
                <c:pt idx="1">
                  <c:v>0.73913043478260865</c:v>
                </c:pt>
                <c:pt idx="2">
                  <c:v>0.75</c:v>
                </c:pt>
                <c:pt idx="3">
                  <c:v>0.7558139534883721</c:v>
                </c:pt>
                <c:pt idx="4">
                  <c:v>0.75806451612903225</c:v>
                </c:pt>
                <c:pt idx="5">
                  <c:v>0.7584269662921348</c:v>
                </c:pt>
                <c:pt idx="6">
                  <c:v>0.76744186046511631</c:v>
                </c:pt>
                <c:pt idx="7">
                  <c:v>0.76470588235294112</c:v>
                </c:pt>
                <c:pt idx="8">
                  <c:v>0.77142857142857146</c:v>
                </c:pt>
                <c:pt idx="9">
                  <c:v>0.76502732240437155</c:v>
                </c:pt>
                <c:pt idx="10">
                  <c:v>0.765625</c:v>
                </c:pt>
                <c:pt idx="11">
                  <c:v>0.77017783857729138</c:v>
                </c:pt>
                <c:pt idx="12">
                  <c:v>0.77088607594936709</c:v>
                </c:pt>
                <c:pt idx="13">
                  <c:v>0.77218225419664266</c:v>
                </c:pt>
              </c:numCache>
            </c:numRef>
          </c:val>
          <c:smooth val="0"/>
        </c:ser>
        <c:ser>
          <c:idx val="2"/>
          <c:order val="2"/>
          <c:tx>
            <c:strRef>
              <c:f>Sheet1!$R$683</c:f>
              <c:strCache>
                <c:ptCount val="1"/>
                <c:pt idx="0">
                  <c:v>Computer programmer</c:v>
                </c:pt>
              </c:strCache>
            </c:strRef>
          </c:tx>
          <c:spPr>
            <a:ln>
              <a:solidFill>
                <a:schemeClr val="accent4"/>
              </a:solidFill>
            </a:ln>
          </c:spPr>
          <c:marker>
            <c:symbol val="none"/>
          </c:marker>
          <c:cat>
            <c:numRef>
              <c:f>Sheet1!$S$680:$AH$680</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2006</c:v>
                </c:pt>
                <c:pt idx="15">
                  <c:v>2007</c:v>
                </c:pt>
              </c:numCache>
            </c:numRef>
          </c:cat>
          <c:val>
            <c:numRef>
              <c:f>Sheet1!$S$683:$AH$683</c:f>
              <c:numCache>
                <c:formatCode>General</c:formatCode>
                <c:ptCount val="16"/>
                <c:pt idx="0">
                  <c:v>1.2164179104477613</c:v>
                </c:pt>
                <c:pt idx="1">
                  <c:v>1.2173913043478262</c:v>
                </c:pt>
                <c:pt idx="2">
                  <c:v>1.2083333333333333</c:v>
                </c:pt>
                <c:pt idx="3">
                  <c:v>1.2151162790697674</c:v>
                </c:pt>
                <c:pt idx="4">
                  <c:v>1.2096774193548387</c:v>
                </c:pt>
                <c:pt idx="5">
                  <c:v>1.2078651685393258</c:v>
                </c:pt>
                <c:pt idx="6">
                  <c:v>1.2093023255813953</c:v>
                </c:pt>
                <c:pt idx="7">
                  <c:v>1.2058823529411764</c:v>
                </c:pt>
                <c:pt idx="8">
                  <c:v>1.2057142857142857</c:v>
                </c:pt>
                <c:pt idx="9">
                  <c:v>1.1489071038251366</c:v>
                </c:pt>
                <c:pt idx="10">
                  <c:v>1.1477272727272727</c:v>
                </c:pt>
                <c:pt idx="11">
                  <c:v>1.1450068399452804</c:v>
                </c:pt>
                <c:pt idx="12">
                  <c:v>1.1468354430379746</c:v>
                </c:pt>
                <c:pt idx="13">
                  <c:v>1.1474820143884892</c:v>
                </c:pt>
              </c:numCache>
            </c:numRef>
          </c:val>
          <c:smooth val="0"/>
        </c:ser>
        <c:ser>
          <c:idx val="3"/>
          <c:order val="3"/>
          <c:tx>
            <c:strRef>
              <c:f>Sheet1!$R$684</c:f>
              <c:strCache>
                <c:ptCount val="1"/>
                <c:pt idx="0">
                  <c:v>Teacher</c:v>
                </c:pt>
              </c:strCache>
            </c:strRef>
          </c:tx>
          <c:spPr>
            <a:ln>
              <a:solidFill>
                <a:schemeClr val="accent5"/>
              </a:solidFill>
            </a:ln>
          </c:spPr>
          <c:marker>
            <c:symbol val="none"/>
          </c:marker>
          <c:cat>
            <c:numRef>
              <c:f>Sheet1!$S$680:$AH$680</c:f>
              <c:numCache>
                <c:formatCode>General</c:formatCode>
                <c:ptCount val="1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2006</c:v>
                </c:pt>
                <c:pt idx="15">
                  <c:v>2007</c:v>
                </c:pt>
              </c:numCache>
            </c:numRef>
          </c:cat>
          <c:val>
            <c:numRef>
              <c:f>Sheet1!$S$684:$AH$684</c:f>
              <c:numCache>
                <c:formatCode>General</c:formatCode>
                <c:ptCount val="16"/>
                <c:pt idx="0">
                  <c:v>0.86567164179104472</c:v>
                </c:pt>
                <c:pt idx="1">
                  <c:v>0.86956521739130432</c:v>
                </c:pt>
                <c:pt idx="2">
                  <c:v>0.86309523809523814</c:v>
                </c:pt>
                <c:pt idx="3">
                  <c:v>0.87209302325581395</c:v>
                </c:pt>
                <c:pt idx="4">
                  <c:v>0.87096774193548387</c:v>
                </c:pt>
                <c:pt idx="5">
                  <c:v>0.8707865168539326</c:v>
                </c:pt>
                <c:pt idx="6">
                  <c:v>0.87790697674418605</c:v>
                </c:pt>
                <c:pt idx="7">
                  <c:v>0.87647058823529411</c:v>
                </c:pt>
                <c:pt idx="8">
                  <c:v>0.88</c:v>
                </c:pt>
                <c:pt idx="9">
                  <c:v>0.84153005464480879</c:v>
                </c:pt>
                <c:pt idx="10">
                  <c:v>0.84090909090909094</c:v>
                </c:pt>
                <c:pt idx="11">
                  <c:v>0.84404924760601918</c:v>
                </c:pt>
                <c:pt idx="12">
                  <c:v>0.84430379746835438</c:v>
                </c:pt>
                <c:pt idx="13">
                  <c:v>0.84532374100719421</c:v>
                </c:pt>
                <c:pt idx="14">
                  <c:v>0.83250656550919166</c:v>
                </c:pt>
                <c:pt idx="15">
                  <c:v>0.83253856942496496</c:v>
                </c:pt>
              </c:numCache>
            </c:numRef>
          </c:val>
          <c:smooth val="0"/>
        </c:ser>
        <c:dLbls>
          <c:showLegendKey val="0"/>
          <c:showVal val="0"/>
          <c:showCatName val="0"/>
          <c:showSerName val="0"/>
          <c:showPercent val="0"/>
          <c:showBubbleSize val="0"/>
        </c:dLbls>
        <c:marker val="1"/>
        <c:smooth val="0"/>
        <c:axId val="101341440"/>
        <c:axId val="101343232"/>
      </c:lineChart>
      <c:catAx>
        <c:axId val="101341440"/>
        <c:scaling>
          <c:orientation val="minMax"/>
        </c:scaling>
        <c:delete val="0"/>
        <c:axPos val="b"/>
        <c:numFmt formatCode="General" sourceLinked="1"/>
        <c:majorTickMark val="out"/>
        <c:minorTickMark val="none"/>
        <c:tickLblPos val="nextTo"/>
        <c:txPr>
          <a:bodyPr rot="0"/>
          <a:lstStyle/>
          <a:p>
            <a:pPr>
              <a:defRPr/>
            </a:pPr>
            <a:endParaRPr lang="en-US"/>
          </a:p>
        </c:txPr>
        <c:crossAx val="101343232"/>
        <c:crosses val="autoZero"/>
        <c:auto val="1"/>
        <c:lblAlgn val="ctr"/>
        <c:lblOffset val="100"/>
        <c:noMultiLvlLbl val="0"/>
      </c:catAx>
      <c:valAx>
        <c:axId val="101343232"/>
        <c:scaling>
          <c:orientation val="minMax"/>
          <c:min val="0.60000000000000009"/>
        </c:scaling>
        <c:delete val="0"/>
        <c:axPos val="l"/>
        <c:majorGridlines/>
        <c:numFmt formatCode="General" sourceLinked="1"/>
        <c:majorTickMark val="out"/>
        <c:minorTickMark val="none"/>
        <c:tickLblPos val="nextTo"/>
        <c:crossAx val="101341440"/>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-3.633584390380193</c:v>
                </c:pt>
              </c:numCache>
            </c:numRef>
          </c:xVal>
          <c:yVal>
            <c:numRef>
              <c:f>'Rel. prod. cf employment'!$C$57</c:f>
              <c:numCache>
                <c:formatCode>#,##0.0_ ;\-#,##0.0\ </c:formatCode>
                <c:ptCount val="1"/>
                <c:pt idx="0">
                  <c:v>0.8604953691626549</c:v>
                </c:pt>
              </c:numCache>
            </c:numRef>
          </c:yVal>
          <c:bubbleSize>
            <c:numRef>
              <c:f>'Rel. prod. cf employment'!$E$57</c:f>
              <c:numCache>
                <c:formatCode>#,##0_ ;\-#,##0\ </c:formatCode>
                <c:ptCount val="1"/>
                <c:pt idx="0">
                  <c:v>12786</c:v>
                </c:pt>
              </c:numCache>
            </c:numRef>
          </c:bubbleSize>
          <c:bubble3D val="1"/>
        </c:ser>
        <c:ser>
          <c:idx val="1"/>
          <c:order val="1"/>
          <c:tx>
            <c:strRef>
              <c:f>'Rel. prod. cf employment'!$A$58</c:f>
              <c:strCache>
                <c:ptCount val="1"/>
                <c:pt idx="0">
                  <c:v>Mining</c:v>
                </c:pt>
              </c:strCache>
            </c:strRef>
          </c:tx>
          <c:spPr>
            <a:solidFill>
              <a:srgbClr val="000000"/>
            </a:solidFill>
            <a:ln w="25400">
              <a:noFill/>
            </a:ln>
          </c:spPr>
          <c:invertIfNegative val="0"/>
          <c:xVal>
            <c:numRef>
              <c:f>'Rel. prod. cf employment'!$B$58</c:f>
              <c:numCache>
                <c:formatCode>#,##0.0_ ;\-#,##0.0\ </c:formatCode>
                <c:ptCount val="1"/>
                <c:pt idx="0">
                  <c:v>5.3885612496819113E-2</c:v>
                </c:pt>
              </c:numCache>
            </c:numRef>
          </c:xVal>
          <c:yVal>
            <c:numRef>
              <c:f>'Rel. prod. cf employment'!$C$58</c:f>
              <c:numCache>
                <c:formatCode>#,##0.0_ ;\-#,##0.0\ </c:formatCode>
                <c:ptCount val="1"/>
                <c:pt idx="0">
                  <c:v>0.76851256907083909</c:v>
                </c:pt>
              </c:numCache>
            </c:numRef>
          </c:yVal>
          <c:bubbleSize>
            <c:numRef>
              <c:f>'Rel. prod. cf employment'!$E$58</c:f>
              <c:numCache>
                <c:formatCode>#,##0_ ;\-#,##0\ </c:formatCode>
                <c:ptCount val="1"/>
                <c:pt idx="0">
                  <c:v>237</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0.47747705949445596</c:v>
                </c:pt>
              </c:numCache>
            </c:numRef>
          </c:xVal>
          <c:yVal>
            <c:numRef>
              <c:f>'Rel. prod. cf employment'!$C$59</c:f>
              <c:numCache>
                <c:formatCode>#,##0.0_ ;\-#,##0.0\ </c:formatCode>
                <c:ptCount val="1"/>
                <c:pt idx="0">
                  <c:v>1.8637800201420662</c:v>
                </c:pt>
              </c:numCache>
            </c:numRef>
          </c:yVal>
          <c:bubbleSize>
            <c:numRef>
              <c:f>'Rel. prod. cf employment'!$E$59</c:f>
              <c:numCache>
                <c:formatCode>#,##0_ ;\-#,##0\ </c:formatCode>
                <c:ptCount val="1"/>
                <c:pt idx="0">
                  <c:v>3216</c:v>
                </c:pt>
              </c:numCache>
            </c:numRef>
          </c:bubbleSize>
          <c:bubble3D val="1"/>
        </c:ser>
        <c:ser>
          <c:idx val="4"/>
          <c:order val="3"/>
          <c:tx>
            <c:strRef>
              <c:f>'Rel. prod. cf employment'!$A$61</c:f>
              <c:strCache>
                <c:ptCount val="1"/>
                <c:pt idx="0">
                  <c:v>Wholesale &amp; retail</c:v>
                </c:pt>
              </c:strCache>
            </c:strRef>
          </c:tx>
          <c:spPr>
            <a:solidFill>
              <a:srgbClr val="6666FF"/>
            </a:solidFill>
            <a:ln w="25400">
              <a:noFill/>
            </a:ln>
          </c:spPr>
          <c:invertIfNegative val="0"/>
          <c:xVal>
            <c:numRef>
              <c:f>'Rel. prod. cf employment'!$B$61</c:f>
              <c:numCache>
                <c:formatCode>#,##0.0_ ;\-#,##0.0\ </c:formatCode>
                <c:ptCount val="1"/>
                <c:pt idx="0">
                  <c:v>1.2228846211118558</c:v>
                </c:pt>
              </c:numCache>
            </c:numRef>
          </c:xVal>
          <c:yVal>
            <c:numRef>
              <c:f>'Rel. prod. cf employment'!$C$61</c:f>
              <c:numCache>
                <c:formatCode>#,##0.0_ ;\-#,##0.0\ </c:formatCode>
                <c:ptCount val="1"/>
                <c:pt idx="0">
                  <c:v>0.84774859621233045</c:v>
                </c:pt>
              </c:numCache>
            </c:numRef>
          </c:yVal>
          <c:bubbleSize>
            <c:numRef>
              <c:f>'Rel. prod. cf employment'!$E$61</c:f>
              <c:numCache>
                <c:formatCode>#,##0_ ;\-#,##0\ </c:formatCode>
                <c:ptCount val="1"/>
                <c:pt idx="0">
                  <c:v>7627</c:v>
                </c:pt>
              </c:numCache>
            </c:numRef>
          </c:bubbleSize>
          <c:bubble3D val="1"/>
        </c:ser>
        <c:ser>
          <c:idx val="5"/>
          <c:order val="4"/>
          <c:tx>
            <c:v>Transport, storage, comms</c:v>
          </c:tx>
          <c:spPr>
            <a:solidFill>
              <a:srgbClr val="66FFFF"/>
            </a:solidFill>
            <a:ln w="25400">
              <a:noFill/>
            </a:ln>
          </c:spPr>
          <c:invertIfNegative val="0"/>
          <c:xVal>
            <c:numRef>
              <c:f>'Rel. prod. cf employment'!$B$62</c:f>
              <c:numCache>
                <c:formatCode>#,##0.0_ ;\-#,##0.0\ </c:formatCode>
                <c:ptCount val="1"/>
                <c:pt idx="0">
                  <c:v>0.34863657301225537</c:v>
                </c:pt>
              </c:numCache>
            </c:numRef>
          </c:xVal>
          <c:yVal>
            <c:numRef>
              <c:f>'Rel. prod. cf employment'!$C$62</c:f>
              <c:numCache>
                <c:formatCode>#,##0.0_ ;\-#,##0.0\ </c:formatCode>
                <c:ptCount val="1"/>
                <c:pt idx="0">
                  <c:v>2.6293312675380722</c:v>
                </c:pt>
              </c:numCache>
            </c:numRef>
          </c:yVal>
          <c:bubbleSize>
            <c:numRef>
              <c:f>'Rel. prod. cf employment'!$E$62</c:f>
              <c:numCache>
                <c:formatCode>#,##0_ ;\-#,##0\ </c:formatCode>
                <c:ptCount val="1"/>
                <c:pt idx="0">
                  <c:v>1712</c:v>
                </c:pt>
              </c:numCache>
            </c:numRef>
          </c:bubbleSize>
          <c:bubble3D val="1"/>
        </c:ser>
        <c:ser>
          <c:idx val="6"/>
          <c:order val="5"/>
          <c:tx>
            <c:strRef>
              <c:f>'Rel. prod. cf employment'!$A$63</c:f>
              <c:strCache>
                <c:ptCount val="1"/>
                <c:pt idx="0">
                  <c:v>Other (incl. hotels/restaurants, utilities)</c:v>
                </c:pt>
              </c:strCache>
            </c:strRef>
          </c:tx>
          <c:spPr>
            <a:solidFill>
              <a:srgbClr val="FF00FF"/>
            </a:solidFill>
            <a:ln w="25400">
              <a:noFill/>
            </a:ln>
          </c:spPr>
          <c:invertIfNegative val="0"/>
          <c:xVal>
            <c:numRef>
              <c:f>'Rel. prod. cf employment'!$B$63</c:f>
              <c:numCache>
                <c:formatCode>#,##0.0_ ;\-#,##0.0\ </c:formatCode>
                <c:ptCount val="1"/>
                <c:pt idx="0">
                  <c:v>0.60695556320221833</c:v>
                </c:pt>
              </c:numCache>
            </c:numRef>
          </c:xVal>
          <c:yVal>
            <c:numRef>
              <c:f>'Rel. prod. cf employment'!$C$63</c:f>
              <c:numCache>
                <c:formatCode>#,##0.0_ ;\-#,##0.0\ </c:formatCode>
                <c:ptCount val="1"/>
                <c:pt idx="0">
                  <c:v>0.27657683696826568</c:v>
                </c:pt>
              </c:numCache>
            </c:numRef>
          </c:yVal>
          <c:bubbleSize>
            <c:numRef>
              <c:f>'Rel. prod. cf employment'!$E$63</c:f>
              <c:numCache>
                <c:formatCode>#,##0_ ;\-#,##0\ </c:formatCode>
                <c:ptCount val="1"/>
                <c:pt idx="0">
                  <c:v>3063</c:v>
                </c:pt>
              </c:numCache>
            </c:numRef>
          </c:bubbleSize>
          <c:bubble3D val="1"/>
        </c:ser>
        <c:ser>
          <c:idx val="3"/>
          <c:order val="6"/>
          <c:tx>
            <c:v>Construction</c:v>
          </c:tx>
          <c:spPr>
            <a:solidFill>
              <a:srgbClr val="FFFF00"/>
            </a:solidFill>
            <a:ln w="25400">
              <a:noFill/>
            </a:ln>
          </c:spPr>
          <c:invertIfNegative val="0"/>
          <c:xVal>
            <c:numRef>
              <c:f>'Rel. prod. cf employment'!$B$60</c:f>
              <c:numCache>
                <c:formatCode>#,##0.0_ ;\-#,##0.0\ </c:formatCode>
                <c:ptCount val="1"/>
                <c:pt idx="0">
                  <c:v>0.92374496106258253</c:v>
                </c:pt>
              </c:numCache>
            </c:numRef>
          </c:xVal>
          <c:yVal>
            <c:numRef>
              <c:f>'Rel. prod. cf employment'!$C$60</c:f>
              <c:numCache>
                <c:formatCode>#,##0.0_ ;\-#,##0.0\ </c:formatCode>
                <c:ptCount val="1"/>
                <c:pt idx="0">
                  <c:v>0.80174952720924519</c:v>
                </c:pt>
              </c:numCache>
            </c:numRef>
          </c:yVal>
          <c:bubbleSize>
            <c:numRef>
              <c:f>'Rel. prod. cf employment'!$E$60</c:f>
              <c:numCache>
                <c:formatCode>#,##0_ ;\-#,##0\ </c:formatCode>
                <c:ptCount val="1"/>
                <c:pt idx="0">
                  <c:v>1774</c:v>
                </c:pt>
              </c:numCache>
            </c:numRef>
          </c:bubbleSize>
          <c:bubble3D val="1"/>
        </c:ser>
        <c:dLbls>
          <c:showLegendKey val="0"/>
          <c:showVal val="0"/>
          <c:showCatName val="0"/>
          <c:showSerName val="0"/>
          <c:showPercent val="0"/>
          <c:showBubbleSize val="0"/>
        </c:dLbls>
        <c:bubbleScale val="100"/>
        <c:showNegBubbles val="0"/>
        <c:axId val="89912448"/>
        <c:axId val="89914368"/>
      </c:bubbleChart>
      <c:valAx>
        <c:axId val="89912448"/>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89914368"/>
        <c:crosses val="autoZero"/>
        <c:crossBetween val="midCat"/>
      </c:valAx>
      <c:valAx>
        <c:axId val="89914368"/>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89912448"/>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4.6965047839415429E-2</c:v>
                </c:pt>
                <c:pt idx="1">
                  <c:v>0.10676769580707508</c:v>
                </c:pt>
                <c:pt idx="2">
                  <c:v>8.4212020280504202E-2</c:v>
                </c:pt>
                <c:pt idx="3">
                  <c:v>5.0984679432311338E-2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2.4346220254976361E-3</c:v>
                </c:pt>
                <c:pt idx="1">
                  <c:v>6.2824974880979906E-3</c:v>
                </c:pt>
                <c:pt idx="2">
                  <c:v>1.1030989718580214E-2</c:v>
                </c:pt>
                <c:pt idx="3">
                  <c:v>6.0818160555242001E-4</c:v>
                </c:pt>
              </c:numCache>
            </c:numRef>
          </c:val>
        </c:ser>
        <c:dLbls>
          <c:showLegendKey val="0"/>
          <c:showVal val="0"/>
          <c:showCatName val="0"/>
          <c:showSerName val="0"/>
          <c:showPercent val="0"/>
          <c:showBubbleSize val="0"/>
        </c:dLbls>
        <c:gapWidth val="150"/>
        <c:overlap val="100"/>
        <c:axId val="91054464"/>
        <c:axId val="91056000"/>
      </c:barChart>
      <c:catAx>
        <c:axId val="91054464"/>
        <c:scaling>
          <c:orientation val="minMax"/>
        </c:scaling>
        <c:delete val="0"/>
        <c:axPos val="b"/>
        <c:majorTickMark val="out"/>
        <c:minorTickMark val="none"/>
        <c:tickLblPos val="low"/>
        <c:crossAx val="91056000"/>
        <c:crosses val="autoZero"/>
        <c:auto val="1"/>
        <c:lblAlgn val="ctr"/>
        <c:lblOffset val="100"/>
        <c:noMultiLvlLbl val="0"/>
      </c:catAx>
      <c:valAx>
        <c:axId val="91056000"/>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10544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Other (incl. hotels/restaurants, utilities)</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gaps'!$I$6:$I$27</c:f>
              <c:numCache>
                <c:formatCode>#,##0.0</c:formatCode>
                <c:ptCount val="22"/>
                <c:pt idx="0" formatCode="General">
                  <c:v>0</c:v>
                </c:pt>
                <c:pt idx="1">
                  <c:v>0.27657683696826568</c:v>
                </c:pt>
                <c:pt idx="2">
                  <c:v>0.27657683696826568</c:v>
                </c:pt>
                <c:pt idx="3">
                  <c:v>0.27657683696826568</c:v>
                </c:pt>
                <c:pt idx="4" formatCode="General">
                  <c:v>0</c:v>
                </c:pt>
              </c:numCache>
            </c:numRef>
          </c:val>
        </c:ser>
        <c:ser>
          <c:idx val="1"/>
          <c:order val="1"/>
          <c:tx>
            <c:strRef>
              <c:f>'Productivity gaps'!$J$5</c:f>
              <c:strCache>
                <c:ptCount val="1"/>
                <c:pt idx="0">
                  <c:v>Mining</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gaps'!$J$6:$J$27</c:f>
              <c:numCache>
                <c:formatCode>General</c:formatCode>
                <c:ptCount val="22"/>
                <c:pt idx="3">
                  <c:v>0</c:v>
                </c:pt>
                <c:pt idx="4" formatCode="#,##0.000">
                  <c:v>0.76851256907083909</c:v>
                </c:pt>
                <c:pt idx="5" formatCode="#,##0.000">
                  <c:v>0.76851256907083909</c:v>
                </c:pt>
                <c:pt idx="6" formatCode="#,##0.000">
                  <c:v>0.76851256907083909</c:v>
                </c:pt>
                <c:pt idx="7">
                  <c:v>0</c:v>
                </c:pt>
              </c:numCache>
            </c:numRef>
          </c:val>
        </c:ser>
        <c:ser>
          <c:idx val="2"/>
          <c:order val="2"/>
          <c:tx>
            <c:strRef>
              <c:f>'Productivity gaps'!$K$5</c:f>
              <c:strCache>
                <c:ptCount val="1"/>
                <c:pt idx="0">
                  <c:v>Construction</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gaps'!$K$6:$K$27</c:f>
              <c:numCache>
                <c:formatCode>General</c:formatCode>
                <c:ptCount val="22"/>
                <c:pt idx="6">
                  <c:v>0</c:v>
                </c:pt>
                <c:pt idx="7" formatCode="#,##0.000">
                  <c:v>0.80174952720924519</c:v>
                </c:pt>
                <c:pt idx="8" formatCode="#,##0.000">
                  <c:v>0.80174952720924519</c:v>
                </c:pt>
                <c:pt idx="9" formatCode="#,##0.000">
                  <c:v>0.80174952720924519</c:v>
                </c:pt>
                <c:pt idx="10">
                  <c:v>0</c:v>
                </c:pt>
              </c:numCache>
            </c:numRef>
          </c:val>
        </c:ser>
        <c:ser>
          <c:idx val="3"/>
          <c:order val="3"/>
          <c:tx>
            <c:strRef>
              <c:f>'Productivity gaps'!$L$5</c:f>
              <c:strCache>
                <c:ptCount val="1"/>
                <c:pt idx="0">
                  <c:v>Wholesale &amp; retail</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gaps'!$L$6:$L$27</c:f>
              <c:numCache>
                <c:formatCode>General</c:formatCode>
                <c:ptCount val="22"/>
                <c:pt idx="9">
                  <c:v>0</c:v>
                </c:pt>
                <c:pt idx="10" formatCode="#,##0.0">
                  <c:v>0.84774859621233045</c:v>
                </c:pt>
                <c:pt idx="11" formatCode="#,##0.0">
                  <c:v>0.84774859621233045</c:v>
                </c:pt>
                <c:pt idx="12" formatCode="#,##0.0">
                  <c:v>0.84774859621233045</c:v>
                </c:pt>
                <c:pt idx="13">
                  <c:v>0</c:v>
                </c:pt>
              </c:numCache>
            </c:numRef>
          </c:val>
        </c:ser>
        <c:ser>
          <c:idx val="4"/>
          <c:order val="4"/>
          <c:tx>
            <c:strRef>
              <c:f>'Productivity gaps'!$M$5</c:f>
              <c:strCache>
                <c:ptCount val="1"/>
                <c:pt idx="0">
                  <c:v>Agriculture</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gaps'!$M$6:$M$27</c:f>
              <c:numCache>
                <c:formatCode>General</c:formatCode>
                <c:ptCount val="22"/>
                <c:pt idx="12">
                  <c:v>0</c:v>
                </c:pt>
                <c:pt idx="13" formatCode="#,##0.0">
                  <c:v>0.8604953691626549</c:v>
                </c:pt>
                <c:pt idx="14" formatCode="#,##0.0">
                  <c:v>0.8604953691626549</c:v>
                </c:pt>
                <c:pt idx="15" formatCode="#,##0.0">
                  <c:v>0.8604953691626549</c:v>
                </c:pt>
                <c:pt idx="16">
                  <c:v>0</c:v>
                </c:pt>
              </c:numCache>
            </c:numRef>
          </c:val>
        </c:ser>
        <c:ser>
          <c:idx val="5"/>
          <c:order val="5"/>
          <c:tx>
            <c:strRef>
              <c:f>'Productivity gaps'!$N$5</c:f>
              <c:strCache>
                <c:ptCount val="1"/>
                <c:pt idx="0">
                  <c:v>Manufacturing</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gaps'!$N$6:$N$27</c:f>
              <c:numCache>
                <c:formatCode>General</c:formatCode>
                <c:ptCount val="22"/>
                <c:pt idx="15">
                  <c:v>0</c:v>
                </c:pt>
                <c:pt idx="16" formatCode="#,##0.0">
                  <c:v>1.8637800201420662</c:v>
                </c:pt>
                <c:pt idx="17" formatCode="#,##0.0">
                  <c:v>1.8637800201420662</c:v>
                </c:pt>
                <c:pt idx="18" formatCode="#,##0.0">
                  <c:v>1.8637800201420662</c:v>
                </c:pt>
                <c:pt idx="19">
                  <c:v>0</c:v>
                </c:pt>
              </c:numCache>
            </c:numRef>
          </c:val>
        </c:ser>
        <c:ser>
          <c:idx val="6"/>
          <c:order val="6"/>
          <c:tx>
            <c:strRef>
              <c:f>'Productivity gaps'!$O$5</c:f>
              <c:strCache>
                <c:ptCount val="1"/>
                <c:pt idx="0">
                  <c:v>Transport, storage, comms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5.0353444024330098</c:v>
                </c:pt>
                <c:pt idx="3">
                  <c:v>10.07068880486602</c:v>
                </c:pt>
                <c:pt idx="4">
                  <c:v>10.07068880486602</c:v>
                </c:pt>
                <c:pt idx="5">
                  <c:v>10.460299194476409</c:v>
                </c:pt>
                <c:pt idx="6">
                  <c:v>10.849909584086799</c:v>
                </c:pt>
                <c:pt idx="7">
                  <c:v>10.849909584086799</c:v>
                </c:pt>
                <c:pt idx="8">
                  <c:v>13.766233766233766</c:v>
                </c:pt>
                <c:pt idx="9">
                  <c:v>16.682557948380733</c:v>
                </c:pt>
                <c:pt idx="10">
                  <c:v>16.682557948380733</c:v>
                </c:pt>
                <c:pt idx="11">
                  <c:v>29.220779220779221</c:v>
                </c:pt>
                <c:pt idx="12">
                  <c:v>41.759000493177709</c:v>
                </c:pt>
                <c:pt idx="13">
                  <c:v>41.759000493177709</c:v>
                </c:pt>
                <c:pt idx="14">
                  <c:v>62.778234423804044</c:v>
                </c:pt>
                <c:pt idx="15">
                  <c:v>83.797468354430379</c:v>
                </c:pt>
                <c:pt idx="16">
                  <c:v>83.797468354430379</c:v>
                </c:pt>
                <c:pt idx="17">
                  <c:v>89.084333388130858</c:v>
                </c:pt>
                <c:pt idx="18">
                  <c:v>94.371198421831338</c:v>
                </c:pt>
                <c:pt idx="19">
                  <c:v>94.371198421831338</c:v>
                </c:pt>
                <c:pt idx="20">
                  <c:v>97.185599210915669</c:v>
                </c:pt>
                <c:pt idx="21">
                  <c:v>100</c:v>
                </c:pt>
              </c:numCache>
            </c:numRef>
          </c:cat>
          <c:val>
            <c:numRef>
              <c:f>'Productivity gaps'!$O$6:$O$27</c:f>
              <c:numCache>
                <c:formatCode>General</c:formatCode>
                <c:ptCount val="22"/>
                <c:pt idx="18">
                  <c:v>0</c:v>
                </c:pt>
                <c:pt idx="19" formatCode="#,##0.0">
                  <c:v>2.6293312675380722</c:v>
                </c:pt>
                <c:pt idx="20" formatCode="#,##0.0">
                  <c:v>2.6293312675380722</c:v>
                </c:pt>
                <c:pt idx="21" formatCode="#,##0.0">
                  <c:v>2.6293312675380722</c:v>
                </c:pt>
              </c:numCache>
            </c:numRef>
          </c:val>
        </c:ser>
        <c:dLbls>
          <c:showLegendKey val="0"/>
          <c:showVal val="0"/>
          <c:showCatName val="0"/>
          <c:showSerName val="0"/>
          <c:showPercent val="0"/>
          <c:showBubbleSize val="0"/>
        </c:dLbls>
        <c:axId val="95171328"/>
        <c:axId val="95173248"/>
      </c:areaChart>
      <c:dateAx>
        <c:axId val="95171328"/>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95173248"/>
        <c:crosses val="autoZero"/>
        <c:auto val="0"/>
        <c:lblOffset val="100"/>
        <c:baseTimeUnit val="days"/>
        <c:majorUnit val="10"/>
        <c:majorTimeUnit val="days"/>
      </c:dateAx>
      <c:valAx>
        <c:axId val="95173248"/>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517132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61.451446533203125</c:v>
                </c:pt>
                <c:pt idx="1">
                  <c:v>53.511920928955078</c:v>
                </c:pt>
                <c:pt idx="2">
                  <c:v>52.059745788574219</c:v>
                </c:pt>
                <c:pt idx="3">
                  <c:v>51.113788604736328</c:v>
                </c:pt>
                <c:pt idx="4">
                  <c:v>50.828197479248047</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11.684825897216797</c:v>
                </c:pt>
                <c:pt idx="1">
                  <c:v>15.9466552734375</c:v>
                </c:pt>
                <c:pt idx="2">
                  <c:v>16.783897399902344</c:v>
                </c:pt>
                <c:pt idx="3">
                  <c:v>17.345439910888672</c:v>
                </c:pt>
                <c:pt idx="4">
                  <c:v>17.522527694702148</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26.863723754882812</c:v>
                </c:pt>
                <c:pt idx="1">
                  <c:v>30.541421890258789</c:v>
                </c:pt>
                <c:pt idx="2">
                  <c:v>31.156352996826172</c:v>
                </c:pt>
                <c:pt idx="3">
                  <c:v>31.540767669677734</c:v>
                </c:pt>
                <c:pt idx="4">
                  <c:v>31.649272918701172</c:v>
                </c:pt>
              </c:numCache>
            </c:numRef>
          </c:val>
        </c:ser>
        <c:dLbls>
          <c:showLegendKey val="0"/>
          <c:showVal val="0"/>
          <c:showCatName val="0"/>
          <c:showSerName val="0"/>
          <c:showPercent val="0"/>
          <c:showBubbleSize val="0"/>
        </c:dLbls>
        <c:gapWidth val="150"/>
        <c:overlap val="100"/>
        <c:axId val="95197824"/>
        <c:axId val="95289728"/>
      </c:barChart>
      <c:catAx>
        <c:axId val="95197824"/>
        <c:scaling>
          <c:orientation val="minMax"/>
        </c:scaling>
        <c:delete val="0"/>
        <c:axPos val="b"/>
        <c:numFmt formatCode="0" sourceLinked="1"/>
        <c:majorTickMark val="out"/>
        <c:minorTickMark val="none"/>
        <c:tickLblPos val="nextTo"/>
        <c:crossAx val="95289728"/>
        <c:crosses val="autoZero"/>
        <c:auto val="1"/>
        <c:lblAlgn val="ctr"/>
        <c:lblOffset val="100"/>
        <c:noMultiLvlLbl val="0"/>
      </c:catAx>
      <c:valAx>
        <c:axId val="95289728"/>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519782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77.611541748046875</c:v>
                </c:pt>
                <c:pt idx="1">
                  <c:v>69.105720520019531</c:v>
                </c:pt>
                <c:pt idx="2">
                  <c:v>67.528404235839844</c:v>
                </c:pt>
                <c:pt idx="3">
                  <c:v>66.450614929199219</c:v>
                </c:pt>
                <c:pt idx="4">
                  <c:v>66.079803466796875</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6.4723339080810547</c:v>
                </c:pt>
                <c:pt idx="1">
                  <c:v>9.5477542877197266</c:v>
                </c:pt>
                <c:pt idx="2">
                  <c:v>10.152313232421875</c:v>
                </c:pt>
                <c:pt idx="3">
                  <c:v>10.570662498474121</c:v>
                </c:pt>
                <c:pt idx="4">
                  <c:v>10.715581893920898</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15.916121482849121</c:v>
                </c:pt>
                <c:pt idx="1">
                  <c:v>21.346519470214844</c:v>
                </c:pt>
                <c:pt idx="2">
                  <c:v>22.319284439086914</c:v>
                </c:pt>
                <c:pt idx="3">
                  <c:v>22.978717803955078</c:v>
                </c:pt>
                <c:pt idx="4">
                  <c:v>23.204608917236328</c:v>
                </c:pt>
              </c:numCache>
            </c:numRef>
          </c:val>
        </c:ser>
        <c:dLbls>
          <c:showLegendKey val="0"/>
          <c:showVal val="0"/>
          <c:showCatName val="0"/>
          <c:showSerName val="0"/>
          <c:showPercent val="0"/>
          <c:showBubbleSize val="0"/>
        </c:dLbls>
        <c:gapWidth val="150"/>
        <c:overlap val="100"/>
        <c:axId val="95311744"/>
        <c:axId val="95313280"/>
      </c:barChart>
      <c:catAx>
        <c:axId val="95311744"/>
        <c:scaling>
          <c:orientation val="minMax"/>
        </c:scaling>
        <c:delete val="0"/>
        <c:axPos val="b"/>
        <c:numFmt formatCode="0" sourceLinked="1"/>
        <c:majorTickMark val="out"/>
        <c:minorTickMark val="none"/>
        <c:tickLblPos val="nextTo"/>
        <c:crossAx val="95313280"/>
        <c:crosses val="autoZero"/>
        <c:auto val="1"/>
        <c:lblAlgn val="ctr"/>
        <c:lblOffset val="100"/>
        <c:noMultiLvlLbl val="0"/>
      </c:catAx>
      <c:valAx>
        <c:axId val="95313280"/>
        <c:scaling>
          <c:orientation val="minMax"/>
        </c:scaling>
        <c:delete val="1"/>
        <c:axPos val="l"/>
        <c:majorGridlines/>
        <c:numFmt formatCode="0%" sourceLinked="1"/>
        <c:majorTickMark val="out"/>
        <c:minorTickMark val="none"/>
        <c:tickLblPos val="nextTo"/>
        <c:crossAx val="953117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0.44918485663755392</c:v>
                </c:pt>
                <c:pt idx="1">
                  <c:v>0.44480317356608612</c:v>
                </c:pt>
                <c:pt idx="2">
                  <c:v>0.43984075373596732</c:v>
                </c:pt>
                <c:pt idx="3">
                  <c:v>0.43741511023222635</c:v>
                </c:pt>
                <c:pt idx="4">
                  <c:v>0.43793039553554175</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0.5508149961050417</c:v>
                </c:pt>
                <c:pt idx="1">
                  <c:v>0.55519695816088077</c:v>
                </c:pt>
                <c:pt idx="2">
                  <c:v>0.56015949361765816</c:v>
                </c:pt>
                <c:pt idx="3">
                  <c:v>0.56258465546791436</c:v>
                </c:pt>
                <c:pt idx="4">
                  <c:v>0.56206937570557824</c:v>
                </c:pt>
              </c:numCache>
            </c:numRef>
          </c:val>
        </c:ser>
        <c:dLbls>
          <c:showLegendKey val="0"/>
          <c:showVal val="0"/>
          <c:showCatName val="0"/>
          <c:showSerName val="0"/>
          <c:showPercent val="0"/>
          <c:showBubbleSize val="0"/>
        </c:dLbls>
        <c:gapWidth val="150"/>
        <c:axId val="95350784"/>
        <c:axId val="95352320"/>
      </c:barChart>
      <c:catAx>
        <c:axId val="95350784"/>
        <c:scaling>
          <c:orientation val="minMax"/>
        </c:scaling>
        <c:delete val="0"/>
        <c:axPos val="b"/>
        <c:numFmt formatCode="General" sourceLinked="1"/>
        <c:majorTickMark val="out"/>
        <c:minorTickMark val="none"/>
        <c:tickLblPos val="nextTo"/>
        <c:crossAx val="95352320"/>
        <c:crosses val="autoZero"/>
        <c:auto val="1"/>
        <c:lblAlgn val="ctr"/>
        <c:lblOffset val="100"/>
        <c:noMultiLvlLbl val="0"/>
      </c:catAx>
      <c:valAx>
        <c:axId val="95352320"/>
        <c:scaling>
          <c:orientation val="minMax"/>
          <c:max val="1"/>
        </c:scaling>
        <c:delete val="0"/>
        <c:axPos val="l"/>
        <c:majorGridlines/>
        <c:numFmt formatCode="0%" sourceLinked="1"/>
        <c:majorTickMark val="out"/>
        <c:minorTickMark val="none"/>
        <c:tickLblPos val="nextTo"/>
        <c:crossAx val="9535078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6B467-BBAA-4B3F-AFAF-DBD6B681CB41}">
  <ds:schemaRefs>
    <ds:schemaRef ds:uri="http://schemas.microsoft.com/office/2006/documentManagement/types"/>
    <ds:schemaRef ds:uri="57b417f7-d786-4243-a30f-6aa963038fea"/>
    <ds:schemaRef ds:uri="http://purl.org/dc/terms/"/>
    <ds:schemaRef ds:uri="http://purl.org/dc/elements/1.1/"/>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665247D8-B8D7-49CC-965C-2C4F3CA60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19A2E-1B9C-47D3-B4D1-610CEE54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30</Pages>
  <Words>4834</Words>
  <Characters>27555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18</cp:revision>
  <dcterms:created xsi:type="dcterms:W3CDTF">2015-01-06T22:43:00Z</dcterms:created>
  <dcterms:modified xsi:type="dcterms:W3CDTF">2015-08-31T10:17:00Z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