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016EF" w14:textId="77777777" w:rsidR="00F515DA" w:rsidRPr="00B12AEC" w:rsidRDefault="0067252C"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Somalia</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7FE016F0" w14:textId="77777777" w:rsidR="00F515DA" w:rsidRDefault="00F515DA"/>
    <w:p w14:paraId="7FE016F1" w14:textId="77777777" w:rsidR="00412E5E" w:rsidRDefault="00412E5E"/>
    <w:p w14:paraId="38DC47AC" w14:textId="77777777" w:rsidR="009170CE" w:rsidRDefault="001E72B4">
      <w:pPr>
        <w:pStyle w:val="TOC1"/>
        <w:rPr>
          <w:rFonts w:asciiTheme="minorHAnsi" w:eastAsiaTheme="minorEastAsia" w:hAnsiTheme="minorHAnsi" w:cstheme="minorBidi"/>
          <w:b w:val="0"/>
          <w:noProof/>
          <w:color w:val="auto"/>
          <w:sz w:val="22"/>
          <w:lang w:eastAsia="en-GB"/>
        </w:rPr>
      </w:pPr>
      <w:r w:rsidRPr="001E72B4">
        <w:rPr>
          <w:rFonts w:cs="Arial"/>
          <w:b w:val="0"/>
        </w:rPr>
        <w:fldChar w:fldCharType="begin"/>
      </w:r>
      <w:r w:rsidRPr="001E72B4">
        <w:rPr>
          <w:rFonts w:cs="Arial"/>
          <w:b w:val="0"/>
        </w:rPr>
        <w:instrText xml:space="preserve"> TOC \o "1-2" \t "Table Heading,3,Figure Heading,3" </w:instrText>
      </w:r>
      <w:r w:rsidRPr="001E72B4">
        <w:rPr>
          <w:rFonts w:cs="Arial"/>
          <w:b w:val="0"/>
        </w:rPr>
        <w:fldChar w:fldCharType="separate"/>
      </w:r>
      <w:r w:rsidR="009170CE">
        <w:rPr>
          <w:noProof/>
        </w:rPr>
        <w:t>Economic structures</w:t>
      </w:r>
      <w:r w:rsidR="009170CE">
        <w:rPr>
          <w:noProof/>
        </w:rPr>
        <w:tab/>
      </w:r>
      <w:r w:rsidR="009170CE">
        <w:rPr>
          <w:noProof/>
        </w:rPr>
        <w:fldChar w:fldCharType="begin"/>
      </w:r>
      <w:r w:rsidR="009170CE">
        <w:rPr>
          <w:noProof/>
        </w:rPr>
        <w:instrText xml:space="preserve"> PAGEREF _Toc427923445 \h </w:instrText>
      </w:r>
      <w:r w:rsidR="009170CE">
        <w:rPr>
          <w:noProof/>
        </w:rPr>
      </w:r>
      <w:r w:rsidR="009170CE">
        <w:rPr>
          <w:noProof/>
        </w:rPr>
        <w:fldChar w:fldCharType="separate"/>
      </w:r>
      <w:r w:rsidR="009170CE">
        <w:rPr>
          <w:noProof/>
        </w:rPr>
        <w:t>3</w:t>
      </w:r>
      <w:r w:rsidR="009170CE">
        <w:rPr>
          <w:noProof/>
        </w:rPr>
        <w:fldChar w:fldCharType="end"/>
      </w:r>
    </w:p>
    <w:p w14:paraId="75B65FEE" w14:textId="1224F36C" w:rsidR="009170CE" w:rsidRDefault="009170CE" w:rsidP="009170CE">
      <w:pPr>
        <w:pStyle w:val="TOC3"/>
        <w:rPr>
          <w:rFonts w:asciiTheme="minorHAnsi" w:eastAsiaTheme="minorEastAsia" w:hAnsiTheme="minorHAnsi" w:cstheme="minorBidi"/>
          <w:noProof/>
          <w:sz w:val="22"/>
          <w:lang w:eastAsia="en-GB"/>
        </w:rPr>
      </w:pPr>
      <w:r>
        <w:rPr>
          <w:noProof/>
        </w:rPr>
        <w:t xml:space="preserve">Table 1. Sectoral shares in gross value added, Somalia, 1991–2013   </w:t>
      </w:r>
      <w:r w:rsidRPr="0093036A">
        <w:rPr>
          <w:noProof/>
          <w:color w:val="FF0000"/>
        </w:rPr>
        <w:t>NEW</w:t>
      </w:r>
      <w:r>
        <w:rPr>
          <w:noProof/>
        </w:rPr>
        <w:tab/>
      </w:r>
      <w:r>
        <w:rPr>
          <w:noProof/>
        </w:rPr>
        <w:fldChar w:fldCharType="begin"/>
      </w:r>
      <w:r>
        <w:rPr>
          <w:noProof/>
        </w:rPr>
        <w:instrText xml:space="preserve"> PAGEREF _Toc427923446 \h </w:instrText>
      </w:r>
      <w:r>
        <w:rPr>
          <w:noProof/>
        </w:rPr>
      </w:r>
      <w:r>
        <w:rPr>
          <w:noProof/>
        </w:rPr>
        <w:fldChar w:fldCharType="separate"/>
      </w:r>
      <w:r>
        <w:rPr>
          <w:noProof/>
        </w:rPr>
        <w:t>3</w:t>
      </w:r>
      <w:r>
        <w:rPr>
          <w:noProof/>
        </w:rPr>
        <w:fldChar w:fldCharType="end"/>
      </w:r>
    </w:p>
    <w:p w14:paraId="708B347B" w14:textId="77777777" w:rsidR="009170CE" w:rsidRDefault="009170CE" w:rsidP="009170CE">
      <w:pPr>
        <w:pStyle w:val="TOC3"/>
        <w:rPr>
          <w:rFonts w:asciiTheme="minorHAnsi" w:eastAsiaTheme="minorEastAsia" w:hAnsiTheme="minorHAnsi" w:cstheme="minorBidi"/>
          <w:noProof/>
          <w:sz w:val="22"/>
          <w:lang w:eastAsia="en-GB"/>
        </w:rPr>
      </w:pPr>
      <w:r>
        <w:rPr>
          <w:noProof/>
        </w:rPr>
        <w:t>Figure 1. Total employment by sex and broad sector, Somalia</w:t>
      </w:r>
      <w:r>
        <w:rPr>
          <w:noProof/>
        </w:rPr>
        <w:tab/>
      </w:r>
      <w:r>
        <w:rPr>
          <w:noProof/>
        </w:rPr>
        <w:fldChar w:fldCharType="begin"/>
      </w:r>
      <w:r>
        <w:rPr>
          <w:noProof/>
        </w:rPr>
        <w:instrText xml:space="preserve"> PAGEREF _Toc427923447 \h </w:instrText>
      </w:r>
      <w:r>
        <w:rPr>
          <w:noProof/>
        </w:rPr>
      </w:r>
      <w:r>
        <w:rPr>
          <w:noProof/>
        </w:rPr>
        <w:fldChar w:fldCharType="separate"/>
      </w:r>
      <w:r>
        <w:rPr>
          <w:noProof/>
        </w:rPr>
        <w:t>3</w:t>
      </w:r>
      <w:r>
        <w:rPr>
          <w:noProof/>
        </w:rPr>
        <w:fldChar w:fldCharType="end"/>
      </w:r>
    </w:p>
    <w:p w14:paraId="276938AA" w14:textId="77777777" w:rsidR="009170CE" w:rsidRDefault="009170CE" w:rsidP="009170CE">
      <w:pPr>
        <w:pStyle w:val="TOC3"/>
        <w:rPr>
          <w:rFonts w:asciiTheme="minorHAnsi" w:eastAsiaTheme="minorEastAsia" w:hAnsiTheme="minorHAnsi" w:cstheme="minorBidi"/>
          <w:noProof/>
          <w:sz w:val="22"/>
          <w:lang w:eastAsia="en-GB"/>
        </w:rPr>
      </w:pPr>
      <w:r>
        <w:rPr>
          <w:noProof/>
        </w:rPr>
        <w:t>Figure 2. Broad sectoral employment by sex, Somalia</w:t>
      </w:r>
      <w:r>
        <w:rPr>
          <w:noProof/>
        </w:rPr>
        <w:tab/>
      </w:r>
      <w:r>
        <w:rPr>
          <w:noProof/>
        </w:rPr>
        <w:fldChar w:fldCharType="begin"/>
      </w:r>
      <w:r>
        <w:rPr>
          <w:noProof/>
        </w:rPr>
        <w:instrText xml:space="preserve"> PAGEREF _Toc427923448 \h </w:instrText>
      </w:r>
      <w:r>
        <w:rPr>
          <w:noProof/>
        </w:rPr>
      </w:r>
      <w:r>
        <w:rPr>
          <w:noProof/>
        </w:rPr>
        <w:fldChar w:fldCharType="separate"/>
      </w:r>
      <w:r>
        <w:rPr>
          <w:noProof/>
        </w:rPr>
        <w:t>4</w:t>
      </w:r>
      <w:r>
        <w:rPr>
          <w:noProof/>
        </w:rPr>
        <w:fldChar w:fldCharType="end"/>
      </w:r>
    </w:p>
    <w:p w14:paraId="0AAF8D7B" w14:textId="77777777" w:rsidR="009170CE" w:rsidRDefault="009170CE">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_Toc427923449 \h </w:instrText>
      </w:r>
      <w:r>
        <w:rPr>
          <w:noProof/>
        </w:rPr>
      </w:r>
      <w:r>
        <w:rPr>
          <w:noProof/>
        </w:rPr>
        <w:fldChar w:fldCharType="separate"/>
      </w:r>
      <w:r>
        <w:rPr>
          <w:noProof/>
        </w:rPr>
        <w:t>5</w:t>
      </w:r>
      <w:r>
        <w:rPr>
          <w:noProof/>
        </w:rPr>
        <w:fldChar w:fldCharType="end"/>
      </w:r>
    </w:p>
    <w:p w14:paraId="0BD3523F" w14:textId="77777777" w:rsidR="009170CE" w:rsidRDefault="009170CE">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_Toc427923450 \h </w:instrText>
      </w:r>
      <w:r>
        <w:rPr>
          <w:noProof/>
        </w:rPr>
      </w:r>
      <w:r>
        <w:rPr>
          <w:noProof/>
        </w:rPr>
        <w:fldChar w:fldCharType="separate"/>
      </w:r>
      <w:r>
        <w:rPr>
          <w:noProof/>
        </w:rPr>
        <w:t>5</w:t>
      </w:r>
      <w:r>
        <w:rPr>
          <w:noProof/>
        </w:rPr>
        <w:fldChar w:fldCharType="end"/>
      </w:r>
    </w:p>
    <w:p w14:paraId="4506F4F5" w14:textId="77777777" w:rsidR="009170CE" w:rsidRDefault="009170CE" w:rsidP="009170CE">
      <w:pPr>
        <w:pStyle w:val="TOC3"/>
        <w:rPr>
          <w:rFonts w:asciiTheme="minorHAnsi" w:eastAsiaTheme="minorEastAsia" w:hAnsiTheme="minorHAnsi" w:cstheme="minorBidi"/>
          <w:noProof/>
          <w:sz w:val="22"/>
          <w:lang w:eastAsia="en-GB"/>
        </w:rPr>
      </w:pPr>
      <w:r>
        <w:rPr>
          <w:noProof/>
        </w:rPr>
        <w:t>Figure 3. Total value of trade, Somalia, 2005–13 (mirror data)</w:t>
      </w:r>
      <w:r>
        <w:rPr>
          <w:noProof/>
        </w:rPr>
        <w:tab/>
      </w:r>
      <w:r>
        <w:rPr>
          <w:noProof/>
        </w:rPr>
        <w:fldChar w:fldCharType="begin"/>
      </w:r>
      <w:r>
        <w:rPr>
          <w:noProof/>
        </w:rPr>
        <w:instrText xml:space="preserve"> PAGEREF _Toc427923451 \h </w:instrText>
      </w:r>
      <w:r>
        <w:rPr>
          <w:noProof/>
        </w:rPr>
      </w:r>
      <w:r>
        <w:rPr>
          <w:noProof/>
        </w:rPr>
        <w:fldChar w:fldCharType="separate"/>
      </w:r>
      <w:r>
        <w:rPr>
          <w:noProof/>
        </w:rPr>
        <w:t>5</w:t>
      </w:r>
      <w:r>
        <w:rPr>
          <w:noProof/>
        </w:rPr>
        <w:fldChar w:fldCharType="end"/>
      </w:r>
    </w:p>
    <w:p w14:paraId="36F02C14" w14:textId="77777777" w:rsidR="009170CE" w:rsidRDefault="009170CE" w:rsidP="009170CE">
      <w:pPr>
        <w:pStyle w:val="TOC3"/>
        <w:rPr>
          <w:rFonts w:asciiTheme="minorHAnsi" w:eastAsiaTheme="minorEastAsia" w:hAnsiTheme="minorHAnsi" w:cstheme="minorBidi"/>
          <w:noProof/>
          <w:sz w:val="22"/>
          <w:lang w:eastAsia="en-GB"/>
        </w:rPr>
      </w:pPr>
      <w:r>
        <w:rPr>
          <w:noProof/>
        </w:rPr>
        <w:t>Figure 4. Exports by broad HS Section, Somalia, 2005–8 and 2009–13 (mirror data)</w:t>
      </w:r>
      <w:r>
        <w:rPr>
          <w:noProof/>
        </w:rPr>
        <w:tab/>
      </w:r>
      <w:r>
        <w:rPr>
          <w:noProof/>
        </w:rPr>
        <w:fldChar w:fldCharType="begin"/>
      </w:r>
      <w:r>
        <w:rPr>
          <w:noProof/>
        </w:rPr>
        <w:instrText xml:space="preserve"> PAGEREF _Toc427923452 \h </w:instrText>
      </w:r>
      <w:r>
        <w:rPr>
          <w:noProof/>
        </w:rPr>
      </w:r>
      <w:r>
        <w:rPr>
          <w:noProof/>
        </w:rPr>
        <w:fldChar w:fldCharType="separate"/>
      </w:r>
      <w:r>
        <w:rPr>
          <w:noProof/>
        </w:rPr>
        <w:t>6</w:t>
      </w:r>
      <w:r>
        <w:rPr>
          <w:noProof/>
        </w:rPr>
        <w:fldChar w:fldCharType="end"/>
      </w:r>
    </w:p>
    <w:p w14:paraId="36D7C346" w14:textId="77777777" w:rsidR="009170CE" w:rsidRDefault="009170CE" w:rsidP="009170CE">
      <w:pPr>
        <w:pStyle w:val="TOC3"/>
        <w:rPr>
          <w:rFonts w:asciiTheme="minorHAnsi" w:eastAsiaTheme="minorEastAsia" w:hAnsiTheme="minorHAnsi" w:cstheme="minorBidi"/>
          <w:noProof/>
          <w:sz w:val="22"/>
          <w:lang w:eastAsia="en-GB"/>
        </w:rPr>
      </w:pPr>
      <w:r>
        <w:rPr>
          <w:noProof/>
        </w:rPr>
        <w:t>Figure 5. Change in export share by HS Section, Somalia, 2005–8 and 2009–13 (mirror data)</w:t>
      </w:r>
      <w:r>
        <w:rPr>
          <w:noProof/>
        </w:rPr>
        <w:tab/>
      </w:r>
      <w:r>
        <w:rPr>
          <w:noProof/>
        </w:rPr>
        <w:fldChar w:fldCharType="begin"/>
      </w:r>
      <w:r>
        <w:rPr>
          <w:noProof/>
        </w:rPr>
        <w:instrText xml:space="preserve"> PAGEREF _Toc427923453 \h </w:instrText>
      </w:r>
      <w:r>
        <w:rPr>
          <w:noProof/>
        </w:rPr>
      </w:r>
      <w:r>
        <w:rPr>
          <w:noProof/>
        </w:rPr>
        <w:fldChar w:fldCharType="separate"/>
      </w:r>
      <w:r>
        <w:rPr>
          <w:noProof/>
        </w:rPr>
        <w:t>7</w:t>
      </w:r>
      <w:r>
        <w:rPr>
          <w:noProof/>
        </w:rPr>
        <w:fldChar w:fldCharType="end"/>
      </w:r>
    </w:p>
    <w:p w14:paraId="0E6B1D43" w14:textId="77777777" w:rsidR="009170CE" w:rsidRDefault="009170CE" w:rsidP="009170CE">
      <w:pPr>
        <w:pStyle w:val="TOC3"/>
        <w:rPr>
          <w:rFonts w:asciiTheme="minorHAnsi" w:eastAsiaTheme="minorEastAsia" w:hAnsiTheme="minorHAnsi" w:cstheme="minorBidi"/>
          <w:noProof/>
          <w:sz w:val="22"/>
          <w:lang w:eastAsia="en-GB"/>
        </w:rPr>
      </w:pPr>
      <w:r>
        <w:rPr>
          <w:noProof/>
        </w:rPr>
        <w:t>Figure 6. Export visualisation, Somalia, 2005 and 2012</w:t>
      </w:r>
      <w:r>
        <w:rPr>
          <w:noProof/>
        </w:rPr>
        <w:tab/>
      </w:r>
      <w:r>
        <w:rPr>
          <w:noProof/>
        </w:rPr>
        <w:fldChar w:fldCharType="begin"/>
      </w:r>
      <w:r>
        <w:rPr>
          <w:noProof/>
        </w:rPr>
        <w:instrText xml:space="preserve"> PAGEREF _Toc427923454 \h </w:instrText>
      </w:r>
      <w:r>
        <w:rPr>
          <w:noProof/>
        </w:rPr>
      </w:r>
      <w:r>
        <w:rPr>
          <w:noProof/>
        </w:rPr>
        <w:fldChar w:fldCharType="separate"/>
      </w:r>
      <w:r>
        <w:rPr>
          <w:noProof/>
        </w:rPr>
        <w:t>8</w:t>
      </w:r>
      <w:r>
        <w:rPr>
          <w:noProof/>
        </w:rPr>
        <w:fldChar w:fldCharType="end"/>
      </w:r>
    </w:p>
    <w:p w14:paraId="3E4E5C18" w14:textId="77777777" w:rsidR="009170CE" w:rsidRDefault="009170CE" w:rsidP="009170CE">
      <w:pPr>
        <w:pStyle w:val="TOC3"/>
        <w:rPr>
          <w:rFonts w:asciiTheme="minorHAnsi" w:eastAsiaTheme="minorEastAsia" w:hAnsiTheme="minorHAnsi" w:cstheme="minorBidi"/>
          <w:noProof/>
          <w:sz w:val="22"/>
          <w:lang w:eastAsia="en-GB"/>
        </w:rPr>
      </w:pPr>
      <w:r>
        <w:rPr>
          <w:noProof/>
        </w:rPr>
        <w:t>Figure 7. Top export products, Somalia (average 2011–13, mirror data)</w:t>
      </w:r>
      <w:r>
        <w:rPr>
          <w:noProof/>
        </w:rPr>
        <w:tab/>
      </w:r>
      <w:r>
        <w:rPr>
          <w:noProof/>
        </w:rPr>
        <w:fldChar w:fldCharType="begin"/>
      </w:r>
      <w:r>
        <w:rPr>
          <w:noProof/>
        </w:rPr>
        <w:instrText xml:space="preserve"> PAGEREF _Toc427923455 \h </w:instrText>
      </w:r>
      <w:r>
        <w:rPr>
          <w:noProof/>
        </w:rPr>
      </w:r>
      <w:r>
        <w:rPr>
          <w:noProof/>
        </w:rPr>
        <w:fldChar w:fldCharType="separate"/>
      </w:r>
      <w:r>
        <w:rPr>
          <w:noProof/>
        </w:rPr>
        <w:t>9</w:t>
      </w:r>
      <w:r>
        <w:rPr>
          <w:noProof/>
        </w:rPr>
        <w:fldChar w:fldCharType="end"/>
      </w:r>
    </w:p>
    <w:p w14:paraId="5F2FECDE" w14:textId="77777777" w:rsidR="009170CE" w:rsidRDefault="009170CE" w:rsidP="009170CE">
      <w:pPr>
        <w:pStyle w:val="TOC3"/>
        <w:rPr>
          <w:rFonts w:asciiTheme="minorHAnsi" w:eastAsiaTheme="minorEastAsia" w:hAnsiTheme="minorHAnsi" w:cstheme="minorBidi"/>
          <w:noProof/>
          <w:sz w:val="22"/>
          <w:lang w:eastAsia="en-GB"/>
        </w:rPr>
      </w:pPr>
      <w:r>
        <w:rPr>
          <w:noProof/>
        </w:rPr>
        <w:t>Figure 8. Top export markets, Somalia (average 2011–13, mirror data)</w:t>
      </w:r>
      <w:r>
        <w:rPr>
          <w:noProof/>
        </w:rPr>
        <w:tab/>
      </w:r>
      <w:r>
        <w:rPr>
          <w:noProof/>
        </w:rPr>
        <w:fldChar w:fldCharType="begin"/>
      </w:r>
      <w:r>
        <w:rPr>
          <w:noProof/>
        </w:rPr>
        <w:instrText xml:space="preserve"> PAGEREF _Toc427923456 \h </w:instrText>
      </w:r>
      <w:r>
        <w:rPr>
          <w:noProof/>
        </w:rPr>
      </w:r>
      <w:r>
        <w:rPr>
          <w:noProof/>
        </w:rPr>
        <w:fldChar w:fldCharType="separate"/>
      </w:r>
      <w:r>
        <w:rPr>
          <w:noProof/>
        </w:rPr>
        <w:t>9</w:t>
      </w:r>
      <w:r>
        <w:rPr>
          <w:noProof/>
        </w:rPr>
        <w:fldChar w:fldCharType="end"/>
      </w:r>
    </w:p>
    <w:p w14:paraId="4C9EECEB" w14:textId="77777777" w:rsidR="009170CE" w:rsidRDefault="009170CE" w:rsidP="009170CE">
      <w:pPr>
        <w:pStyle w:val="TOC3"/>
        <w:rPr>
          <w:rFonts w:asciiTheme="minorHAnsi" w:eastAsiaTheme="minorEastAsia" w:hAnsiTheme="minorHAnsi" w:cstheme="minorBidi"/>
          <w:noProof/>
          <w:sz w:val="22"/>
          <w:lang w:eastAsia="en-GB"/>
        </w:rPr>
      </w:pPr>
      <w:r>
        <w:rPr>
          <w:noProof/>
        </w:rPr>
        <w:t>Figure 9. Imports by broad HS Section, Somalia, 2005–8 and 2009–13 (mirror data)</w:t>
      </w:r>
      <w:r>
        <w:rPr>
          <w:noProof/>
        </w:rPr>
        <w:tab/>
      </w:r>
      <w:r>
        <w:rPr>
          <w:noProof/>
        </w:rPr>
        <w:fldChar w:fldCharType="begin"/>
      </w:r>
      <w:r>
        <w:rPr>
          <w:noProof/>
        </w:rPr>
        <w:instrText xml:space="preserve"> PAGEREF _Toc427923457 \h </w:instrText>
      </w:r>
      <w:r>
        <w:rPr>
          <w:noProof/>
        </w:rPr>
      </w:r>
      <w:r>
        <w:rPr>
          <w:noProof/>
        </w:rPr>
        <w:fldChar w:fldCharType="separate"/>
      </w:r>
      <w:r>
        <w:rPr>
          <w:noProof/>
        </w:rPr>
        <w:t>10</w:t>
      </w:r>
      <w:r>
        <w:rPr>
          <w:noProof/>
        </w:rPr>
        <w:fldChar w:fldCharType="end"/>
      </w:r>
    </w:p>
    <w:p w14:paraId="07F3DF46" w14:textId="77777777" w:rsidR="009170CE" w:rsidRDefault="009170CE" w:rsidP="009170CE">
      <w:pPr>
        <w:pStyle w:val="TOC3"/>
        <w:rPr>
          <w:rFonts w:asciiTheme="minorHAnsi" w:eastAsiaTheme="minorEastAsia" w:hAnsiTheme="minorHAnsi" w:cstheme="minorBidi"/>
          <w:noProof/>
          <w:sz w:val="22"/>
          <w:lang w:eastAsia="en-GB"/>
        </w:rPr>
      </w:pPr>
      <w:r>
        <w:rPr>
          <w:noProof/>
        </w:rPr>
        <w:t>Figure 10. Change in import share by HS Section, Somalia, 2005–8 and 2009–13 (mirror data)</w:t>
      </w:r>
      <w:r>
        <w:rPr>
          <w:noProof/>
        </w:rPr>
        <w:tab/>
      </w:r>
      <w:r>
        <w:rPr>
          <w:noProof/>
        </w:rPr>
        <w:fldChar w:fldCharType="begin"/>
      </w:r>
      <w:r>
        <w:rPr>
          <w:noProof/>
        </w:rPr>
        <w:instrText xml:space="preserve"> PAGEREF _Toc427923458 \h </w:instrText>
      </w:r>
      <w:r>
        <w:rPr>
          <w:noProof/>
        </w:rPr>
      </w:r>
      <w:r>
        <w:rPr>
          <w:noProof/>
        </w:rPr>
        <w:fldChar w:fldCharType="separate"/>
      </w:r>
      <w:r>
        <w:rPr>
          <w:noProof/>
        </w:rPr>
        <w:t>11</w:t>
      </w:r>
      <w:r>
        <w:rPr>
          <w:noProof/>
        </w:rPr>
        <w:fldChar w:fldCharType="end"/>
      </w:r>
    </w:p>
    <w:p w14:paraId="31C9231F" w14:textId="77777777" w:rsidR="009170CE" w:rsidRDefault="009170CE" w:rsidP="009170CE">
      <w:pPr>
        <w:pStyle w:val="TOC3"/>
        <w:rPr>
          <w:rFonts w:asciiTheme="minorHAnsi" w:eastAsiaTheme="minorEastAsia" w:hAnsiTheme="minorHAnsi" w:cstheme="minorBidi"/>
          <w:noProof/>
          <w:sz w:val="22"/>
          <w:lang w:eastAsia="en-GB"/>
        </w:rPr>
      </w:pPr>
      <w:r>
        <w:rPr>
          <w:noProof/>
        </w:rPr>
        <w:t>Figure 11. Import visualisation, Somalia, 2005 and 2012</w:t>
      </w:r>
      <w:r>
        <w:rPr>
          <w:noProof/>
        </w:rPr>
        <w:tab/>
      </w:r>
      <w:r>
        <w:rPr>
          <w:noProof/>
        </w:rPr>
        <w:fldChar w:fldCharType="begin"/>
      </w:r>
      <w:r>
        <w:rPr>
          <w:noProof/>
        </w:rPr>
        <w:instrText xml:space="preserve"> PAGEREF _Toc427923459 \h </w:instrText>
      </w:r>
      <w:r>
        <w:rPr>
          <w:noProof/>
        </w:rPr>
      </w:r>
      <w:r>
        <w:rPr>
          <w:noProof/>
        </w:rPr>
        <w:fldChar w:fldCharType="separate"/>
      </w:r>
      <w:r>
        <w:rPr>
          <w:noProof/>
        </w:rPr>
        <w:t>12</w:t>
      </w:r>
      <w:r>
        <w:rPr>
          <w:noProof/>
        </w:rPr>
        <w:fldChar w:fldCharType="end"/>
      </w:r>
    </w:p>
    <w:p w14:paraId="0C5539ED" w14:textId="77777777" w:rsidR="009170CE" w:rsidRDefault="009170CE" w:rsidP="009170CE">
      <w:pPr>
        <w:pStyle w:val="TOC3"/>
        <w:rPr>
          <w:rFonts w:asciiTheme="minorHAnsi" w:eastAsiaTheme="minorEastAsia" w:hAnsiTheme="minorHAnsi" w:cstheme="minorBidi"/>
          <w:noProof/>
          <w:sz w:val="22"/>
          <w:lang w:eastAsia="en-GB"/>
        </w:rPr>
      </w:pPr>
      <w:r>
        <w:rPr>
          <w:noProof/>
        </w:rPr>
        <w:t>Figure 12. Top import products, Somalia (average 2011–13, mirror data)</w:t>
      </w:r>
      <w:r>
        <w:rPr>
          <w:noProof/>
        </w:rPr>
        <w:tab/>
      </w:r>
      <w:r>
        <w:rPr>
          <w:noProof/>
        </w:rPr>
        <w:fldChar w:fldCharType="begin"/>
      </w:r>
      <w:r>
        <w:rPr>
          <w:noProof/>
        </w:rPr>
        <w:instrText xml:space="preserve"> PAGEREF _Toc427923460 \h </w:instrText>
      </w:r>
      <w:r>
        <w:rPr>
          <w:noProof/>
        </w:rPr>
      </w:r>
      <w:r>
        <w:rPr>
          <w:noProof/>
        </w:rPr>
        <w:fldChar w:fldCharType="separate"/>
      </w:r>
      <w:r>
        <w:rPr>
          <w:noProof/>
        </w:rPr>
        <w:t>13</w:t>
      </w:r>
      <w:r>
        <w:rPr>
          <w:noProof/>
        </w:rPr>
        <w:fldChar w:fldCharType="end"/>
      </w:r>
    </w:p>
    <w:p w14:paraId="3C9BEE86" w14:textId="77777777" w:rsidR="009170CE" w:rsidRDefault="009170CE" w:rsidP="009170CE">
      <w:pPr>
        <w:pStyle w:val="TOC3"/>
        <w:rPr>
          <w:rFonts w:asciiTheme="minorHAnsi" w:eastAsiaTheme="minorEastAsia" w:hAnsiTheme="minorHAnsi" w:cstheme="minorBidi"/>
          <w:noProof/>
          <w:sz w:val="22"/>
          <w:lang w:eastAsia="en-GB"/>
        </w:rPr>
      </w:pPr>
      <w:r>
        <w:rPr>
          <w:noProof/>
        </w:rPr>
        <w:t>Figure 13. Top import sources, Somalia (average 2011–13, mirror data)</w:t>
      </w:r>
      <w:r>
        <w:rPr>
          <w:noProof/>
        </w:rPr>
        <w:tab/>
      </w:r>
      <w:r>
        <w:rPr>
          <w:noProof/>
        </w:rPr>
        <w:fldChar w:fldCharType="begin"/>
      </w:r>
      <w:r>
        <w:rPr>
          <w:noProof/>
        </w:rPr>
        <w:instrText xml:space="preserve"> PAGEREF _Toc427923461 \h </w:instrText>
      </w:r>
      <w:r>
        <w:rPr>
          <w:noProof/>
        </w:rPr>
      </w:r>
      <w:r>
        <w:rPr>
          <w:noProof/>
        </w:rPr>
        <w:fldChar w:fldCharType="separate"/>
      </w:r>
      <w:r>
        <w:rPr>
          <w:noProof/>
        </w:rPr>
        <w:t>13</w:t>
      </w:r>
      <w:r>
        <w:rPr>
          <w:noProof/>
        </w:rPr>
        <w:fldChar w:fldCharType="end"/>
      </w:r>
    </w:p>
    <w:p w14:paraId="451A51B6" w14:textId="77777777" w:rsidR="009170CE" w:rsidRDefault="009170CE">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_Toc427923462 \h </w:instrText>
      </w:r>
      <w:r>
        <w:rPr>
          <w:noProof/>
        </w:rPr>
      </w:r>
      <w:r>
        <w:rPr>
          <w:noProof/>
        </w:rPr>
        <w:fldChar w:fldCharType="separate"/>
      </w:r>
      <w:r>
        <w:rPr>
          <w:noProof/>
        </w:rPr>
        <w:t>14</w:t>
      </w:r>
      <w:r>
        <w:rPr>
          <w:noProof/>
        </w:rPr>
        <w:fldChar w:fldCharType="end"/>
      </w:r>
    </w:p>
    <w:p w14:paraId="1DBD9474" w14:textId="77777777" w:rsidR="009170CE" w:rsidRDefault="009170CE" w:rsidP="009170CE">
      <w:pPr>
        <w:pStyle w:val="TOC3"/>
        <w:rPr>
          <w:rFonts w:asciiTheme="minorHAnsi" w:eastAsiaTheme="minorEastAsia" w:hAnsiTheme="minorHAnsi" w:cstheme="minorBidi"/>
          <w:noProof/>
          <w:sz w:val="22"/>
          <w:lang w:eastAsia="en-GB"/>
        </w:rPr>
      </w:pPr>
      <w:r>
        <w:rPr>
          <w:noProof/>
        </w:rPr>
        <w:t>Figure 14. Export diversification index, Somalia, 1965–2010</w:t>
      </w:r>
      <w:r>
        <w:rPr>
          <w:noProof/>
        </w:rPr>
        <w:tab/>
      </w:r>
      <w:r>
        <w:rPr>
          <w:noProof/>
        </w:rPr>
        <w:fldChar w:fldCharType="begin"/>
      </w:r>
      <w:r>
        <w:rPr>
          <w:noProof/>
        </w:rPr>
        <w:instrText xml:space="preserve"> PAGEREF _Toc427923463 \h </w:instrText>
      </w:r>
      <w:r>
        <w:rPr>
          <w:noProof/>
        </w:rPr>
      </w:r>
      <w:r>
        <w:rPr>
          <w:noProof/>
        </w:rPr>
        <w:fldChar w:fldCharType="separate"/>
      </w:r>
      <w:r>
        <w:rPr>
          <w:noProof/>
        </w:rPr>
        <w:t>14</w:t>
      </w:r>
      <w:r>
        <w:rPr>
          <w:noProof/>
        </w:rPr>
        <w:fldChar w:fldCharType="end"/>
      </w:r>
    </w:p>
    <w:p w14:paraId="0CF4D7BF" w14:textId="77777777" w:rsidR="009170CE" w:rsidRDefault="009170CE" w:rsidP="009170CE">
      <w:pPr>
        <w:pStyle w:val="TOC3"/>
        <w:rPr>
          <w:rFonts w:asciiTheme="minorHAnsi" w:eastAsiaTheme="minorEastAsia" w:hAnsiTheme="minorHAnsi" w:cstheme="minorBidi"/>
          <w:noProof/>
          <w:sz w:val="22"/>
          <w:lang w:eastAsia="en-GB"/>
        </w:rPr>
      </w:pPr>
      <w:r>
        <w:rPr>
          <w:noProof/>
        </w:rPr>
        <w:t>Figure 15. Export quality index, Somalia, 1970–2010</w:t>
      </w:r>
      <w:r>
        <w:rPr>
          <w:noProof/>
        </w:rPr>
        <w:tab/>
      </w:r>
      <w:r>
        <w:rPr>
          <w:noProof/>
        </w:rPr>
        <w:fldChar w:fldCharType="begin"/>
      </w:r>
      <w:r>
        <w:rPr>
          <w:noProof/>
        </w:rPr>
        <w:instrText xml:space="preserve"> PAGEREF _Toc427923464 \h </w:instrText>
      </w:r>
      <w:r>
        <w:rPr>
          <w:noProof/>
        </w:rPr>
      </w:r>
      <w:r>
        <w:rPr>
          <w:noProof/>
        </w:rPr>
        <w:fldChar w:fldCharType="separate"/>
      </w:r>
      <w:r>
        <w:rPr>
          <w:noProof/>
        </w:rPr>
        <w:t>14</w:t>
      </w:r>
      <w:r>
        <w:rPr>
          <w:noProof/>
        </w:rPr>
        <w:fldChar w:fldCharType="end"/>
      </w:r>
    </w:p>
    <w:p w14:paraId="2805774E" w14:textId="77777777" w:rsidR="009170CE" w:rsidRDefault="009170CE" w:rsidP="009170CE">
      <w:pPr>
        <w:pStyle w:val="TOC3"/>
        <w:rPr>
          <w:rFonts w:asciiTheme="minorHAnsi" w:eastAsiaTheme="minorEastAsia" w:hAnsiTheme="minorHAnsi" w:cstheme="minorBidi"/>
          <w:noProof/>
          <w:sz w:val="22"/>
          <w:lang w:eastAsia="en-GB"/>
        </w:rPr>
      </w:pPr>
      <w:r>
        <w:rPr>
          <w:noProof/>
        </w:rPr>
        <w:t>Figure 16. Number of export items and markets, Somalia, 2005–13 (mirror data)</w:t>
      </w:r>
      <w:r>
        <w:rPr>
          <w:noProof/>
        </w:rPr>
        <w:tab/>
      </w:r>
      <w:r>
        <w:rPr>
          <w:noProof/>
        </w:rPr>
        <w:fldChar w:fldCharType="begin"/>
      </w:r>
      <w:r>
        <w:rPr>
          <w:noProof/>
        </w:rPr>
        <w:instrText xml:space="preserve"> PAGEREF _Toc427923465 \h </w:instrText>
      </w:r>
      <w:r>
        <w:rPr>
          <w:noProof/>
        </w:rPr>
      </w:r>
      <w:r>
        <w:rPr>
          <w:noProof/>
        </w:rPr>
        <w:fldChar w:fldCharType="separate"/>
      </w:r>
      <w:r>
        <w:rPr>
          <w:noProof/>
        </w:rPr>
        <w:t>15</w:t>
      </w:r>
      <w:r>
        <w:rPr>
          <w:noProof/>
        </w:rPr>
        <w:fldChar w:fldCharType="end"/>
      </w:r>
    </w:p>
    <w:p w14:paraId="74BEB8A9" w14:textId="77777777" w:rsidR="009170CE" w:rsidRDefault="009170CE" w:rsidP="009170CE">
      <w:pPr>
        <w:pStyle w:val="TOC3"/>
        <w:rPr>
          <w:rFonts w:asciiTheme="minorHAnsi" w:eastAsiaTheme="minorEastAsia" w:hAnsiTheme="minorHAnsi" w:cstheme="minorBidi"/>
          <w:noProof/>
          <w:sz w:val="22"/>
          <w:lang w:eastAsia="en-GB"/>
        </w:rPr>
      </w:pPr>
      <w:r>
        <w:rPr>
          <w:noProof/>
        </w:rPr>
        <w:t>Figure 17. Number of import items and suppliers, Somalia, 2005–13 (mirror data)</w:t>
      </w:r>
      <w:r>
        <w:rPr>
          <w:noProof/>
        </w:rPr>
        <w:tab/>
      </w:r>
      <w:r>
        <w:rPr>
          <w:noProof/>
        </w:rPr>
        <w:fldChar w:fldCharType="begin"/>
      </w:r>
      <w:r>
        <w:rPr>
          <w:noProof/>
        </w:rPr>
        <w:instrText xml:space="preserve"> PAGEREF _Toc427923466 \h </w:instrText>
      </w:r>
      <w:r>
        <w:rPr>
          <w:noProof/>
        </w:rPr>
      </w:r>
      <w:r>
        <w:rPr>
          <w:noProof/>
        </w:rPr>
        <w:fldChar w:fldCharType="separate"/>
      </w:r>
      <w:r>
        <w:rPr>
          <w:noProof/>
        </w:rPr>
        <w:t>15</w:t>
      </w:r>
      <w:r>
        <w:rPr>
          <w:noProof/>
        </w:rPr>
        <w:fldChar w:fldCharType="end"/>
      </w:r>
    </w:p>
    <w:p w14:paraId="53BF169E" w14:textId="77777777" w:rsidR="009170CE" w:rsidRDefault="009170CE">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_Toc427923467 \h </w:instrText>
      </w:r>
      <w:r>
        <w:rPr>
          <w:noProof/>
        </w:rPr>
      </w:r>
      <w:r>
        <w:rPr>
          <w:noProof/>
        </w:rPr>
        <w:fldChar w:fldCharType="separate"/>
      </w:r>
      <w:r>
        <w:rPr>
          <w:noProof/>
        </w:rPr>
        <w:t>17</w:t>
      </w:r>
      <w:r>
        <w:rPr>
          <w:noProof/>
        </w:rPr>
        <w:fldChar w:fldCharType="end"/>
      </w:r>
    </w:p>
    <w:p w14:paraId="64D3828A" w14:textId="77777777" w:rsidR="009170CE" w:rsidRDefault="009170CE" w:rsidP="009170CE">
      <w:pPr>
        <w:pStyle w:val="TOC3"/>
        <w:rPr>
          <w:rFonts w:asciiTheme="minorHAnsi" w:eastAsiaTheme="minorEastAsia" w:hAnsiTheme="minorHAnsi" w:cstheme="minorBidi"/>
          <w:noProof/>
          <w:sz w:val="22"/>
          <w:lang w:eastAsia="en-GB"/>
        </w:rPr>
      </w:pPr>
      <w:r>
        <w:rPr>
          <w:noProof/>
        </w:rPr>
        <w:t>Table 2. Revealed comparative advantage by HS Section, Somalia (mirror data)</w:t>
      </w:r>
      <w:r>
        <w:rPr>
          <w:noProof/>
        </w:rPr>
        <w:tab/>
      </w:r>
      <w:r>
        <w:rPr>
          <w:noProof/>
        </w:rPr>
        <w:fldChar w:fldCharType="begin"/>
      </w:r>
      <w:r>
        <w:rPr>
          <w:noProof/>
        </w:rPr>
        <w:instrText xml:space="preserve"> PAGEREF _Toc427923468 \h </w:instrText>
      </w:r>
      <w:r>
        <w:rPr>
          <w:noProof/>
        </w:rPr>
      </w:r>
      <w:r>
        <w:rPr>
          <w:noProof/>
        </w:rPr>
        <w:fldChar w:fldCharType="separate"/>
      </w:r>
      <w:r>
        <w:rPr>
          <w:noProof/>
        </w:rPr>
        <w:t>17</w:t>
      </w:r>
      <w:r>
        <w:rPr>
          <w:noProof/>
        </w:rPr>
        <w:fldChar w:fldCharType="end"/>
      </w:r>
    </w:p>
    <w:p w14:paraId="2143CB7D" w14:textId="77777777" w:rsidR="009170CE" w:rsidRDefault="009170CE">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_Toc427923469 \h </w:instrText>
      </w:r>
      <w:r>
        <w:rPr>
          <w:noProof/>
        </w:rPr>
      </w:r>
      <w:r>
        <w:rPr>
          <w:noProof/>
        </w:rPr>
        <w:fldChar w:fldCharType="separate"/>
      </w:r>
      <w:r>
        <w:rPr>
          <w:noProof/>
        </w:rPr>
        <w:t>18</w:t>
      </w:r>
      <w:r>
        <w:rPr>
          <w:noProof/>
        </w:rPr>
        <w:fldChar w:fldCharType="end"/>
      </w:r>
    </w:p>
    <w:p w14:paraId="40E24EB4" w14:textId="77777777" w:rsidR="009170CE" w:rsidRDefault="009170CE" w:rsidP="009170CE">
      <w:pPr>
        <w:pStyle w:val="TOC3"/>
        <w:rPr>
          <w:rFonts w:asciiTheme="minorHAnsi" w:eastAsiaTheme="minorEastAsia" w:hAnsiTheme="minorHAnsi" w:cstheme="minorBidi"/>
          <w:noProof/>
          <w:sz w:val="22"/>
          <w:lang w:eastAsia="en-GB"/>
        </w:rPr>
      </w:pPr>
      <w:r>
        <w:rPr>
          <w:noProof/>
        </w:rPr>
        <w:t>Figure 18. Compound annual growth rate of domestic value added, foreign value added and exports, 1996-2011 and 2006-11, Somalia</w:t>
      </w:r>
      <w:r>
        <w:rPr>
          <w:noProof/>
        </w:rPr>
        <w:tab/>
      </w:r>
      <w:r>
        <w:rPr>
          <w:noProof/>
        </w:rPr>
        <w:fldChar w:fldCharType="begin"/>
      </w:r>
      <w:r>
        <w:rPr>
          <w:noProof/>
        </w:rPr>
        <w:instrText xml:space="preserve"> PAGEREF _Toc427923470 \h </w:instrText>
      </w:r>
      <w:r>
        <w:rPr>
          <w:noProof/>
        </w:rPr>
      </w:r>
      <w:r>
        <w:rPr>
          <w:noProof/>
        </w:rPr>
        <w:fldChar w:fldCharType="separate"/>
      </w:r>
      <w:r>
        <w:rPr>
          <w:noProof/>
        </w:rPr>
        <w:t>18</w:t>
      </w:r>
      <w:r>
        <w:rPr>
          <w:noProof/>
        </w:rPr>
        <w:fldChar w:fldCharType="end"/>
      </w:r>
    </w:p>
    <w:p w14:paraId="44F2367E" w14:textId="77777777" w:rsidR="009170CE" w:rsidRDefault="009170CE" w:rsidP="009170CE">
      <w:pPr>
        <w:pStyle w:val="TOC3"/>
        <w:rPr>
          <w:rFonts w:asciiTheme="minorHAnsi" w:eastAsiaTheme="minorEastAsia" w:hAnsiTheme="minorHAnsi" w:cstheme="minorBidi"/>
          <w:noProof/>
          <w:sz w:val="22"/>
          <w:lang w:eastAsia="en-GB"/>
        </w:rPr>
      </w:pPr>
      <w:r>
        <w:rPr>
          <w:noProof/>
        </w:rPr>
        <w:t>Figure 19.</w:t>
      </w:r>
      <w:r w:rsidRPr="0093036A">
        <w:rPr>
          <w:noProof/>
        </w:rPr>
        <w:t xml:space="preserve"> Domestic and foreign value added content of gross exports as share of gross exports, 1996, 2000, 2006 and 2011</w:t>
      </w:r>
      <w:r>
        <w:rPr>
          <w:noProof/>
        </w:rPr>
        <w:t>, Somalia</w:t>
      </w:r>
      <w:r>
        <w:rPr>
          <w:noProof/>
        </w:rPr>
        <w:tab/>
      </w:r>
      <w:r>
        <w:rPr>
          <w:noProof/>
        </w:rPr>
        <w:fldChar w:fldCharType="begin"/>
      </w:r>
      <w:r>
        <w:rPr>
          <w:noProof/>
        </w:rPr>
        <w:instrText xml:space="preserve"> PAGEREF _Toc427923471 \h </w:instrText>
      </w:r>
      <w:r>
        <w:rPr>
          <w:noProof/>
        </w:rPr>
      </w:r>
      <w:r>
        <w:rPr>
          <w:noProof/>
        </w:rPr>
        <w:fldChar w:fldCharType="separate"/>
      </w:r>
      <w:r>
        <w:rPr>
          <w:noProof/>
        </w:rPr>
        <w:t>18</w:t>
      </w:r>
      <w:r>
        <w:rPr>
          <w:noProof/>
        </w:rPr>
        <w:fldChar w:fldCharType="end"/>
      </w:r>
    </w:p>
    <w:p w14:paraId="1B215738" w14:textId="77777777" w:rsidR="009170CE" w:rsidRDefault="009170CE" w:rsidP="009170CE">
      <w:pPr>
        <w:pStyle w:val="TOC3"/>
        <w:rPr>
          <w:rFonts w:asciiTheme="minorHAnsi" w:eastAsiaTheme="minorEastAsia" w:hAnsiTheme="minorHAnsi" w:cstheme="minorBidi"/>
          <w:noProof/>
          <w:sz w:val="22"/>
          <w:lang w:eastAsia="en-GB"/>
        </w:rPr>
      </w:pPr>
      <w:r w:rsidRPr="0093036A">
        <w:rPr>
          <w:noProof/>
        </w:rPr>
        <w:lastRenderedPageBreak/>
        <w:t>Figure 20. Overall value of domestic and foreign value added, 1996, 2000, 2006 and 2011 (in USD 1,000)</w:t>
      </w:r>
      <w:r>
        <w:rPr>
          <w:noProof/>
        </w:rPr>
        <w:t xml:space="preserve"> , Somalia</w:t>
      </w:r>
      <w:r>
        <w:rPr>
          <w:noProof/>
        </w:rPr>
        <w:tab/>
      </w:r>
      <w:r>
        <w:rPr>
          <w:noProof/>
        </w:rPr>
        <w:fldChar w:fldCharType="begin"/>
      </w:r>
      <w:r>
        <w:rPr>
          <w:noProof/>
        </w:rPr>
        <w:instrText xml:space="preserve"> PAGEREF _Toc427923472 \h </w:instrText>
      </w:r>
      <w:r>
        <w:rPr>
          <w:noProof/>
        </w:rPr>
      </w:r>
      <w:r>
        <w:rPr>
          <w:noProof/>
        </w:rPr>
        <w:fldChar w:fldCharType="separate"/>
      </w:r>
      <w:r>
        <w:rPr>
          <w:noProof/>
        </w:rPr>
        <w:t>18</w:t>
      </w:r>
      <w:r>
        <w:rPr>
          <w:noProof/>
        </w:rPr>
        <w:fldChar w:fldCharType="end"/>
      </w:r>
    </w:p>
    <w:p w14:paraId="691BB1D8" w14:textId="77777777" w:rsidR="009170CE" w:rsidRDefault="009170CE" w:rsidP="009170CE">
      <w:pPr>
        <w:pStyle w:val="TOC3"/>
        <w:rPr>
          <w:rFonts w:asciiTheme="minorHAnsi" w:eastAsiaTheme="minorEastAsia" w:hAnsiTheme="minorHAnsi" w:cstheme="minorBidi"/>
          <w:noProof/>
          <w:sz w:val="22"/>
          <w:lang w:eastAsia="en-GB"/>
        </w:rPr>
      </w:pPr>
      <w:r w:rsidRPr="0093036A">
        <w:rPr>
          <w:noProof/>
        </w:rPr>
        <w:t>Figure 21. Compound annual growth rate of DVA embodied in gross exports by sector, 1996-2011 and 2006-2011</w:t>
      </w:r>
      <w:r>
        <w:rPr>
          <w:noProof/>
        </w:rPr>
        <w:t>, Somalia</w:t>
      </w:r>
      <w:r>
        <w:rPr>
          <w:noProof/>
        </w:rPr>
        <w:tab/>
      </w:r>
      <w:r>
        <w:rPr>
          <w:noProof/>
        </w:rPr>
        <w:fldChar w:fldCharType="begin"/>
      </w:r>
      <w:r>
        <w:rPr>
          <w:noProof/>
        </w:rPr>
        <w:instrText xml:space="preserve"> PAGEREF _Toc427923473 \h </w:instrText>
      </w:r>
      <w:r>
        <w:rPr>
          <w:noProof/>
        </w:rPr>
      </w:r>
      <w:r>
        <w:rPr>
          <w:noProof/>
        </w:rPr>
        <w:fldChar w:fldCharType="separate"/>
      </w:r>
      <w:r>
        <w:rPr>
          <w:noProof/>
        </w:rPr>
        <w:t>19</w:t>
      </w:r>
      <w:r>
        <w:rPr>
          <w:noProof/>
        </w:rPr>
        <w:fldChar w:fldCharType="end"/>
      </w:r>
    </w:p>
    <w:p w14:paraId="668295A4" w14:textId="77777777" w:rsidR="009170CE" w:rsidRDefault="009170CE" w:rsidP="009170CE">
      <w:pPr>
        <w:pStyle w:val="TOC3"/>
        <w:rPr>
          <w:rFonts w:asciiTheme="minorHAnsi" w:eastAsiaTheme="minorEastAsia" w:hAnsiTheme="minorHAnsi" w:cstheme="minorBidi"/>
          <w:noProof/>
          <w:sz w:val="22"/>
          <w:lang w:eastAsia="en-GB"/>
        </w:rPr>
      </w:pPr>
      <w:r>
        <w:rPr>
          <w:noProof/>
        </w:rPr>
        <w:t>Figure 22.</w:t>
      </w:r>
      <w:r w:rsidRPr="0093036A">
        <w:rPr>
          <w:noProof/>
        </w:rPr>
        <w:t xml:space="preserve"> Sectoral DVA embodied in exports as a share of sectoral gross exports, 2000 and 2011</w:t>
      </w:r>
      <w:r>
        <w:rPr>
          <w:noProof/>
        </w:rPr>
        <w:t>, Somalia</w:t>
      </w:r>
      <w:r>
        <w:rPr>
          <w:noProof/>
        </w:rPr>
        <w:tab/>
      </w:r>
      <w:r>
        <w:rPr>
          <w:noProof/>
        </w:rPr>
        <w:fldChar w:fldCharType="begin"/>
      </w:r>
      <w:r>
        <w:rPr>
          <w:noProof/>
        </w:rPr>
        <w:instrText xml:space="preserve"> PAGEREF _Toc427923474 \h </w:instrText>
      </w:r>
      <w:r>
        <w:rPr>
          <w:noProof/>
        </w:rPr>
      </w:r>
      <w:r>
        <w:rPr>
          <w:noProof/>
        </w:rPr>
        <w:fldChar w:fldCharType="separate"/>
      </w:r>
      <w:r>
        <w:rPr>
          <w:noProof/>
        </w:rPr>
        <w:t>19</w:t>
      </w:r>
      <w:r>
        <w:rPr>
          <w:noProof/>
        </w:rPr>
        <w:fldChar w:fldCharType="end"/>
      </w:r>
    </w:p>
    <w:p w14:paraId="3AB39D2E" w14:textId="77777777" w:rsidR="009170CE" w:rsidRDefault="009170CE" w:rsidP="009170CE">
      <w:pPr>
        <w:pStyle w:val="TOC3"/>
        <w:rPr>
          <w:rFonts w:asciiTheme="minorHAnsi" w:eastAsiaTheme="minorEastAsia" w:hAnsiTheme="minorHAnsi" w:cstheme="minorBidi"/>
          <w:noProof/>
          <w:sz w:val="22"/>
          <w:lang w:eastAsia="en-GB"/>
        </w:rPr>
      </w:pPr>
      <w:r>
        <w:rPr>
          <w:noProof/>
        </w:rPr>
        <w:t>Figure 23.</w:t>
      </w:r>
      <w:r w:rsidRPr="0093036A">
        <w:rPr>
          <w:rFonts w:cs="Arial"/>
          <w:noProof/>
        </w:rPr>
        <w:t xml:space="preserve"> Sectoral DVA as a share of total DVA, 2000 and 2011</w:t>
      </w:r>
      <w:r>
        <w:rPr>
          <w:noProof/>
        </w:rPr>
        <w:t>, Somalia</w:t>
      </w:r>
      <w:r>
        <w:rPr>
          <w:noProof/>
        </w:rPr>
        <w:tab/>
      </w:r>
      <w:r>
        <w:rPr>
          <w:noProof/>
        </w:rPr>
        <w:fldChar w:fldCharType="begin"/>
      </w:r>
      <w:r>
        <w:rPr>
          <w:noProof/>
        </w:rPr>
        <w:instrText xml:space="preserve"> PAGEREF _Toc427923475 \h </w:instrText>
      </w:r>
      <w:r>
        <w:rPr>
          <w:noProof/>
        </w:rPr>
      </w:r>
      <w:r>
        <w:rPr>
          <w:noProof/>
        </w:rPr>
        <w:fldChar w:fldCharType="separate"/>
      </w:r>
      <w:r>
        <w:rPr>
          <w:noProof/>
        </w:rPr>
        <w:t>20</w:t>
      </w:r>
      <w:r>
        <w:rPr>
          <w:noProof/>
        </w:rPr>
        <w:fldChar w:fldCharType="end"/>
      </w:r>
    </w:p>
    <w:p w14:paraId="17A1B712" w14:textId="77777777" w:rsidR="009170CE" w:rsidRDefault="009170CE" w:rsidP="009170CE">
      <w:pPr>
        <w:pStyle w:val="TOC3"/>
        <w:rPr>
          <w:rFonts w:asciiTheme="minorHAnsi" w:eastAsiaTheme="minorEastAsia" w:hAnsiTheme="minorHAnsi" w:cstheme="minorBidi"/>
          <w:noProof/>
          <w:sz w:val="22"/>
          <w:lang w:eastAsia="en-GB"/>
        </w:rPr>
      </w:pPr>
      <w:r w:rsidRPr="0093036A">
        <w:rPr>
          <w:noProof/>
        </w:rPr>
        <w:t>Figure 24. Compound annual growth rate of FVA embodied in gross exports by sector, 1996-2011 and 2006-2011</w:t>
      </w:r>
      <w:r>
        <w:rPr>
          <w:noProof/>
        </w:rPr>
        <w:t>, Somalia</w:t>
      </w:r>
      <w:r>
        <w:rPr>
          <w:noProof/>
        </w:rPr>
        <w:tab/>
      </w:r>
      <w:r>
        <w:rPr>
          <w:noProof/>
        </w:rPr>
        <w:fldChar w:fldCharType="begin"/>
      </w:r>
      <w:r>
        <w:rPr>
          <w:noProof/>
        </w:rPr>
        <w:instrText xml:space="preserve"> PAGEREF _Toc427923476 \h </w:instrText>
      </w:r>
      <w:r>
        <w:rPr>
          <w:noProof/>
        </w:rPr>
      </w:r>
      <w:r>
        <w:rPr>
          <w:noProof/>
        </w:rPr>
        <w:fldChar w:fldCharType="separate"/>
      </w:r>
      <w:r>
        <w:rPr>
          <w:noProof/>
        </w:rPr>
        <w:t>21</w:t>
      </w:r>
      <w:r>
        <w:rPr>
          <w:noProof/>
        </w:rPr>
        <w:fldChar w:fldCharType="end"/>
      </w:r>
    </w:p>
    <w:p w14:paraId="31F8DA59" w14:textId="77777777" w:rsidR="009170CE" w:rsidRDefault="009170CE" w:rsidP="009170CE">
      <w:pPr>
        <w:pStyle w:val="TOC3"/>
        <w:rPr>
          <w:rFonts w:asciiTheme="minorHAnsi" w:eastAsiaTheme="minorEastAsia" w:hAnsiTheme="minorHAnsi" w:cstheme="minorBidi"/>
          <w:noProof/>
          <w:sz w:val="22"/>
          <w:lang w:eastAsia="en-GB"/>
        </w:rPr>
      </w:pPr>
      <w:r>
        <w:rPr>
          <w:noProof/>
        </w:rPr>
        <w:t>Figure 25.</w:t>
      </w:r>
      <w:r w:rsidRPr="0093036A">
        <w:rPr>
          <w:noProof/>
        </w:rPr>
        <w:t xml:space="preserve"> Sectoral FVA embodied in exports as a share of sectoral gross exports, 2000 and 2011</w:t>
      </w:r>
      <w:r>
        <w:rPr>
          <w:noProof/>
        </w:rPr>
        <w:t>, Somalia</w:t>
      </w:r>
      <w:r>
        <w:rPr>
          <w:noProof/>
        </w:rPr>
        <w:tab/>
      </w:r>
      <w:r>
        <w:rPr>
          <w:noProof/>
        </w:rPr>
        <w:fldChar w:fldCharType="begin"/>
      </w:r>
      <w:r>
        <w:rPr>
          <w:noProof/>
        </w:rPr>
        <w:instrText xml:space="preserve"> PAGEREF _Toc427923477 \h </w:instrText>
      </w:r>
      <w:r>
        <w:rPr>
          <w:noProof/>
        </w:rPr>
      </w:r>
      <w:r>
        <w:rPr>
          <w:noProof/>
        </w:rPr>
        <w:fldChar w:fldCharType="separate"/>
      </w:r>
      <w:r>
        <w:rPr>
          <w:noProof/>
        </w:rPr>
        <w:t>21</w:t>
      </w:r>
      <w:r>
        <w:rPr>
          <w:noProof/>
        </w:rPr>
        <w:fldChar w:fldCharType="end"/>
      </w:r>
    </w:p>
    <w:p w14:paraId="32DD53A3" w14:textId="77777777" w:rsidR="009170CE" w:rsidRDefault="009170CE" w:rsidP="009170CE">
      <w:pPr>
        <w:pStyle w:val="TOC3"/>
        <w:rPr>
          <w:rFonts w:asciiTheme="minorHAnsi" w:eastAsiaTheme="minorEastAsia" w:hAnsiTheme="minorHAnsi" w:cstheme="minorBidi"/>
          <w:noProof/>
          <w:sz w:val="22"/>
          <w:lang w:eastAsia="en-GB"/>
        </w:rPr>
      </w:pPr>
      <w:r>
        <w:rPr>
          <w:noProof/>
        </w:rPr>
        <w:t>Figure 26.</w:t>
      </w:r>
      <w:r w:rsidRPr="0093036A">
        <w:rPr>
          <w:rFonts w:cs="Arial"/>
          <w:noProof/>
        </w:rPr>
        <w:t xml:space="preserve"> Sectoral FVA as a share of total FVA, 2000 and 2011</w:t>
      </w:r>
      <w:r>
        <w:rPr>
          <w:noProof/>
        </w:rPr>
        <w:t>, Somalia</w:t>
      </w:r>
      <w:r>
        <w:rPr>
          <w:noProof/>
        </w:rPr>
        <w:tab/>
      </w:r>
      <w:r>
        <w:rPr>
          <w:noProof/>
        </w:rPr>
        <w:fldChar w:fldCharType="begin"/>
      </w:r>
      <w:r>
        <w:rPr>
          <w:noProof/>
        </w:rPr>
        <w:instrText xml:space="preserve"> PAGEREF _Toc427923478 \h </w:instrText>
      </w:r>
      <w:r>
        <w:rPr>
          <w:noProof/>
        </w:rPr>
      </w:r>
      <w:r>
        <w:rPr>
          <w:noProof/>
        </w:rPr>
        <w:fldChar w:fldCharType="separate"/>
      </w:r>
      <w:r>
        <w:rPr>
          <w:noProof/>
        </w:rPr>
        <w:t>22</w:t>
      </w:r>
      <w:r>
        <w:rPr>
          <w:noProof/>
        </w:rPr>
        <w:fldChar w:fldCharType="end"/>
      </w:r>
    </w:p>
    <w:p w14:paraId="7FE01713" w14:textId="77777777" w:rsidR="00F515DA" w:rsidRDefault="001E72B4">
      <w:r w:rsidRPr="001E72B4">
        <w:rPr>
          <w:rFonts w:ascii="Arial" w:hAnsi="Arial" w:cs="Arial"/>
          <w:b/>
          <w:color w:val="006C67" w:themeColor="accent1"/>
        </w:rPr>
        <w:fldChar w:fldCharType="end"/>
      </w:r>
    </w:p>
    <w:p w14:paraId="7FE01714" w14:textId="77777777" w:rsidR="00F515DA" w:rsidRDefault="00F515DA"/>
    <w:p w14:paraId="7FE01715"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7FE01716" w14:textId="77777777" w:rsidR="001228CD" w:rsidRDefault="00B12AEC" w:rsidP="00B12AEC">
      <w:pPr>
        <w:pStyle w:val="Heading1"/>
      </w:pPr>
      <w:bookmarkStart w:id="1" w:name="Start"/>
      <w:bookmarkStart w:id="2" w:name="_Toc427923445"/>
      <w:bookmarkStart w:id="3" w:name="_Toc404327254"/>
      <w:bookmarkStart w:id="4" w:name="_Toc404327348"/>
      <w:bookmarkStart w:id="5" w:name="_Toc404327524"/>
      <w:bookmarkStart w:id="6" w:name="_Toc404327736"/>
      <w:bookmarkEnd w:id="1"/>
      <w:r>
        <w:lastRenderedPageBreak/>
        <w:t>Economic structure</w:t>
      </w:r>
      <w:r w:rsidR="004565AC">
        <w:t>s</w:t>
      </w:r>
      <w:bookmarkEnd w:id="2"/>
    </w:p>
    <w:p w14:paraId="753F84E1" w14:textId="2FACC597" w:rsidR="009170CE" w:rsidRPr="001B0E3C" w:rsidRDefault="009170CE" w:rsidP="009170CE">
      <w:pPr>
        <w:pStyle w:val="TableHeading"/>
        <w:numPr>
          <w:ilvl w:val="0"/>
          <w:numId w:val="13"/>
        </w:numPr>
        <w:tabs>
          <w:tab w:val="right" w:pos="9806"/>
          <w:tab w:val="right" w:pos="13950"/>
        </w:tabs>
        <w:rPr>
          <w:noProof/>
          <w:color w:val="FF0000"/>
        </w:rPr>
      </w:pPr>
      <w:bookmarkStart w:id="7" w:name="_Toc427923446"/>
      <w:bookmarkStart w:id="8" w:name="_Toc408401694"/>
      <w:r>
        <w:rPr>
          <w:noProof/>
        </w:rPr>
        <w:t>Sectoral shares in gross value added, Somalia, 1991–2013</w:t>
      </w:r>
      <w:r>
        <w:rPr>
          <w:noProof/>
        </w:rPr>
        <w:tab/>
      </w:r>
      <w:r w:rsidRPr="001B0E3C">
        <w:rPr>
          <w:noProof/>
          <w:color w:val="FF0000"/>
        </w:rPr>
        <w:t>NEW</w:t>
      </w:r>
      <w:bookmarkEnd w:id="7"/>
    </w:p>
    <w:tbl>
      <w:tblPr>
        <w:tblW w:w="3750" w:type="pct"/>
        <w:tblLayout w:type="fixed"/>
        <w:tblCellMar>
          <w:top w:w="14" w:type="dxa"/>
          <w:left w:w="0" w:type="dxa"/>
          <w:bottom w:w="14" w:type="dxa"/>
          <w:right w:w="0" w:type="dxa"/>
        </w:tblCellMar>
        <w:tblLook w:val="04A0" w:firstRow="1" w:lastRow="0" w:firstColumn="1" w:lastColumn="0" w:noHBand="0" w:noVBand="1"/>
      </w:tblPr>
      <w:tblGrid>
        <w:gridCol w:w="2540"/>
        <w:gridCol w:w="686"/>
        <w:gridCol w:w="680"/>
        <w:gridCol w:w="680"/>
        <w:gridCol w:w="680"/>
        <w:gridCol w:w="680"/>
        <w:gridCol w:w="684"/>
      </w:tblGrid>
      <w:tr w:rsidR="009170CE" w:rsidRPr="00474F86" w14:paraId="651F5FA9" w14:textId="77777777" w:rsidTr="009170CE">
        <w:tc>
          <w:tcPr>
            <w:tcW w:w="1515" w:type="dxa"/>
            <w:tcBorders>
              <w:right w:val="single" w:sz="4" w:space="0" w:color="auto"/>
            </w:tcBorders>
            <w:shd w:val="clear" w:color="auto" w:fill="D9D9D9" w:themeFill="background1" w:themeFillShade="D9"/>
            <w:noWrap/>
            <w:vAlign w:val="center"/>
            <w:hideMark/>
          </w:tcPr>
          <w:p w14:paraId="20D99E61" w14:textId="77777777" w:rsidR="009170CE" w:rsidRPr="00474F86" w:rsidRDefault="009170CE" w:rsidP="00EB652D">
            <w:pPr>
              <w:jc w:val="center"/>
              <w:rPr>
                <w:rFonts w:ascii="Arial" w:eastAsia="Times New Roman" w:hAnsi="Arial" w:cs="Arial"/>
                <w:b/>
                <w:bCs/>
                <w:sz w:val="17"/>
                <w:szCs w:val="17"/>
                <w:lang w:eastAsia="en-GB"/>
              </w:rPr>
            </w:pPr>
            <w:r w:rsidRPr="00474F86">
              <w:rPr>
                <w:rFonts w:ascii="Arial" w:eastAsia="Times New Roman" w:hAnsi="Arial" w:cs="Arial"/>
                <w:b/>
                <w:bCs/>
                <w:sz w:val="17"/>
                <w:szCs w:val="17"/>
                <w:lang w:eastAsia="en-GB"/>
              </w:rPr>
              <w:t>Economic activity</w:t>
            </w:r>
          </w:p>
        </w:tc>
        <w:tc>
          <w:tcPr>
            <w:tcW w:w="2441" w:type="dxa"/>
            <w:gridSpan w:val="6"/>
            <w:tcBorders>
              <w:left w:val="single" w:sz="4" w:space="0" w:color="auto"/>
            </w:tcBorders>
            <w:shd w:val="clear" w:color="auto" w:fill="D9D9D9" w:themeFill="background1" w:themeFillShade="D9"/>
            <w:vAlign w:val="center"/>
          </w:tcPr>
          <w:p w14:paraId="579DC5A1" w14:textId="77777777" w:rsidR="009170CE" w:rsidRPr="00474F86" w:rsidRDefault="009170CE" w:rsidP="00EB652D">
            <w:pPr>
              <w:ind w:left="144" w:right="144"/>
              <w:jc w:val="center"/>
              <w:rPr>
                <w:rFonts w:ascii="Arial" w:eastAsia="Times New Roman" w:hAnsi="Arial" w:cs="Arial"/>
                <w:sz w:val="17"/>
                <w:szCs w:val="17"/>
                <w:lang w:eastAsia="en-GB"/>
              </w:rPr>
            </w:pPr>
            <w:r w:rsidRPr="00474F86">
              <w:rPr>
                <w:rFonts w:ascii="Arial" w:hAnsi="Arial" w:cs="Arial"/>
                <w:b/>
                <w:bCs/>
                <w:sz w:val="17"/>
                <w:szCs w:val="17"/>
              </w:rPr>
              <w:t>Gross value added (current US$, %)</w:t>
            </w:r>
          </w:p>
        </w:tc>
      </w:tr>
      <w:tr w:rsidR="009170CE" w:rsidRPr="00474F86" w14:paraId="5BE2C860" w14:textId="77777777" w:rsidTr="009170CE">
        <w:trPr>
          <w:trHeight w:val="240"/>
        </w:trPr>
        <w:tc>
          <w:tcPr>
            <w:tcW w:w="1515" w:type="dxa"/>
            <w:tcBorders>
              <w:bottom w:val="single" w:sz="4" w:space="0" w:color="auto"/>
              <w:right w:val="single" w:sz="4" w:space="0" w:color="auto"/>
            </w:tcBorders>
            <w:shd w:val="clear" w:color="auto" w:fill="D9D9D9" w:themeFill="background1" w:themeFillShade="D9"/>
            <w:noWrap/>
            <w:vAlign w:val="center"/>
            <w:hideMark/>
          </w:tcPr>
          <w:p w14:paraId="7FA5D10C" w14:textId="77777777" w:rsidR="009170CE" w:rsidRPr="00474F86" w:rsidRDefault="009170CE" w:rsidP="00EB652D">
            <w:pPr>
              <w:jc w:val="center"/>
              <w:rPr>
                <w:rFonts w:ascii="Arial" w:eastAsia="Times New Roman" w:hAnsi="Arial" w:cs="Arial"/>
                <w:bCs/>
                <w:i/>
                <w:sz w:val="17"/>
                <w:szCs w:val="17"/>
                <w:lang w:eastAsia="en-GB"/>
              </w:rPr>
            </w:pPr>
          </w:p>
        </w:tc>
        <w:tc>
          <w:tcPr>
            <w:tcW w:w="409" w:type="dxa"/>
            <w:tcBorders>
              <w:left w:val="single" w:sz="4" w:space="0" w:color="auto"/>
              <w:bottom w:val="single" w:sz="4" w:space="0" w:color="auto"/>
            </w:tcBorders>
            <w:shd w:val="clear" w:color="auto" w:fill="D9D9D9" w:themeFill="background1" w:themeFillShade="D9"/>
            <w:vAlign w:val="center"/>
          </w:tcPr>
          <w:p w14:paraId="1751C6D4" w14:textId="77777777" w:rsidR="009170CE" w:rsidRPr="00474F86" w:rsidRDefault="009170CE" w:rsidP="00EB652D">
            <w:pPr>
              <w:jc w:val="center"/>
              <w:rPr>
                <w:rFonts w:ascii="Arial" w:eastAsia="Times New Roman" w:hAnsi="Arial" w:cs="Arial"/>
                <w:i/>
                <w:sz w:val="17"/>
                <w:szCs w:val="17"/>
                <w:lang w:eastAsia="en-GB"/>
              </w:rPr>
            </w:pPr>
            <w:r w:rsidRPr="00474F86">
              <w:rPr>
                <w:rFonts w:ascii="Arial" w:hAnsi="Arial" w:cs="Arial"/>
                <w:bCs/>
                <w:i/>
                <w:sz w:val="17"/>
                <w:szCs w:val="17"/>
              </w:rPr>
              <w:t>1975</w:t>
            </w:r>
          </w:p>
        </w:tc>
        <w:tc>
          <w:tcPr>
            <w:tcW w:w="406" w:type="dxa"/>
            <w:tcBorders>
              <w:bottom w:val="single" w:sz="4" w:space="0" w:color="auto"/>
            </w:tcBorders>
            <w:shd w:val="clear" w:color="auto" w:fill="D9D9D9" w:themeFill="background1" w:themeFillShade="D9"/>
            <w:vAlign w:val="center"/>
          </w:tcPr>
          <w:p w14:paraId="37456418" w14:textId="77777777" w:rsidR="009170CE" w:rsidRPr="00474F86" w:rsidRDefault="009170CE" w:rsidP="00EB652D">
            <w:pPr>
              <w:jc w:val="center"/>
              <w:rPr>
                <w:rFonts w:ascii="Arial" w:eastAsia="Times New Roman" w:hAnsi="Arial" w:cs="Arial"/>
                <w:i/>
                <w:sz w:val="17"/>
                <w:szCs w:val="17"/>
                <w:lang w:eastAsia="en-GB"/>
              </w:rPr>
            </w:pPr>
            <w:r w:rsidRPr="00474F86">
              <w:rPr>
                <w:rFonts w:ascii="Arial" w:hAnsi="Arial" w:cs="Arial"/>
                <w:bCs/>
                <w:i/>
                <w:sz w:val="17"/>
                <w:szCs w:val="17"/>
              </w:rPr>
              <w:t>1991</w:t>
            </w:r>
          </w:p>
        </w:tc>
        <w:tc>
          <w:tcPr>
            <w:tcW w:w="406" w:type="dxa"/>
            <w:tcBorders>
              <w:bottom w:val="single" w:sz="4" w:space="0" w:color="auto"/>
            </w:tcBorders>
            <w:shd w:val="clear" w:color="auto" w:fill="D9D9D9" w:themeFill="background1" w:themeFillShade="D9"/>
            <w:vAlign w:val="center"/>
          </w:tcPr>
          <w:p w14:paraId="7C1DC595" w14:textId="77777777" w:rsidR="009170CE" w:rsidRPr="00474F86" w:rsidRDefault="009170CE" w:rsidP="00EB652D">
            <w:pPr>
              <w:jc w:val="center"/>
              <w:rPr>
                <w:rFonts w:ascii="Arial" w:eastAsia="Times New Roman" w:hAnsi="Arial" w:cs="Arial"/>
                <w:i/>
                <w:sz w:val="17"/>
                <w:szCs w:val="17"/>
                <w:lang w:eastAsia="en-GB"/>
              </w:rPr>
            </w:pPr>
            <w:r w:rsidRPr="00474F86">
              <w:rPr>
                <w:rFonts w:ascii="Arial" w:hAnsi="Arial" w:cs="Arial"/>
                <w:bCs/>
                <w:i/>
                <w:sz w:val="17"/>
                <w:szCs w:val="17"/>
              </w:rPr>
              <w:t>2000</w:t>
            </w:r>
          </w:p>
        </w:tc>
        <w:tc>
          <w:tcPr>
            <w:tcW w:w="406" w:type="dxa"/>
            <w:tcBorders>
              <w:bottom w:val="single" w:sz="4" w:space="0" w:color="auto"/>
            </w:tcBorders>
            <w:shd w:val="clear" w:color="auto" w:fill="D9D9D9" w:themeFill="background1" w:themeFillShade="D9"/>
            <w:vAlign w:val="center"/>
          </w:tcPr>
          <w:p w14:paraId="1D31CF4E" w14:textId="77777777" w:rsidR="009170CE" w:rsidRPr="00474F86" w:rsidRDefault="009170CE" w:rsidP="00EB652D">
            <w:pPr>
              <w:jc w:val="center"/>
              <w:rPr>
                <w:rFonts w:ascii="Arial" w:eastAsia="Times New Roman" w:hAnsi="Arial" w:cs="Arial"/>
                <w:i/>
                <w:sz w:val="17"/>
                <w:szCs w:val="17"/>
                <w:lang w:eastAsia="en-GB"/>
              </w:rPr>
            </w:pPr>
            <w:r w:rsidRPr="00474F86">
              <w:rPr>
                <w:rFonts w:ascii="Arial" w:hAnsi="Arial" w:cs="Arial"/>
                <w:bCs/>
                <w:i/>
                <w:sz w:val="17"/>
                <w:szCs w:val="17"/>
              </w:rPr>
              <w:t>2005</w:t>
            </w:r>
          </w:p>
        </w:tc>
        <w:tc>
          <w:tcPr>
            <w:tcW w:w="406" w:type="dxa"/>
            <w:tcBorders>
              <w:bottom w:val="single" w:sz="4" w:space="0" w:color="auto"/>
            </w:tcBorders>
            <w:shd w:val="clear" w:color="auto" w:fill="D9D9D9" w:themeFill="background1" w:themeFillShade="D9"/>
            <w:vAlign w:val="center"/>
          </w:tcPr>
          <w:p w14:paraId="1AEAA5A6" w14:textId="77777777" w:rsidR="009170CE" w:rsidRPr="00474F86" w:rsidRDefault="009170CE" w:rsidP="00EB652D">
            <w:pPr>
              <w:jc w:val="center"/>
              <w:rPr>
                <w:rFonts w:ascii="Arial" w:eastAsia="Times New Roman" w:hAnsi="Arial" w:cs="Arial"/>
                <w:i/>
                <w:sz w:val="17"/>
                <w:szCs w:val="17"/>
                <w:lang w:eastAsia="en-GB"/>
              </w:rPr>
            </w:pPr>
            <w:r w:rsidRPr="00474F86">
              <w:rPr>
                <w:rFonts w:ascii="Arial" w:hAnsi="Arial" w:cs="Arial"/>
                <w:bCs/>
                <w:i/>
                <w:sz w:val="17"/>
                <w:szCs w:val="17"/>
              </w:rPr>
              <w:t>2010</w:t>
            </w:r>
          </w:p>
        </w:tc>
        <w:tc>
          <w:tcPr>
            <w:tcW w:w="408" w:type="dxa"/>
            <w:tcBorders>
              <w:bottom w:val="single" w:sz="4" w:space="0" w:color="auto"/>
            </w:tcBorders>
            <w:shd w:val="clear" w:color="auto" w:fill="D9D9D9" w:themeFill="background1" w:themeFillShade="D9"/>
            <w:vAlign w:val="center"/>
          </w:tcPr>
          <w:p w14:paraId="36E1A1A1" w14:textId="77777777" w:rsidR="009170CE" w:rsidRPr="00474F86" w:rsidRDefault="009170CE" w:rsidP="00EB652D">
            <w:pPr>
              <w:jc w:val="center"/>
              <w:rPr>
                <w:rFonts w:ascii="Arial" w:eastAsia="Times New Roman" w:hAnsi="Arial" w:cs="Arial"/>
                <w:i/>
                <w:sz w:val="17"/>
                <w:szCs w:val="17"/>
                <w:lang w:eastAsia="en-GB"/>
              </w:rPr>
            </w:pPr>
            <w:r w:rsidRPr="00474F86">
              <w:rPr>
                <w:rFonts w:ascii="Arial" w:hAnsi="Arial" w:cs="Arial"/>
                <w:bCs/>
                <w:i/>
                <w:sz w:val="17"/>
                <w:szCs w:val="17"/>
              </w:rPr>
              <w:t>2013</w:t>
            </w:r>
          </w:p>
        </w:tc>
      </w:tr>
      <w:tr w:rsidR="009170CE" w:rsidRPr="00474F86" w14:paraId="0F74EDA1" w14:textId="77777777" w:rsidTr="009170CE">
        <w:trPr>
          <w:trHeight w:val="240"/>
        </w:trPr>
        <w:tc>
          <w:tcPr>
            <w:tcW w:w="1515" w:type="dxa"/>
            <w:tcBorders>
              <w:top w:val="single" w:sz="4" w:space="0" w:color="auto"/>
              <w:right w:val="single" w:sz="4" w:space="0" w:color="auto"/>
            </w:tcBorders>
            <w:shd w:val="clear" w:color="auto" w:fill="auto"/>
            <w:noWrap/>
            <w:vAlign w:val="center"/>
            <w:hideMark/>
          </w:tcPr>
          <w:p w14:paraId="262DE70A" w14:textId="77777777" w:rsidR="009170CE" w:rsidRPr="00474F86" w:rsidRDefault="009170CE" w:rsidP="00EB652D">
            <w:pPr>
              <w:tabs>
                <w:tab w:val="left" w:pos="1217"/>
              </w:tabs>
              <w:rPr>
                <w:rFonts w:ascii="Arial" w:eastAsia="Times New Roman" w:hAnsi="Arial" w:cs="Arial"/>
                <w:sz w:val="17"/>
                <w:szCs w:val="17"/>
                <w:lang w:eastAsia="en-GB"/>
              </w:rPr>
            </w:pPr>
            <w:r w:rsidRPr="00474F86">
              <w:rPr>
                <w:rFonts w:ascii="Arial" w:eastAsia="Times New Roman" w:hAnsi="Arial" w:cs="Arial"/>
                <w:sz w:val="17"/>
                <w:szCs w:val="17"/>
                <w:lang w:eastAsia="en-GB"/>
              </w:rPr>
              <w:t>Agriculture</w:t>
            </w:r>
            <w:r w:rsidRPr="00474F86">
              <w:rPr>
                <w:rFonts w:ascii="Arial" w:eastAsia="Times New Roman" w:hAnsi="Arial" w:cs="Arial"/>
                <w:sz w:val="17"/>
                <w:szCs w:val="17"/>
                <w:lang w:eastAsia="en-GB"/>
              </w:rPr>
              <w:tab/>
            </w:r>
          </w:p>
        </w:tc>
        <w:tc>
          <w:tcPr>
            <w:tcW w:w="409" w:type="dxa"/>
            <w:tcBorders>
              <w:top w:val="single" w:sz="4" w:space="0" w:color="auto"/>
              <w:left w:val="single" w:sz="4" w:space="0" w:color="auto"/>
            </w:tcBorders>
            <w:vAlign w:val="center"/>
          </w:tcPr>
          <w:p w14:paraId="4A052E25" w14:textId="5148CAD3"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56.4</w:t>
            </w:r>
          </w:p>
        </w:tc>
        <w:tc>
          <w:tcPr>
            <w:tcW w:w="406" w:type="dxa"/>
            <w:tcBorders>
              <w:top w:val="single" w:sz="4" w:space="0" w:color="auto"/>
            </w:tcBorders>
            <w:vAlign w:val="center"/>
          </w:tcPr>
          <w:p w14:paraId="43C80E2B" w14:textId="7099DB17"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64.3</w:t>
            </w:r>
          </w:p>
        </w:tc>
        <w:tc>
          <w:tcPr>
            <w:tcW w:w="406" w:type="dxa"/>
            <w:tcBorders>
              <w:top w:val="single" w:sz="4" w:space="0" w:color="auto"/>
            </w:tcBorders>
            <w:vAlign w:val="center"/>
          </w:tcPr>
          <w:p w14:paraId="6CD46175" w14:textId="5976E469"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60.2</w:t>
            </w:r>
          </w:p>
        </w:tc>
        <w:tc>
          <w:tcPr>
            <w:tcW w:w="406" w:type="dxa"/>
            <w:tcBorders>
              <w:top w:val="single" w:sz="4" w:space="0" w:color="auto"/>
            </w:tcBorders>
            <w:vAlign w:val="center"/>
          </w:tcPr>
          <w:p w14:paraId="2AABBD8A" w14:textId="41256EEE"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60.1</w:t>
            </w:r>
          </w:p>
        </w:tc>
        <w:tc>
          <w:tcPr>
            <w:tcW w:w="406" w:type="dxa"/>
            <w:tcBorders>
              <w:top w:val="single" w:sz="4" w:space="0" w:color="auto"/>
            </w:tcBorders>
            <w:vAlign w:val="center"/>
          </w:tcPr>
          <w:p w14:paraId="19933086" w14:textId="541D71AF"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60.2</w:t>
            </w:r>
          </w:p>
        </w:tc>
        <w:tc>
          <w:tcPr>
            <w:tcW w:w="408" w:type="dxa"/>
            <w:tcBorders>
              <w:top w:val="single" w:sz="4" w:space="0" w:color="auto"/>
            </w:tcBorders>
            <w:vAlign w:val="center"/>
          </w:tcPr>
          <w:p w14:paraId="3EB952E8" w14:textId="089F1C85"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60.2</w:t>
            </w:r>
          </w:p>
        </w:tc>
      </w:tr>
      <w:tr w:rsidR="009170CE" w:rsidRPr="00474F86" w14:paraId="66DD19FB" w14:textId="77777777" w:rsidTr="009170CE">
        <w:trPr>
          <w:trHeight w:val="240"/>
        </w:trPr>
        <w:tc>
          <w:tcPr>
            <w:tcW w:w="1515" w:type="dxa"/>
            <w:tcBorders>
              <w:right w:val="single" w:sz="4" w:space="0" w:color="auto"/>
            </w:tcBorders>
            <w:shd w:val="clear" w:color="auto" w:fill="auto"/>
            <w:noWrap/>
            <w:vAlign w:val="center"/>
            <w:hideMark/>
          </w:tcPr>
          <w:p w14:paraId="13CD0252" w14:textId="77777777" w:rsidR="009170CE" w:rsidRPr="00474F86" w:rsidRDefault="009170CE" w:rsidP="00EB652D">
            <w:pPr>
              <w:rPr>
                <w:rFonts w:ascii="Arial" w:eastAsia="Times New Roman" w:hAnsi="Arial" w:cs="Arial"/>
                <w:sz w:val="17"/>
                <w:szCs w:val="17"/>
                <w:lang w:eastAsia="en-GB"/>
              </w:rPr>
            </w:pPr>
            <w:r w:rsidRPr="00474F86">
              <w:rPr>
                <w:rFonts w:ascii="Arial" w:eastAsia="Times New Roman" w:hAnsi="Arial" w:cs="Arial"/>
                <w:sz w:val="17"/>
                <w:szCs w:val="17"/>
                <w:lang w:eastAsia="en-GB"/>
              </w:rPr>
              <w:t xml:space="preserve">Mining &amp; utilities </w:t>
            </w:r>
          </w:p>
        </w:tc>
        <w:tc>
          <w:tcPr>
            <w:tcW w:w="409" w:type="dxa"/>
            <w:tcBorders>
              <w:left w:val="single" w:sz="4" w:space="0" w:color="auto"/>
            </w:tcBorders>
            <w:vAlign w:val="center"/>
          </w:tcPr>
          <w:p w14:paraId="3ADECC8C" w14:textId="5B15DAE7"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1.3</w:t>
            </w:r>
          </w:p>
        </w:tc>
        <w:tc>
          <w:tcPr>
            <w:tcW w:w="406" w:type="dxa"/>
            <w:vAlign w:val="center"/>
          </w:tcPr>
          <w:p w14:paraId="1059D8A6" w14:textId="707BBFC9"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0.5</w:t>
            </w:r>
          </w:p>
        </w:tc>
        <w:tc>
          <w:tcPr>
            <w:tcW w:w="406" w:type="dxa"/>
            <w:vAlign w:val="center"/>
          </w:tcPr>
          <w:p w14:paraId="61D91E36" w14:textId="56796320"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0.7</w:t>
            </w:r>
          </w:p>
        </w:tc>
        <w:tc>
          <w:tcPr>
            <w:tcW w:w="406" w:type="dxa"/>
            <w:vAlign w:val="center"/>
          </w:tcPr>
          <w:p w14:paraId="6168E983" w14:textId="09DCAC0E"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0.7</w:t>
            </w:r>
          </w:p>
        </w:tc>
        <w:tc>
          <w:tcPr>
            <w:tcW w:w="406" w:type="dxa"/>
            <w:vAlign w:val="center"/>
          </w:tcPr>
          <w:p w14:paraId="10D33603" w14:textId="71C13800"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0.7</w:t>
            </w:r>
          </w:p>
        </w:tc>
        <w:tc>
          <w:tcPr>
            <w:tcW w:w="408" w:type="dxa"/>
            <w:vAlign w:val="center"/>
          </w:tcPr>
          <w:p w14:paraId="11CBC864" w14:textId="1C8E4A91"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0.7</w:t>
            </w:r>
          </w:p>
        </w:tc>
      </w:tr>
      <w:tr w:rsidR="009170CE" w:rsidRPr="00474F86" w14:paraId="61400FD5" w14:textId="77777777" w:rsidTr="009170CE">
        <w:trPr>
          <w:trHeight w:val="240"/>
        </w:trPr>
        <w:tc>
          <w:tcPr>
            <w:tcW w:w="1515" w:type="dxa"/>
            <w:tcBorders>
              <w:right w:val="single" w:sz="4" w:space="0" w:color="auto"/>
            </w:tcBorders>
            <w:shd w:val="clear" w:color="auto" w:fill="auto"/>
            <w:noWrap/>
            <w:vAlign w:val="center"/>
            <w:hideMark/>
          </w:tcPr>
          <w:p w14:paraId="4B3A9A7C" w14:textId="77777777" w:rsidR="009170CE" w:rsidRPr="00474F86" w:rsidRDefault="009170CE" w:rsidP="00EB652D">
            <w:pPr>
              <w:rPr>
                <w:rFonts w:ascii="Arial" w:eastAsia="Times New Roman" w:hAnsi="Arial" w:cs="Arial"/>
                <w:sz w:val="17"/>
                <w:szCs w:val="17"/>
                <w:lang w:eastAsia="en-GB"/>
              </w:rPr>
            </w:pPr>
            <w:r w:rsidRPr="00474F86">
              <w:rPr>
                <w:rFonts w:ascii="Arial" w:eastAsia="Times New Roman" w:hAnsi="Arial" w:cs="Arial"/>
                <w:sz w:val="17"/>
                <w:szCs w:val="17"/>
                <w:lang w:eastAsia="en-GB"/>
              </w:rPr>
              <w:t>Manufacturing</w:t>
            </w:r>
          </w:p>
        </w:tc>
        <w:tc>
          <w:tcPr>
            <w:tcW w:w="409" w:type="dxa"/>
            <w:tcBorders>
              <w:left w:val="single" w:sz="4" w:space="0" w:color="auto"/>
            </w:tcBorders>
            <w:vAlign w:val="center"/>
          </w:tcPr>
          <w:p w14:paraId="22455AE5" w14:textId="19CF6C2D"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3.7</w:t>
            </w:r>
          </w:p>
        </w:tc>
        <w:tc>
          <w:tcPr>
            <w:tcW w:w="406" w:type="dxa"/>
            <w:vAlign w:val="center"/>
          </w:tcPr>
          <w:p w14:paraId="59BCC07B" w14:textId="4575C979"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2.3</w:t>
            </w:r>
          </w:p>
        </w:tc>
        <w:tc>
          <w:tcPr>
            <w:tcW w:w="406" w:type="dxa"/>
            <w:vAlign w:val="center"/>
          </w:tcPr>
          <w:p w14:paraId="39311EDA" w14:textId="52BEF99A"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2.5</w:t>
            </w:r>
          </w:p>
        </w:tc>
        <w:tc>
          <w:tcPr>
            <w:tcW w:w="406" w:type="dxa"/>
            <w:vAlign w:val="center"/>
          </w:tcPr>
          <w:p w14:paraId="2C7967D0" w14:textId="037A7033"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2.5</w:t>
            </w:r>
          </w:p>
        </w:tc>
        <w:tc>
          <w:tcPr>
            <w:tcW w:w="406" w:type="dxa"/>
            <w:vAlign w:val="center"/>
          </w:tcPr>
          <w:p w14:paraId="48906F81" w14:textId="0B2F138C"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2.5</w:t>
            </w:r>
          </w:p>
        </w:tc>
        <w:tc>
          <w:tcPr>
            <w:tcW w:w="408" w:type="dxa"/>
            <w:vAlign w:val="center"/>
          </w:tcPr>
          <w:p w14:paraId="681272A4" w14:textId="280D8C1F"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2.5</w:t>
            </w:r>
          </w:p>
        </w:tc>
      </w:tr>
      <w:tr w:rsidR="009170CE" w:rsidRPr="00474F86" w14:paraId="38C91446" w14:textId="77777777" w:rsidTr="009170CE">
        <w:trPr>
          <w:trHeight w:val="240"/>
        </w:trPr>
        <w:tc>
          <w:tcPr>
            <w:tcW w:w="1515" w:type="dxa"/>
            <w:tcBorders>
              <w:right w:val="single" w:sz="4" w:space="0" w:color="auto"/>
            </w:tcBorders>
            <w:shd w:val="clear" w:color="auto" w:fill="auto"/>
            <w:noWrap/>
            <w:vAlign w:val="center"/>
            <w:hideMark/>
          </w:tcPr>
          <w:p w14:paraId="71AC4494" w14:textId="77777777" w:rsidR="009170CE" w:rsidRPr="00474F86" w:rsidRDefault="009170CE" w:rsidP="00EB652D">
            <w:pPr>
              <w:rPr>
                <w:rFonts w:ascii="Arial" w:eastAsia="Times New Roman" w:hAnsi="Arial" w:cs="Arial"/>
                <w:sz w:val="17"/>
                <w:szCs w:val="17"/>
                <w:lang w:eastAsia="en-GB"/>
              </w:rPr>
            </w:pPr>
            <w:r w:rsidRPr="00474F86">
              <w:rPr>
                <w:rFonts w:ascii="Arial" w:eastAsia="Times New Roman" w:hAnsi="Arial" w:cs="Arial"/>
                <w:sz w:val="17"/>
                <w:szCs w:val="17"/>
                <w:lang w:eastAsia="en-GB"/>
              </w:rPr>
              <w:t>Construction</w:t>
            </w:r>
          </w:p>
        </w:tc>
        <w:tc>
          <w:tcPr>
            <w:tcW w:w="409" w:type="dxa"/>
            <w:tcBorders>
              <w:left w:val="single" w:sz="4" w:space="0" w:color="auto"/>
            </w:tcBorders>
            <w:vAlign w:val="center"/>
          </w:tcPr>
          <w:p w14:paraId="78CFD8AC" w14:textId="2AC545D3"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5.5</w:t>
            </w:r>
          </w:p>
        </w:tc>
        <w:tc>
          <w:tcPr>
            <w:tcW w:w="406" w:type="dxa"/>
            <w:vAlign w:val="center"/>
          </w:tcPr>
          <w:p w14:paraId="58B848E0" w14:textId="6D146AD8"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4.1</w:t>
            </w:r>
          </w:p>
        </w:tc>
        <w:tc>
          <w:tcPr>
            <w:tcW w:w="406" w:type="dxa"/>
            <w:vAlign w:val="center"/>
          </w:tcPr>
          <w:p w14:paraId="30D0A619" w14:textId="4353CD57"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4.2</w:t>
            </w:r>
          </w:p>
        </w:tc>
        <w:tc>
          <w:tcPr>
            <w:tcW w:w="406" w:type="dxa"/>
            <w:vAlign w:val="center"/>
          </w:tcPr>
          <w:p w14:paraId="4F80D610" w14:textId="00F9599A"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4.2</w:t>
            </w:r>
          </w:p>
        </w:tc>
        <w:tc>
          <w:tcPr>
            <w:tcW w:w="406" w:type="dxa"/>
            <w:vAlign w:val="center"/>
          </w:tcPr>
          <w:p w14:paraId="1CA0FA82" w14:textId="78EF17FF"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4.2</w:t>
            </w:r>
          </w:p>
        </w:tc>
        <w:tc>
          <w:tcPr>
            <w:tcW w:w="408" w:type="dxa"/>
            <w:vAlign w:val="center"/>
          </w:tcPr>
          <w:p w14:paraId="66B706C5" w14:textId="0778948B"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4.2</w:t>
            </w:r>
          </w:p>
        </w:tc>
      </w:tr>
      <w:tr w:rsidR="009170CE" w:rsidRPr="00474F86" w14:paraId="27844525" w14:textId="77777777" w:rsidTr="009170CE">
        <w:trPr>
          <w:trHeight w:val="240"/>
        </w:trPr>
        <w:tc>
          <w:tcPr>
            <w:tcW w:w="1515" w:type="dxa"/>
            <w:tcBorders>
              <w:right w:val="single" w:sz="4" w:space="0" w:color="auto"/>
            </w:tcBorders>
            <w:shd w:val="clear" w:color="auto" w:fill="auto"/>
            <w:noWrap/>
            <w:vAlign w:val="center"/>
            <w:hideMark/>
          </w:tcPr>
          <w:p w14:paraId="151BA397" w14:textId="77777777" w:rsidR="009170CE" w:rsidRPr="00474F86" w:rsidRDefault="009170CE" w:rsidP="00EB652D">
            <w:pPr>
              <w:rPr>
                <w:rFonts w:ascii="Arial" w:eastAsia="Times New Roman" w:hAnsi="Arial" w:cs="Arial"/>
                <w:sz w:val="17"/>
                <w:szCs w:val="17"/>
                <w:lang w:eastAsia="en-GB"/>
              </w:rPr>
            </w:pPr>
            <w:r w:rsidRPr="00474F86">
              <w:rPr>
                <w:rFonts w:ascii="Arial" w:eastAsia="Times New Roman" w:hAnsi="Arial" w:cs="Arial"/>
                <w:sz w:val="17"/>
                <w:szCs w:val="17"/>
                <w:lang w:eastAsia="en-GB"/>
              </w:rPr>
              <w:t>Wholesale, retail, hotels</w:t>
            </w:r>
          </w:p>
        </w:tc>
        <w:tc>
          <w:tcPr>
            <w:tcW w:w="409" w:type="dxa"/>
            <w:tcBorders>
              <w:left w:val="single" w:sz="4" w:space="0" w:color="auto"/>
            </w:tcBorders>
            <w:vAlign w:val="center"/>
          </w:tcPr>
          <w:p w14:paraId="605F8962" w14:textId="37E73D96"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11.0</w:t>
            </w:r>
          </w:p>
        </w:tc>
        <w:tc>
          <w:tcPr>
            <w:tcW w:w="406" w:type="dxa"/>
            <w:vAlign w:val="center"/>
          </w:tcPr>
          <w:p w14:paraId="4C2650EA" w14:textId="3D3279F6"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10.5</w:t>
            </w:r>
          </w:p>
        </w:tc>
        <w:tc>
          <w:tcPr>
            <w:tcW w:w="406" w:type="dxa"/>
            <w:vAlign w:val="center"/>
          </w:tcPr>
          <w:p w14:paraId="74FAF274" w14:textId="547D9D5F"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10.6</w:t>
            </w:r>
          </w:p>
        </w:tc>
        <w:tc>
          <w:tcPr>
            <w:tcW w:w="406" w:type="dxa"/>
            <w:vAlign w:val="center"/>
          </w:tcPr>
          <w:p w14:paraId="5A3436FD" w14:textId="720B1888"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10.6</w:t>
            </w:r>
          </w:p>
        </w:tc>
        <w:tc>
          <w:tcPr>
            <w:tcW w:w="406" w:type="dxa"/>
            <w:vAlign w:val="center"/>
          </w:tcPr>
          <w:p w14:paraId="202E6280" w14:textId="2EB8FD23"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10.6</w:t>
            </w:r>
          </w:p>
        </w:tc>
        <w:tc>
          <w:tcPr>
            <w:tcW w:w="408" w:type="dxa"/>
            <w:vAlign w:val="center"/>
          </w:tcPr>
          <w:p w14:paraId="2E859321" w14:textId="09D3F891"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10.6</w:t>
            </w:r>
          </w:p>
        </w:tc>
      </w:tr>
      <w:tr w:rsidR="009170CE" w:rsidRPr="00474F86" w14:paraId="244BE38C" w14:textId="77777777" w:rsidTr="009170CE">
        <w:trPr>
          <w:trHeight w:val="240"/>
        </w:trPr>
        <w:tc>
          <w:tcPr>
            <w:tcW w:w="1515" w:type="dxa"/>
            <w:tcBorders>
              <w:right w:val="single" w:sz="4" w:space="0" w:color="auto"/>
            </w:tcBorders>
            <w:shd w:val="clear" w:color="auto" w:fill="auto"/>
            <w:noWrap/>
            <w:vAlign w:val="center"/>
            <w:hideMark/>
          </w:tcPr>
          <w:p w14:paraId="185D66FF" w14:textId="77777777" w:rsidR="009170CE" w:rsidRPr="00474F86" w:rsidRDefault="009170CE" w:rsidP="00EB652D">
            <w:pPr>
              <w:rPr>
                <w:rFonts w:ascii="Arial" w:eastAsia="Times New Roman" w:hAnsi="Arial" w:cs="Arial"/>
                <w:sz w:val="17"/>
                <w:szCs w:val="17"/>
                <w:lang w:eastAsia="en-GB"/>
              </w:rPr>
            </w:pPr>
            <w:r w:rsidRPr="00474F86">
              <w:rPr>
                <w:rFonts w:ascii="Arial" w:eastAsia="Times New Roman" w:hAnsi="Arial" w:cs="Arial"/>
                <w:sz w:val="17"/>
                <w:szCs w:val="17"/>
                <w:lang w:eastAsia="en-GB"/>
              </w:rPr>
              <w:t xml:space="preserve">Transport, storage, </w:t>
            </w:r>
            <w:proofErr w:type="spellStart"/>
            <w:r w:rsidRPr="00474F86">
              <w:rPr>
                <w:rFonts w:ascii="Arial" w:eastAsia="Times New Roman" w:hAnsi="Arial" w:cs="Arial"/>
                <w:sz w:val="17"/>
                <w:szCs w:val="17"/>
                <w:lang w:eastAsia="en-GB"/>
              </w:rPr>
              <w:t>comms</w:t>
            </w:r>
            <w:proofErr w:type="spellEnd"/>
          </w:p>
        </w:tc>
        <w:tc>
          <w:tcPr>
            <w:tcW w:w="409" w:type="dxa"/>
            <w:tcBorders>
              <w:left w:val="single" w:sz="4" w:space="0" w:color="auto"/>
            </w:tcBorders>
            <w:vAlign w:val="center"/>
          </w:tcPr>
          <w:p w14:paraId="52451436" w14:textId="23F385C7"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8.5</w:t>
            </w:r>
          </w:p>
        </w:tc>
        <w:tc>
          <w:tcPr>
            <w:tcW w:w="406" w:type="dxa"/>
            <w:vAlign w:val="center"/>
          </w:tcPr>
          <w:p w14:paraId="3F2531B6" w14:textId="505FF87C"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7.6</w:t>
            </w:r>
          </w:p>
        </w:tc>
        <w:tc>
          <w:tcPr>
            <w:tcW w:w="406" w:type="dxa"/>
            <w:vAlign w:val="center"/>
          </w:tcPr>
          <w:p w14:paraId="10F0E1A5" w14:textId="0CCC9B0C"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9.3</w:t>
            </w:r>
          </w:p>
        </w:tc>
        <w:tc>
          <w:tcPr>
            <w:tcW w:w="406" w:type="dxa"/>
            <w:vAlign w:val="center"/>
          </w:tcPr>
          <w:p w14:paraId="040D3835" w14:textId="2064C15A"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9.7</w:t>
            </w:r>
          </w:p>
        </w:tc>
        <w:tc>
          <w:tcPr>
            <w:tcW w:w="406" w:type="dxa"/>
            <w:vAlign w:val="center"/>
          </w:tcPr>
          <w:p w14:paraId="0A3204C0" w14:textId="545A50B1"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9.4</w:t>
            </w:r>
          </w:p>
        </w:tc>
        <w:tc>
          <w:tcPr>
            <w:tcW w:w="408" w:type="dxa"/>
            <w:vAlign w:val="center"/>
          </w:tcPr>
          <w:p w14:paraId="3BECF5C5" w14:textId="27D67C94"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9.4</w:t>
            </w:r>
          </w:p>
        </w:tc>
      </w:tr>
      <w:tr w:rsidR="009170CE" w:rsidRPr="00474F86" w14:paraId="0EF4F9F4" w14:textId="77777777" w:rsidTr="009170CE">
        <w:trPr>
          <w:trHeight w:val="240"/>
        </w:trPr>
        <w:tc>
          <w:tcPr>
            <w:tcW w:w="1515" w:type="dxa"/>
            <w:tcBorders>
              <w:bottom w:val="single" w:sz="4" w:space="0" w:color="auto"/>
              <w:right w:val="single" w:sz="4" w:space="0" w:color="auto"/>
            </w:tcBorders>
            <w:shd w:val="clear" w:color="auto" w:fill="auto"/>
            <w:noWrap/>
            <w:vAlign w:val="center"/>
            <w:hideMark/>
          </w:tcPr>
          <w:p w14:paraId="0E653DEA" w14:textId="77777777" w:rsidR="009170CE" w:rsidRPr="00474F86" w:rsidRDefault="009170CE" w:rsidP="00EB652D">
            <w:pPr>
              <w:rPr>
                <w:rFonts w:ascii="Arial" w:eastAsia="Times New Roman" w:hAnsi="Arial" w:cs="Arial"/>
                <w:sz w:val="17"/>
                <w:szCs w:val="17"/>
                <w:lang w:eastAsia="en-GB"/>
              </w:rPr>
            </w:pPr>
            <w:r w:rsidRPr="00474F86">
              <w:rPr>
                <w:rFonts w:ascii="Arial" w:eastAsia="Times New Roman" w:hAnsi="Arial" w:cs="Arial"/>
                <w:sz w:val="17"/>
                <w:szCs w:val="17"/>
                <w:lang w:eastAsia="en-GB"/>
              </w:rPr>
              <w:t>Other</w:t>
            </w:r>
          </w:p>
        </w:tc>
        <w:tc>
          <w:tcPr>
            <w:tcW w:w="409" w:type="dxa"/>
            <w:tcBorders>
              <w:left w:val="single" w:sz="4" w:space="0" w:color="auto"/>
              <w:bottom w:val="single" w:sz="4" w:space="0" w:color="auto"/>
            </w:tcBorders>
            <w:vAlign w:val="center"/>
          </w:tcPr>
          <w:p w14:paraId="5D04FB7E" w14:textId="6A761148"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13.5</w:t>
            </w:r>
          </w:p>
        </w:tc>
        <w:tc>
          <w:tcPr>
            <w:tcW w:w="406" w:type="dxa"/>
            <w:tcBorders>
              <w:bottom w:val="single" w:sz="4" w:space="0" w:color="auto"/>
            </w:tcBorders>
            <w:vAlign w:val="center"/>
          </w:tcPr>
          <w:p w14:paraId="23310789" w14:textId="4E81D6FD"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10.7</w:t>
            </w:r>
          </w:p>
        </w:tc>
        <w:tc>
          <w:tcPr>
            <w:tcW w:w="406" w:type="dxa"/>
            <w:tcBorders>
              <w:bottom w:val="single" w:sz="4" w:space="0" w:color="auto"/>
            </w:tcBorders>
            <w:vAlign w:val="center"/>
          </w:tcPr>
          <w:p w14:paraId="2AFAE8CA" w14:textId="66218DF6"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12.6</w:t>
            </w:r>
          </w:p>
        </w:tc>
        <w:tc>
          <w:tcPr>
            <w:tcW w:w="406" w:type="dxa"/>
            <w:tcBorders>
              <w:bottom w:val="single" w:sz="4" w:space="0" w:color="auto"/>
            </w:tcBorders>
            <w:vAlign w:val="center"/>
          </w:tcPr>
          <w:p w14:paraId="76C154F0" w14:textId="304FFF58"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12.3</w:t>
            </w:r>
          </w:p>
        </w:tc>
        <w:tc>
          <w:tcPr>
            <w:tcW w:w="406" w:type="dxa"/>
            <w:tcBorders>
              <w:bottom w:val="single" w:sz="4" w:space="0" w:color="auto"/>
            </w:tcBorders>
            <w:vAlign w:val="center"/>
          </w:tcPr>
          <w:p w14:paraId="71E466EF" w14:textId="080398CE"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12.5</w:t>
            </w:r>
          </w:p>
        </w:tc>
        <w:tc>
          <w:tcPr>
            <w:tcW w:w="408" w:type="dxa"/>
            <w:tcBorders>
              <w:bottom w:val="single" w:sz="4" w:space="0" w:color="auto"/>
            </w:tcBorders>
            <w:vAlign w:val="center"/>
          </w:tcPr>
          <w:p w14:paraId="624DC04E" w14:textId="0D09D568" w:rsidR="009170CE" w:rsidRPr="00474F86" w:rsidRDefault="009170CE" w:rsidP="00EB652D">
            <w:pPr>
              <w:ind w:left="72" w:right="72"/>
              <w:jc w:val="right"/>
              <w:rPr>
                <w:rFonts w:ascii="Arial" w:eastAsia="Times New Roman" w:hAnsi="Arial" w:cs="Arial"/>
                <w:sz w:val="17"/>
                <w:szCs w:val="17"/>
                <w:lang w:eastAsia="en-GB"/>
              </w:rPr>
            </w:pPr>
            <w:r w:rsidRPr="00474F86">
              <w:rPr>
                <w:rFonts w:ascii="Arial" w:eastAsia="Times New Roman" w:hAnsi="Arial" w:cs="Arial"/>
                <w:sz w:val="17"/>
                <w:szCs w:val="18"/>
                <w:lang w:eastAsia="en-GB"/>
              </w:rPr>
              <w:t>12.5</w:t>
            </w:r>
          </w:p>
        </w:tc>
      </w:tr>
      <w:tr w:rsidR="009170CE" w:rsidRPr="00474F86" w14:paraId="2C4730BC" w14:textId="77777777" w:rsidTr="009170CE">
        <w:trPr>
          <w:trHeight w:val="240"/>
        </w:trPr>
        <w:tc>
          <w:tcPr>
            <w:tcW w:w="1515" w:type="dxa"/>
            <w:tcBorders>
              <w:bottom w:val="single" w:sz="4" w:space="0" w:color="auto"/>
              <w:right w:val="single" w:sz="4" w:space="0" w:color="auto"/>
            </w:tcBorders>
            <w:shd w:val="clear" w:color="auto" w:fill="auto"/>
            <w:noWrap/>
            <w:vAlign w:val="center"/>
            <w:hideMark/>
          </w:tcPr>
          <w:p w14:paraId="6725BC1D" w14:textId="77777777" w:rsidR="009170CE" w:rsidRPr="00474F86" w:rsidRDefault="009170CE" w:rsidP="00EB652D">
            <w:pPr>
              <w:rPr>
                <w:rFonts w:ascii="Arial" w:eastAsia="Times New Roman" w:hAnsi="Arial" w:cs="Arial"/>
                <w:b/>
                <w:iCs/>
                <w:sz w:val="17"/>
                <w:szCs w:val="17"/>
                <w:lang w:eastAsia="en-GB"/>
              </w:rPr>
            </w:pPr>
            <w:r w:rsidRPr="00474F86">
              <w:rPr>
                <w:rFonts w:ascii="Arial" w:eastAsia="Times New Roman" w:hAnsi="Arial" w:cs="Arial"/>
                <w:b/>
                <w:iCs/>
                <w:sz w:val="17"/>
                <w:szCs w:val="17"/>
                <w:lang w:eastAsia="en-GB"/>
              </w:rPr>
              <w:t xml:space="preserve">Total </w:t>
            </w:r>
          </w:p>
        </w:tc>
        <w:tc>
          <w:tcPr>
            <w:tcW w:w="409" w:type="dxa"/>
            <w:tcBorders>
              <w:left w:val="single" w:sz="4" w:space="0" w:color="auto"/>
              <w:bottom w:val="single" w:sz="4" w:space="0" w:color="auto"/>
            </w:tcBorders>
            <w:shd w:val="clear" w:color="auto" w:fill="auto"/>
            <w:vAlign w:val="center"/>
          </w:tcPr>
          <w:p w14:paraId="2DAE8066" w14:textId="4D4C9D98" w:rsidR="009170CE" w:rsidRPr="00474F86" w:rsidRDefault="009170CE" w:rsidP="00EB652D">
            <w:pPr>
              <w:ind w:left="72" w:right="72"/>
              <w:jc w:val="right"/>
              <w:rPr>
                <w:rFonts w:ascii="Arial" w:eastAsia="Times New Roman" w:hAnsi="Arial" w:cs="Arial"/>
                <w:b/>
                <w:sz w:val="17"/>
                <w:szCs w:val="17"/>
                <w:lang w:eastAsia="en-GB"/>
              </w:rPr>
            </w:pPr>
            <w:r w:rsidRPr="00474F86">
              <w:rPr>
                <w:rFonts w:ascii="Arial" w:eastAsia="Times New Roman" w:hAnsi="Arial" w:cs="Arial"/>
                <w:b/>
                <w:sz w:val="17"/>
                <w:szCs w:val="17"/>
                <w:lang w:eastAsia="en-GB"/>
              </w:rPr>
              <w:t>100</w:t>
            </w:r>
          </w:p>
        </w:tc>
        <w:tc>
          <w:tcPr>
            <w:tcW w:w="406" w:type="dxa"/>
            <w:tcBorders>
              <w:bottom w:val="single" w:sz="4" w:space="0" w:color="auto"/>
            </w:tcBorders>
            <w:vAlign w:val="center"/>
          </w:tcPr>
          <w:p w14:paraId="1A80970F" w14:textId="77777777" w:rsidR="009170CE" w:rsidRPr="00474F86" w:rsidRDefault="009170CE" w:rsidP="00EB652D">
            <w:pPr>
              <w:ind w:left="72" w:right="72"/>
              <w:jc w:val="right"/>
              <w:rPr>
                <w:rFonts w:ascii="Arial" w:eastAsia="Times New Roman" w:hAnsi="Arial" w:cs="Arial"/>
                <w:b/>
                <w:sz w:val="17"/>
                <w:szCs w:val="17"/>
                <w:lang w:eastAsia="en-GB"/>
              </w:rPr>
            </w:pPr>
            <w:r w:rsidRPr="00474F86">
              <w:rPr>
                <w:rFonts w:ascii="Arial" w:eastAsia="Times New Roman" w:hAnsi="Arial" w:cs="Arial"/>
                <w:b/>
                <w:bCs/>
                <w:sz w:val="17"/>
                <w:szCs w:val="17"/>
                <w:lang w:eastAsia="en-GB"/>
              </w:rPr>
              <w:t>100</w:t>
            </w:r>
          </w:p>
        </w:tc>
        <w:tc>
          <w:tcPr>
            <w:tcW w:w="406" w:type="dxa"/>
            <w:tcBorders>
              <w:bottom w:val="single" w:sz="4" w:space="0" w:color="auto"/>
            </w:tcBorders>
            <w:vAlign w:val="center"/>
          </w:tcPr>
          <w:p w14:paraId="522FD14C" w14:textId="77777777" w:rsidR="009170CE" w:rsidRPr="00474F86" w:rsidRDefault="009170CE" w:rsidP="00EB652D">
            <w:pPr>
              <w:ind w:left="72" w:right="72"/>
              <w:jc w:val="right"/>
              <w:rPr>
                <w:rFonts w:ascii="Arial" w:eastAsia="Times New Roman" w:hAnsi="Arial" w:cs="Arial"/>
                <w:b/>
                <w:sz w:val="17"/>
                <w:szCs w:val="17"/>
                <w:lang w:eastAsia="en-GB"/>
              </w:rPr>
            </w:pPr>
            <w:r w:rsidRPr="00474F86">
              <w:rPr>
                <w:rFonts w:ascii="Arial" w:eastAsia="Times New Roman" w:hAnsi="Arial" w:cs="Arial"/>
                <w:b/>
                <w:bCs/>
                <w:sz w:val="17"/>
                <w:szCs w:val="17"/>
                <w:lang w:eastAsia="en-GB"/>
              </w:rPr>
              <w:t>100</w:t>
            </w:r>
          </w:p>
        </w:tc>
        <w:tc>
          <w:tcPr>
            <w:tcW w:w="406" w:type="dxa"/>
            <w:tcBorders>
              <w:bottom w:val="single" w:sz="4" w:space="0" w:color="auto"/>
            </w:tcBorders>
            <w:vAlign w:val="center"/>
          </w:tcPr>
          <w:p w14:paraId="0F7D28F4" w14:textId="77777777" w:rsidR="009170CE" w:rsidRPr="00474F86" w:rsidRDefault="009170CE" w:rsidP="00EB652D">
            <w:pPr>
              <w:ind w:left="72" w:right="72"/>
              <w:jc w:val="right"/>
              <w:rPr>
                <w:rFonts w:ascii="Arial" w:eastAsia="Times New Roman" w:hAnsi="Arial" w:cs="Arial"/>
                <w:b/>
                <w:sz w:val="17"/>
                <w:szCs w:val="17"/>
                <w:lang w:eastAsia="en-GB"/>
              </w:rPr>
            </w:pPr>
            <w:r w:rsidRPr="00474F86">
              <w:rPr>
                <w:rFonts w:ascii="Arial" w:eastAsia="Times New Roman" w:hAnsi="Arial" w:cs="Arial"/>
                <w:b/>
                <w:bCs/>
                <w:sz w:val="17"/>
                <w:szCs w:val="17"/>
                <w:lang w:eastAsia="en-GB"/>
              </w:rPr>
              <w:t>100</w:t>
            </w:r>
          </w:p>
        </w:tc>
        <w:tc>
          <w:tcPr>
            <w:tcW w:w="406" w:type="dxa"/>
            <w:tcBorders>
              <w:bottom w:val="single" w:sz="4" w:space="0" w:color="auto"/>
            </w:tcBorders>
            <w:vAlign w:val="center"/>
          </w:tcPr>
          <w:p w14:paraId="4F98D209" w14:textId="77777777" w:rsidR="009170CE" w:rsidRPr="00474F86" w:rsidRDefault="009170CE" w:rsidP="00EB652D">
            <w:pPr>
              <w:ind w:left="72" w:right="72"/>
              <w:jc w:val="right"/>
              <w:rPr>
                <w:rFonts w:ascii="Arial" w:eastAsia="Times New Roman" w:hAnsi="Arial" w:cs="Arial"/>
                <w:b/>
                <w:sz w:val="17"/>
                <w:szCs w:val="17"/>
                <w:lang w:eastAsia="en-GB"/>
              </w:rPr>
            </w:pPr>
            <w:r w:rsidRPr="00474F86">
              <w:rPr>
                <w:rFonts w:ascii="Arial" w:eastAsia="Times New Roman" w:hAnsi="Arial" w:cs="Arial"/>
                <w:b/>
                <w:bCs/>
                <w:sz w:val="17"/>
                <w:szCs w:val="17"/>
                <w:lang w:eastAsia="en-GB"/>
              </w:rPr>
              <w:t>100</w:t>
            </w:r>
          </w:p>
        </w:tc>
        <w:tc>
          <w:tcPr>
            <w:tcW w:w="408" w:type="dxa"/>
            <w:tcBorders>
              <w:bottom w:val="single" w:sz="4" w:space="0" w:color="auto"/>
            </w:tcBorders>
            <w:vAlign w:val="center"/>
          </w:tcPr>
          <w:p w14:paraId="34BE825B" w14:textId="77777777" w:rsidR="009170CE" w:rsidRPr="00474F86" w:rsidRDefault="009170CE" w:rsidP="00EB652D">
            <w:pPr>
              <w:ind w:left="72" w:right="72"/>
              <w:jc w:val="right"/>
              <w:rPr>
                <w:rFonts w:ascii="Arial" w:eastAsia="Times New Roman" w:hAnsi="Arial" w:cs="Arial"/>
                <w:b/>
                <w:sz w:val="17"/>
                <w:szCs w:val="17"/>
                <w:lang w:eastAsia="en-GB"/>
              </w:rPr>
            </w:pPr>
            <w:r w:rsidRPr="00474F86">
              <w:rPr>
                <w:rFonts w:ascii="Arial" w:eastAsia="Times New Roman" w:hAnsi="Arial" w:cs="Arial"/>
                <w:b/>
                <w:bCs/>
                <w:sz w:val="17"/>
                <w:szCs w:val="17"/>
                <w:lang w:eastAsia="en-GB"/>
              </w:rPr>
              <w:t>100</w:t>
            </w:r>
          </w:p>
        </w:tc>
      </w:tr>
    </w:tbl>
    <w:p w14:paraId="42256C3F" w14:textId="6871EADE" w:rsidR="009170CE" w:rsidRDefault="009170CE" w:rsidP="009170CE">
      <w:pPr>
        <w:pStyle w:val="Source"/>
      </w:pPr>
      <w: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17" w:history="1">
        <w:r w:rsidRPr="00981A1E">
          <w:rPr>
            <w:rStyle w:val="Hyperlink"/>
          </w:rPr>
          <w:t>https://data.un.org/search.aspx?q=gross+value+added+datamart%5bsnaama%5d</w:t>
        </w:r>
      </w:hyperlink>
      <w:r>
        <w:t>).</w:t>
      </w:r>
    </w:p>
    <w:p w14:paraId="15DAA168" w14:textId="77777777" w:rsidR="009170CE" w:rsidRDefault="009170CE" w:rsidP="009170CE">
      <w:pPr>
        <w:pStyle w:val="BodyText"/>
      </w:pPr>
    </w:p>
    <w:p w14:paraId="7FE01717" w14:textId="09669E80" w:rsidR="009D51C0" w:rsidRDefault="009D51C0" w:rsidP="009D51C0">
      <w:pPr>
        <w:pStyle w:val="FigureHeading"/>
      </w:pPr>
      <w:bookmarkStart w:id="9" w:name="_Toc427923447"/>
      <w:r>
        <w:t xml:space="preserve">Total employment by sex and </w:t>
      </w:r>
      <w:r w:rsidR="009170CE">
        <w:t xml:space="preserve">broad </w:t>
      </w:r>
      <w:r>
        <w:t xml:space="preserve">sector, </w:t>
      </w:r>
      <w:bookmarkEnd w:id="8"/>
      <w:r>
        <w:t>Somalia</w:t>
      </w:r>
      <w:bookmarkEnd w:id="9"/>
    </w:p>
    <w:p w14:paraId="7FE01718" w14:textId="77777777" w:rsidR="009D51C0" w:rsidRDefault="009D51C0" w:rsidP="009D51C0">
      <w:pPr>
        <w:pStyle w:val="BodyText"/>
        <w:tabs>
          <w:tab w:val="right" w:pos="8840"/>
        </w:tabs>
        <w:spacing w:before="39" w:after="0" w:line="240" w:lineRule="auto"/>
        <w:jc w:val="left"/>
      </w:pPr>
      <w:r>
        <w:rPr>
          <w:noProof/>
          <w:lang w:eastAsia="en-GB"/>
        </w:rPr>
        <mc:AlternateContent>
          <mc:Choice Requires="wpg">
            <w:drawing>
              <wp:inline distT="0" distB="0" distL="0" distR="0" wp14:anchorId="7FE019C5" wp14:editId="7FE019C6">
                <wp:extent cx="4720590" cy="2592000"/>
                <wp:effectExtent l="0" t="0" r="3810" b="0"/>
                <wp:docPr id="4"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5" name="Chart 5"/>
                        <wpg:cNvFrPr/>
                        <wpg:xfrm>
                          <a:off x="0" y="0"/>
                          <a:ext cx="2268000" cy="2592000"/>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6" name="Chart 6"/>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W0BVT+QYAAPIWAAAVAAAA&#10;ZHJzL2NoYXJ0cy9jaGFydDIueG1s7Fhtb9s2EP4+YP/BEzL0U2RR7zLqDI7TpMHSNmjSDtg3WqJt&#10;rZSoUXRq99fvjqT8FqcJ0hX90iRwRPJ4Oj53z5l3L/9YVrx3x2RbinroENdzeqzORVHWs6Hz4fb8&#10;OHV6raJ1Qbmo2dBZsdb54+TXX17mg3xOpbppaM56oKRuB/nQmSvVDPr9Np+zirauaFgNa1MhK6pg&#10;KGf9QtLPoLzifd/z4r5W4lgF9BkKKlrW3X75lP1iOi1zdibyRcVqZayQjFMFCLTzsmmdEzhcQRUj&#10;mRf27igfOp7Tx0lO65mZYPXxxamZlGJRF6wYC1kDjFvyVT4YccVkDarGolbwNnvO6klIVVR+WjTH&#10;uagaMG5S8lKttLlgIOgezwWco/ee/bsoJWuHTk7CDgh4vAdFVeZStGKqXNDYNyh03kC1ST/t+9Yf&#10;cFgSDlq14swciPgxnra/fq824ZxyPqH5J8RmS3gjuxHAnfto4Dbtf3xQpeJMPyzxU5b5/OQlHUxE&#10;sbqW8Go64K26QYv0oMGZ5lriv4JN31/LXvtl6KQeBPDEOqy/ltBiEmTQg0MHvPfhBuJ6fwMdqJNz&#10;CFzOXsJeBeelA9iKeuCzMwoelLaR05VYgFQ+qGi9oPxqPV6+EYVFjhUzZgJldWhyaQPG9WM/S70s&#10;SkicRGnqJXaTWQ9cP/SSrb/41bGvPbL/crBuY5cAZsNoKyjR+A5pulDiFgdnjDPFii2xfNBwoUaS&#10;UTyeUagpMKFyjLzHaXg+K6XZlQtuDJ4BHxoguJlumMwh7m8URAkrjMQdlaux4GKHLBBADKDOB2XR&#10;QWKkhSyYfYdloQG/VfI9m+KO6cmLV1XTm6x6LVu++O3o4ihGZ+k1kBpTSEYo16gxUFUZw4jR3qge&#10;vBDjBSXuTkYzCLwFVwsJIYAT+NlgJGCEd7rMQL8eHq09NhhbwcvivOQcI7OVs8mYd+Z78TjWboWA&#10;2hJDbXozHL4Gh6nL6Vs2A8rf2RCy586pRr1eVA8cfHSUDI5GR4Ssjw+y6+ObJDyGwDzxtIBOynq8&#10;D050GBySZVr1BhXExgBILICQSLT2QzL+RiZCCw7JBGsZ8qCecCPj7+oBpZsjm0HnJYsepHP09MMg&#10;XiCIF08B0X0mjEnmxn4URGmUkij0szjbPcR9UJPY9aMkTMMwiL0gIpEO8EPwdRAnoZumSZYkMfgj&#10;S+KHd3SAJ4EbZrEXekEY+kHqpw+6uoMfdnheSLKYxHGW+SRNd8/xFWdoL8C65fw+9S05t6hvZx6j&#10;/utvoP5lXSyA4qt7h/hW3r/y8Bcptct7+EarMUnUAtOFWcYZxOVnPrB5pQtP3/tB+eA15oPX3zMf&#10;+K4XZKnvZfDt73nE9x9k3jrJuj78eJA5IN2SIPT3mLfJIF0+8F0SekDrJIZLLUmj6PEEDOSOoySG&#10;FBJ5YQQc3yXG5h1dPiBuRjDjgKv8MCVxupfXnp8P9E0nH2zlAzvzWD64/IZ8cMPkHVyw291jIzm/&#10;8R5wnmQheXU/H/zkvb6HmPvED+f9JfL+8nvynqRuEABRfBKHgRfH4eO8J27ke1gnwPduBFnjwR1r&#10;3vtulpAk9eM0DPyYJHsXpg2L14CHcA9IgiQL4EVJCsTfJcBmR8d7P3I9uGf4hGRhGIFte9no6bwv&#10;ria8xetZOxefr9iM1cWfbLt6MSsfKbQstspylB5T9ZZWuxdmnAcWH5y/NoXJPT2ni8mEs5vyy7Yq&#10;OMHatBlt/ioLNbdlRGQv56bSauwsVKG6WqLLS1tVEUjuaRx44cGFJA3NBUEXVesCC+6sI11pPqin&#10;zSmHYgsxE7KESku3MYwVVVm/oUudZwC3jWChq72dk9PltbCti4kxEC7I55XqbYoGrJF6rVhAPXdV&#10;1lDMQbfIiFb0HyFvy/zTG2hYGLVQFtu1st5fq6GPZBYV7AGPr19ds6W6FWYNexXtyJaCGrwOI+gZ&#10;4Bqz9mIR+zeTdhuOrA+MHj7hIz6rzVyu5Hr23XTasq4Y7PxVizdQ/JVXdxzs2kIIAmDtC4i8g07Z&#10;2LeF9bOcYnHdcoqtrTXSF7IswOes1RF2yE+//1hHbaL8K47SS6dMfWbMOmdiBugggNuiDE87jQid&#10;EzDauX5ah07nV92B0cAcbH2YXbgftX4s23c1t/nFgl6UbXMKXaJP7cgGGBDeBA2mkzPMUO+gSAdm&#10;7cVH1xUxd/cnXO7V0rSvntHiwrIBO5Z1T60aNoUW7NAZyZJyp9fQWrQw9Hzv1MN6Dr4w7C+0B5tS&#10;5fNzWpV8NXQCmMD+G/DAdszoIG//Z5VQ85j+nC5/bJMEEvs1lRS7dtsdOXR912sz6OQDyAnYQuVn&#10;VNGehPbQ0JGXhbkJI9s/NNiq3fXF9h4dTbrLqFvVJ/8BAAD//wMAUEsDBBQABgAIAAAAIQBlagab&#10;JQEAAMgBAAAgAAAAZHJzL2NoYXJ0cy9fcmVscy9jaGFydDIueG1sLnJlbHOEkE9LAzEQxe+C32EJ&#10;6K2btAeR2t0ibgurSMG2eMklZme3afNnyaSy/faOh4KFgodkXibJ7w1vNh+czb4hogm+YONcsAy8&#10;Do3xXcG2m+XokWWYlG+UDR4KdgJk8/L2ZvYBViX6hDvTY0YUjwXbpdRPOUe9A6cwDz14umlDdCrR&#10;MXa8V/qgOuATIR54/Mtg5QUzq5uCxboZs2xz6sn5f3ZoW6OhCvrowKcrFjxYWH3tQSeCqthBKlhr&#10;LNDI/GUqt0g5yP0BvFdenjkox3cTsapqKYQgVX3+bsu6orJebOTrG4lnr+wJDZK8V65/oupDApQL&#10;HXxwRlMDUzzqdIzUXQenrFHUHNGCa2/yweJwHvM9NJTAYkgQyYjxcsYv8i9/AAAA//8DAFBLAwQU&#10;AAYACAAAACEAZWoGmyUBAADIAQAAIAAAAGRycy9jaGFydHMvX3JlbHMvY2hhcnQxLnhtbC5yZWxz&#10;hJBPSwMxEMXvgt9hCeitm7QHkdrdIm4Lq0jBtnjJJWZnt2nzZ8mksv32joeChYKHZF4mye8NbzYf&#10;nM2+IaIJvmDjXLAMvA6N8V3Btpvl6JFlmJRvlA0eCnYCZPPy9mb2AVYl+oQ702NGFI8F26XUTzlH&#10;vQOnMA89eLppQ3Qq0TF2vFf6oDrgEyEeePzLYOUFM6ubgsW6GbNsc+rJ+X92aFujoQr66MCnKxY8&#10;WFh97UEngqrYQSpYayzQyPxlKrdIOcj9AbxXXp45KMd3E7GqaimEIFV9/m7LuqKyXmzk6xuJZ6/s&#10;CQ2SvFeuf6LqQwKUCx18cEZTA1M86nSM1F0Hp6xR1BzRgmtv8sHicB7zPTSUwGJIEMmI8XLGL/Iv&#10;fwAAAP//AwBQSwMEFAAGAAgAAAAhAHrfdLPCAAAApwEAABkAAABkcnMvX3JlbHMvZTJvRG9jLnht&#10;bC5yZWxzvJDLCsJADEX3gv8wZG+n7UJEnHYjQreiHxCm6QM7Dyaj6N87KIKC4M7lTci5h2zqq5nE&#10;hQKPziooshwEWe3a0fYKjofdYgWCI9oWJ2dJwY0Y6mo+2+xpwpiOeBg9i0SxrGCI0a+lZD2QQc6c&#10;J5s2nQsGY4qhlx71CXuSZZ4vZXhnQPXBFE2rIDRtCeJw86n5N9t13ahp6/TZkI1fKqQeMMQExNBT&#10;VPCI/JyWWTIF+V2i+JNE8ZKQH++t7gAAAP//AwBQSwMEFAAGAAgAAAAhABB9w8EAAgAAWQYAAA4A&#10;AABkcnMvZTJvRG9jLnhtbOxVy46bMBTdV+o/WN43PDrQBAVm0TSjSlU70rQf4BrzUAFb186Q+fte&#10;G0KmECnRrLsx+HV8z8OwvT+2DXkWoGvZpTRY+ZSIjsu87sqU/vq5/7CmRBvW5ayRnUjpi9D0Pnv/&#10;bturRISykk0ugCBIp5NepbQyRiWep3klWqZXUokOJwsJLTPYhdLLgfWI3jZe6Pux10vIFUgutMbR&#10;3TBJM4dfFIKbH0WhhSFNSrE241pw7W/betmWJSUwVdV8LIO9oYqW1R0eOkHtmGHkAPUCqq05SC0L&#10;s+Ky9WRR1Fw4Dsgm8GdsHkAelONSJn2pJplQ2plOb4bl358fgdR5Su8o6ViLFrlTSWCl6VWZ4IoH&#10;UE/qEcaBcuhZtscCWvtEHuToRH2ZRBVHQzgO3n0K/WiD2nOcC6MNujbKziv0ZrGPV1+u7PROB3u2&#10;vqmcoeOc3AMymcofCUYngp8rBoZErwjuYWJ3C6UwjNeWxZySq+cEMIbqllBcTzm3JWMSeOLexiTw&#10;RQ5uRRoB8CLMgnQBYAjpTvJDKzoz3DoQDTN45XVVK00JJDZB8DV3qUF/RvL2GmTbcx/fL7s0rr/o&#10;W/yvb/HMt1cCu+3fJP+jMaruJAyv9XaIwsmZMa1hGHyMA3Rxmdkw8uPN+r/BS4NDq/7Z0JsMdk7g&#10;9+vqxvMfIfsLAAD//wMAUEsDBBQABgAIAAAAIQCE6D763QAAAAUBAAAPAAAAZHJzL2Rvd25yZXYu&#10;eG1sTI9Ba8JAEIXvhf6HZQre6iaatpJmIyK2JylUC6W3MTsmwexsyK5J/PeuvbSXgcd7vPdNthxN&#10;I3rqXG1ZQTyNQBAXVtdcKvjavz0uQDiPrLGxTAou5GCZ399lmGo78Cf1O1+KUMIuRQWV920qpSsq&#10;MuimtiUO3tF2Bn2QXSl1h0MoN42cRdGzNFhzWKiwpXVFxWl3NgreBxxW83jTb0/H9eVn//TxvY1J&#10;qcnDuHoF4Wn0f2G44Qd0yAPTwZ5ZO9EoCI/43xu8l2SegDgoSKLFDGSeyf/0+RUAAP//AwBQSwME&#10;FAAGAAgAAAAhAGEP6isABwAAgRcAABUAAABkcnMvY2hhcnRzL2NoYXJ0MS54bWzsWN1v2zYQfx+w&#10;/0ETMvQpNkV9G7ULx0mKYEkbNGkH7I2WaFsLJWoUndr963f8kC27cZM1LdaHJoAtkXfH+/qdeffy&#10;1apkzj0VTcGroev1kOvQKuN5Uc2H7vvb8+PEdRpJqpwwXtGhu6aN+2r06y8vs0G2IELe1CSjDgip&#10;mkE2dBdS1oN+v8kWtCRNj9e0gr0ZFyWR8Crm/VyQjyC8ZH2MUNTXQlwrgHyFgJIUVcsvnsLPZ7Mi&#10;o6c8W5a0kkYLQRmR4IFmUdSNOwLjciKpl6LAuSds6CK3rxYZqeZmgVbHr0/MouDLKqf5hIsK3Nih&#10;L7PBmEkqKhA14ZWE06yd5ZM8VRJxt6yPM17WoNy0YIVca3VBQZA9WXCww3lH/1kWgjZDN/OC1hHw&#10;+JkryiITvOEz2QOJfeOFNhpKbNxP+tjGA4z1gkEj14wagzwcKWv7m3O1CueEsSnJ7pRvOsRb2i2B&#10;4tz3hmLT8VcPspCM6oeV+hRFthi9JIMpz9fXAo4mA9bIG6WRfqnVSn0t1FdOZ++uhdN8GroJggSe&#10;2oD1NxSaTACNiuDQhei9v4G83mcgAzm6Ioy+BE4J1pIBMCop8NmqBA9Sa8jImi+BKhuUpFoSdrl5&#10;X13x3PqN5nNq0mT90OLKpksv9IMwSJMIowR7CcKhZTL7uBfv/kVnx1jHY/9w0G6rFwdcw1snJZXy&#10;rZ/JUvJb9XJKGZU075Blg5pxORaUKPOMQA2AKREThXq1DM+nhTBcGWdG4TmgoQZ4m+Waigyy/kZC&#10;jtDcUNwTsZ5wxnegAulDwdXZoMhblxhqLnJqz7AYNM5vpHhHZ4pjNnpxVtbOdO00dPXit6PJUaSC&#10;pfeAakKgFCm6Wk4AqNIo5hnptXTgQJUtiuJ+NJ5D2i2ZXApIAbWgPmuVCSq/W1nmRR8Pj1Yfm4oN&#10;Z0V+XjCm8rIR8+mEteqjaBLF6lxIqA6ZkqaZwfgKAiYvZm/oHAB/b1PI2p0R7fVqWR4wfHwUD47G&#10;R563MR9oN+abEjyBxBwhTaBLsn7fd47NvX3neGmqRW+9onxjHOhZB0IZ0dIfosFbmlBp8BCNv6Hx&#10;DsoJtjR4Vw4I3ZpsXtooWe9BMVeRPuzEiXLi5ClO7H2lG+O0F3iA9hQQnfgY+Y86NY56KYoSPw4i&#10;348TeN41exuG1sXAESZeiOMYpWmEUj85xNE6HDgCLwUeFPlBHIWRf4ijdb86A+MkxikOEhREyd4Z&#10;XwiGjgLsW8zvQ9+CswN9u/IY9E+fAf2LKl8CxNe7Zisln4n7M6T+f+J+BLXhx8X9qcL96ffEfdBL&#10;ogD5EQLQYy/ww4POaItp2AP6AKdQIvwYoxgdxGSL+7DnJ0kSYs9LgyCEu9AeJreVosV92MMY6jpc&#10;OQD+KVw9DnK0uA97cEXxcRR4GCKaQo35DDKHivAjuNc3mmzQwb1deQz3Z8/A/Q0V93CNbj4z4rm4&#10;P4/TwDv7ifsfG/dnCvdn3xP3XtiLMQ7hF9IL4Qc/evwS5cW9KEljQJa5H+CDlaLFvZf0EE4jL/ZR&#10;GkKd8A5Wihb3wOGHCMch8tMoxlAzdgGwrRQt7hVHGsQpDsMojnCU7mn19N/7/HLKGnUNaxb84yWd&#10;0yr/g3a7FLPzgcBgotN8K+oJkW9IuXsxVuuA4gfXr00D8pmck+V0yuhN8akrCizYqDYn9Z9FLhe2&#10;XQjtJdx0VLVdhV5Td0VkdWG7Jw8lKEVJ8tCGh0JwtC4IunnaNFJwNx3rjvKgnCYjDJoq5TMuCuio&#10;9LDCaFEW1RVZWbEdwlx3dTuWk9U1twOKqdEcKvV5KZ1tc6B6IafhS+jbLosKmjaYCRnSkvzNxW2R&#10;3V3BWMKIhfbX7hXV/l4F0yKzKYEHIr45uqIrecvNnppINGPb8oHztj6CyYDao1Zf1az+RYVlU282&#10;BkYOm7Ixm1dmLZNis/p2Nmto2/S18ar4FTR5xeU9A706HoIE2MQCMu+BoHT16/j6GwXF9tDa069F&#10;kUPMaaMzbNO0m5/C3eGII7gcusdhAM2XGn+oJhKmP1x8Um54fG7y1HFJS6dmIy2w+Mz5yMUdJFBG&#10;/8PURBv15fHEQ6n5+/+Zm11gfyE39dYJlR8ptfk4NS8qGJBhNrHgqTtjUc8fiuZtxWwhtKjLi6Y+&#10;gaHVXTO2SIDKZLJb1b1TVUrfQsChBOwlcjumMcMFyIJK5ULF1XBCaWJWQI12+iBXZpr2FRM3nWVQ&#10;kypHrms6g4nw0B2LgjDXqUnFG3hFGJ2gCAXw3f7DtLIuZLY4J2XB1kPXhwU1DgTA2gEeGWTNNxYJ&#10;dptxoXaBndrAL9A1EUQNEbsDQuMmM/wz3skGULzURJedEkkcAfOqoSsucnNlV2Xpfa0mx7ux6PLo&#10;HNBDTz05H/0LAAD//wMAUEsBAi0AFAAGAAgAAAAhACIzSCAlAQAA2wIAABMAAAAAAAAAAAAAAAAA&#10;AAAAAFtDb250ZW50X1R5cGVzXS54bWxQSwECLQAUAAYACAAAACEAOP0h/9YAAACUAQAACwAAAAAA&#10;AAAAAAAAAABWAQAAX3JlbHMvLnJlbHNQSwECLQAUAAYACAAAACEAFtAVU/kGAADyFgAAFQAAAAAA&#10;AAAAAAAAAABVAgAAZHJzL2NoYXJ0cy9jaGFydDIueG1sUEsBAi0AFAAGAAgAAAAhAGVqBpslAQAA&#10;yAEAACAAAAAAAAAAAAAAAAAAgQkAAGRycy9jaGFydHMvX3JlbHMvY2hhcnQyLnhtbC5yZWxzUEsB&#10;Ai0AFAAGAAgAAAAhAGVqBpslAQAAyAEAACAAAAAAAAAAAAAAAAAA5AoAAGRycy9jaGFydHMvX3Jl&#10;bHMvY2hhcnQxLnhtbC5yZWxzUEsBAi0AFAAGAAgAAAAhAHrfdLPCAAAApwEAABkAAAAAAAAAAAAA&#10;AAAARwwAAGRycy9fcmVscy9lMm9Eb2MueG1sLnJlbHNQSwECLQAUAAYACAAAACEAEH3DwQACAABZ&#10;BgAADgAAAAAAAAAAAAAAAABADQAAZHJzL2Uyb0RvYy54bWxQSwECLQAUAAYACAAAACEAhOg++t0A&#10;AAAFAQAADwAAAAAAAAAAAAAAAABsDwAAZHJzL2Rvd25yZXYueG1sUEsBAi0AFAAGAAgAAAAhAGEP&#10;6isABwAAgRcAABUAAAAAAAAAAAAAAAAAdhAAAGRycy9jaGFydHMvY2hhcnQxLnhtbFBLBQYAAAAA&#10;CQAJAFwCAACp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DyH&#10;B8MAAADaAAAADwAAAGRycy9kb3ducmV2LnhtbESPQWvCQBSE7wX/w/KE3urGFEtJXSW0WHoQpFro&#10;9XX3NQlm34bdjYn/3hUEj8PMfMMs16NtxYl8aBwrmM8yEMTamYYrBT+HzdMriBCRDbaOScGZAqxX&#10;k4clFsYN/E2nfaxEgnAoUEEdY1dIGXRNFsPMdcTJ+3feYkzSV9J4HBLctjLPshdpseG0UGNH7zXp&#10;4763Cvrt7+6vK/tNmQ/PH3rUn36wuVKP07F8AxFpjPfwrf1lFCzgeiXdALm6AAAA//8DAFBLAQIt&#10;ABQABgAIAAAAIQC2gziS/gAAAOEBAAATAAAAAAAAAAAAAAAAAAAAAABbQ29udGVudF9UeXBlc10u&#10;eG1sUEsBAi0AFAAGAAgAAAAhADj9If/WAAAAlAEAAAsAAAAAAAAAAAAAAAAALwEAAF9yZWxzLy5y&#10;ZWxzUEsBAi0AFAAGAAgAAAAhADMvBZ5BAAAAOQAAAA4AAAAAAAAAAAAAAAAALgIAAGRycy9lMm9E&#10;b2MueG1sUEsBAi0AFAAGAAgAAAAhAJQ8hwfDAAAA2gAAAA8AAAAAAAAAAAAAAAAAmwIAAGRycy9k&#10;b3ducmV2LnhtbFBLBQYAAAAABAAEAPMAAACLAwAAAAA=&#10;">
                  <v:imagedata r:id="rId21" o:title=""/>
                  <o:lock v:ext="edit" aspectratio="f"/>
                </v:shape>
                <v:shape id="Chart 6"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fnd&#10;t8MAAADaAAAADwAAAGRycy9kb3ducmV2LnhtbESPT4vCMBTE74LfIbwFb5ruHkS6pmURBA8r4h+Q&#10;vb1tnm1p8lKaqNVPbwTB4zAzv2HmeW+NuFDna8cKPicJCOLC6ZpLBYf9cjwD4QOyRuOYFNzIQ54N&#10;B3NMtbvyli67UIoIYZ+igiqENpXSFxVZ9BPXEkfv5DqLIcqulLrDa4RbI7+SZCot1hwXKmxpUVHR&#10;7M5WQXNcL+qTmx3vuP81vvkz/xu9VGr00f98gwjUh3f41V5pBVN4Xok3QGYPAAAA//8DAFBLAQIt&#10;ABQABgAIAAAAIQC2gziS/gAAAOEBAAATAAAAAAAAAAAAAAAAAAAAAABbQ29udGVudF9UeXBlc10u&#10;eG1sUEsBAi0AFAAGAAgAAAAhADj9If/WAAAAlAEAAAsAAAAAAAAAAAAAAAAALwEAAF9yZWxzLy5y&#10;ZWxzUEsBAi0AFAAGAAgAAAAhADMvBZ5BAAAAOQAAAA4AAAAAAAAAAAAAAAAALgIAAGRycy9lMm9E&#10;b2MueG1sUEsBAi0AFAAGAAgAAAAhANX53bfDAAAA2gAAAA8AAAAAAAAAAAAAAAAAmwIAAGRycy9k&#10;b3ducmV2LnhtbFBLBQYAAAAABAAEAPMAAACLAwAAAAA=&#10;">
                  <v:imagedata r:id="rId22" o:title=""/>
                  <o:lock v:ext="edit" aspectratio="f"/>
                </v:shape>
                <w10:anchorlock/>
              </v:group>
            </w:pict>
          </mc:Fallback>
        </mc:AlternateContent>
      </w:r>
      <w:r>
        <w:tab/>
      </w:r>
    </w:p>
    <w:p w14:paraId="7FE01719" w14:textId="77777777" w:rsidR="009D51C0" w:rsidRDefault="009D51C0" w:rsidP="009D51C0">
      <w:pPr>
        <w:pStyle w:val="Source"/>
      </w:pPr>
      <w:r>
        <w:t>Source: ILO Global Employment Trends 2014 (</w:t>
      </w:r>
      <w:hyperlink r:id="rId23" w:history="1">
        <w:r w:rsidRPr="000B7E15">
          <w:rPr>
            <w:rStyle w:val="Hyperlink"/>
          </w:rPr>
          <w:t>http://www.ilo.org/global/research/global-reports/global-employment-trends/2014/WCMS_234879/lang--en/index.htm</w:t>
        </w:r>
      </w:hyperlink>
      <w:r>
        <w:t>).</w:t>
      </w:r>
    </w:p>
    <w:p w14:paraId="7FE0171A" w14:textId="77777777" w:rsidR="009D51C0" w:rsidRPr="00DB7F31" w:rsidRDefault="009D51C0" w:rsidP="009D51C0">
      <w:pPr>
        <w:pStyle w:val="Source"/>
      </w:pPr>
    </w:p>
    <w:p w14:paraId="61860768" w14:textId="77777777" w:rsidR="009170CE" w:rsidRDefault="009170CE">
      <w:pPr>
        <w:rPr>
          <w:rFonts w:ascii="Arial" w:hAnsi="Arial"/>
          <w:b/>
          <w:color w:val="006C67" w:themeColor="accent1"/>
          <w:sz w:val="24"/>
        </w:rPr>
      </w:pPr>
      <w:bookmarkStart w:id="10" w:name="_Toc408401695"/>
      <w:r>
        <w:br w:type="page"/>
      </w:r>
    </w:p>
    <w:p w14:paraId="7FE0171B" w14:textId="2A0F292A" w:rsidR="009D51C0" w:rsidRDefault="009170CE" w:rsidP="009D51C0">
      <w:pPr>
        <w:pStyle w:val="FigureHeading"/>
      </w:pPr>
      <w:bookmarkStart w:id="11" w:name="_Toc427923448"/>
      <w:r>
        <w:t>Broad s</w:t>
      </w:r>
      <w:r w:rsidR="009D51C0">
        <w:t xml:space="preserve">ectoral employment by sex, </w:t>
      </w:r>
      <w:bookmarkEnd w:id="10"/>
      <w:r w:rsidR="009D51C0">
        <w:t>Somalia</w:t>
      </w:r>
      <w:bookmarkEnd w:id="11"/>
    </w:p>
    <w:p w14:paraId="7FE0171C" w14:textId="77777777" w:rsidR="009D51C0" w:rsidRDefault="009D51C0" w:rsidP="009D51C0">
      <w:pPr>
        <w:pStyle w:val="Source"/>
        <w:spacing w:after="0"/>
      </w:pPr>
      <w:r>
        <w:rPr>
          <w:noProof/>
          <w:lang w:eastAsia="en-GB"/>
        </w:rPr>
        <mc:AlternateContent>
          <mc:Choice Requires="wpg">
            <w:drawing>
              <wp:inline distT="0" distB="0" distL="0" distR="0" wp14:anchorId="7FE019C7" wp14:editId="7FE019C8">
                <wp:extent cx="5687568" cy="2578608"/>
                <wp:effectExtent l="0" t="0" r="8890" b="0"/>
                <wp:docPr id="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8" name="Chart 8"/>
                        <wpg:cNvFrPr/>
                        <wpg:xfrm>
                          <a:off x="0" y="0"/>
                          <a:ext cx="2268000" cy="2466000"/>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14" name="Chart 14"/>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16" name="Chart 16"/>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26"/>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O1vybEvBgAA+xEA&#10;ABUAAABkcnMvY2hhcnRzL2NoYXJ0Mi54bWzsWN1v2zYQfx+w/8ETWvQpsb4/jNiF48RFsKQNmrQD&#10;9kZLtK2FIjWKdu3+9bsjKct2kyAINmwPSwBbJO9Od7/74J3P3m8q1ltT2ZSCDx3v1HV6lOeiKPli&#10;6Hy5n56kTq9RhBeECU6HzpY2zvvRzz+d5YN8SaS6q0lOeyCEN4N86CyVqgf9fpMvaUWaU1FTDmdz&#10;ISuiYCkX/UKSbyC8Yn3fdeO+FuJYAeQVAipS8pZfvoRfzOdlTi9EvqooV0YLSRlRgECzLOvGGYFx&#10;BVHUy9ywtyZs6LhOHzcZ4QuzQfnJh3OzKcWKF7SYCMkBxj36Kh+MmaKSg6iJ4AreZu2sXoRUReTD&#10;qj7JRVWDcrOSlWqr1QUFQfZkKcCO3mf656qUtBk6uRe2QMDjD1BUZS5FI+bqFCT2DQqtN1Bs0k/7&#10;vvUHGOuFg0ZtGTUGeX6M1vZ379UqTAljM5I/IDZ7xB1tR4Ccx2ggm/Y/PqhSMaofNvgpy3w5OiOD&#10;mSi2txJeTQasUXeokV7UuFPfSvwq6Pzzrew134dO6mpX9XdnmkDCKfpu6IDfvtxBRHekZKBGV7xY&#10;NUpuz4BPgZVkAGwoAz5bVeBBac0Y2YoVUOWDivAVYde79eZGFBYvWiyoCY/tY5sbGyanQRq6fhBk&#10;Xur5aRyFmWUy5/5pcvgXX5742g/HLwftOr0E5DOs9kIRlW/xJSsl7nFxQRlVtNgjywc1E2osKUHz&#10;jEAd+DMiJ5jtuA3PF6U0XLlgRuEFZEENaW23GcBJJS3M4ZrI7UQwcZAdEDEUUM4HZdGiYaiFLKgV&#10;b9PO4L4e3RBG0SFr7Raz29gYaAQri2nJGAZEIxezCWuFuPEkTjRqcNKRgSDDDCpwQExdzT/SBWTa&#10;2vrQvj0n2my+qj7TOSo8H727rOrebNtr6ObdL2/Gb4J4AJ+hi8ppEiCeEKiBmlwXvwmExugDhRJB&#10;mCbrdkFkrSZQRZRBLzI41KoH0GDtQSnrkZdlXmd9rZVqaTxLA2mslTAIHdL4HU30lJxgR+M9KSfs&#10;aPxDOWB9Z7hZaMjg0YIIxRSNeRrLS43l5QuwdN++Dkb3NA1SN/ZCP0r8yAu8IyPQGQb4FlTkiPw4&#10;9v04gCQNoyg+tLtjaTFGlsRNEz/LYkxwPwyeYmkhR5bMDbwk8aIM3hSETyrWegBYQjeM48z10sgP&#10;gfHoLc84RHsCzm0SHuei90Mu2p02F6dwv78mG6dJFnqX/2djGymQsf/dbJzqbJz+o9noxV4WpFES&#10;+kmYxmmaPpUoXTp6cZgEQZIEceIFURi8IB292M/ghnW9LIyy9JkM7tLRi90sTvULML3iJxXr0hEy&#10;NwpAo8yLojRMkqMMfnk6Ftcz1mClbJbi2zVdUF78SvcvdHPylUDvvtefIvWEqI+kOrzCcP+Oykf3&#10;b6nMsTM9lnO+ms0YvSu/74sCC3aqLUj9W1mopeH0Intdks2VbSk8wM8Fn4amlhwdQF00rZruKHbd&#10;BVwUY91mHZF3cpqcMOg0EB0hS1Bdd+5Gi6rkN2Sjqwsg1BEWutU5sJFsboXt1mdGQbiVppXqmWEF&#10;7+uhYy9saBjFCmC6LvkDLWBMMgwV+UPI+zJ/uIFO3QiHztCelfz4jMMAZQ4V8ICHdwpwulH3wpxh&#10;k96MbUukIWyRglsUz6jVGvu436m0bLiynjBy2IyN2YKbvVzJ3e6n+byh1t+e8QHcyOJmxVR5vWag&#10;1x5O4PCdRyBCHnVNp98e4s+4BnvX1j7UCm+hx11lcd5zlW03NfIfZFlAJNBGt6iPeM99++86rovZ&#10;Zxynj86p+kapddbMLCw0FnUA6aA31zUBc4Dpp10o2Vje690fnQYMF/Kj1K9l84kzW18s6EXZ1Ocw&#10;ND00YxtwkPAmiLCcXGCF+gRtM+TbUby0g0LbmjOOPTkX2J2ju2GSgx30uu7dca4yc9wrZj2UjKM7&#10;76ltTefwW8TQGcuSMKdXEy4aWLq+e+5CIYLv9h/m5LpU+XJKqpJth04AGziIQl7YWZ8M8uZvFgl2&#10;m0FVQ2DHFijst0QSHF/3B1QDkxk/DTr5AGoE/pbALogiPQlj09CRV4W5FTH7v9T4m8WhL/Z5NOR6&#10;3Na/2Yz+AgAA//8DAFBLAwQUAAYACAAAACEAZWoGmyUBAADIAQAAIAAAAGRycy9jaGFydHMvX3Jl&#10;bHMvY2hhcnQzLnhtbC5yZWxzhJBPSwMxEMXvgt9hCeitm7QHkdrdIm4Lq0jBtnjJJWZnt2nzZ8mk&#10;sv32joeChYKHZF4mye8NbzYfnM2+IaIJvmDjXLAMvA6N8V3Btpvl6JFlmJRvlA0eCnYCZPPy9mb2&#10;AVYl+oQ702NGFI8F26XUTzlHvQOnMA89eLppQ3Qq0TF2vFf6oDrgEyEeePzLYOUFM6ubgsW6GbNs&#10;c+rJ+X92aFujoQr66MCnKxY8WFh97UEngqrYQSpYayzQyPxlKrdIOcj9AbxXXp45KMd3E7GqaimE&#10;IFV9/m7LuqKyXmzk6xuJZ6/sCQ2SvFeuf6LqQwKUCx18cEZTA1M86nSM1F0Hp6xR1BzRgmtv8sHi&#10;cB7zPTSUwGJIEMmI8XLGL/IvfwAAAP//AwBQSwMEFAAGAAgAAAAhAGVqBpslAQAAyAEAACAAAABk&#10;cnMvY2hhcnRzL19yZWxzL2NoYXJ0Mi54bWwucmVsc4SQT0sDMRDF74LfYQnorZu0B5Ha3SJuC6tI&#10;wbZ4ySVmZ7dp82fJpLL99o6HgoWCh2ReJsnvDW82H5zNviGiCb5g41ywDLwOjfFdwbab5eiRZZiU&#10;b5QNHgp2AmTz8vZm9gFWJfqEO9NjRhSPBdul1E85R70DpzAPPXi6aUN0KtExdrxX+qA64BMhHnj8&#10;y2DlBTOrm4LFuhmzbHPqyfl/dmhbo6EK+ujApysWPFhYfe1BJ4Kq2EEqWGss0Mj8ZSq3SDnI/QG8&#10;V16eOSjHdxOxqmophCBVff5uy7qisl5s5OsbiWev7AkNkrxXrn+i6kMClAsdfHBGUwNTPOp0jNRd&#10;B6esUdQc0YJrb/LB4nAe8z00lMBiSBDJiPFyxi/yL38AAAD//wMAUEsDBBQABgAIAAAAIQBlagab&#10;JQEAAMgBAAAgAAAAZHJzL2NoYXJ0cy9fcmVscy9jaGFydDEueG1sLnJlbHOEkE9LAzEQxe+C32EJ&#10;6K2btAeR2t0ibgurSMG2eMklZme3afNnyaSy/faOh4KFgodkXibJ7w1vNh+czb4hogm+YONcsAy8&#10;Do3xXcG2m+XokWWYlG+UDR4KdgJk8/L2ZvYBViX6hDvTY0YUjwXbpdRPOUe9A6cwDz14umlDdCrR&#10;MXa8V/qgOuATIR54/Mtg5QUzq5uCxboZs2xz6sn5f3ZoW6OhCvrowKcrFjxYWH3tQSeCqthBKlhr&#10;LNDI/GUqt0g5yP0BvFdenjkox3cTsapqKYQgVX3+bsu6orJebOTrG4lnr+wJDZK8V65/oupDApQL&#10;HXxwRlMDUzzqdIzUXQenrFHUHNGCa2/yweJwHvM9NJTAYkgQyYjxcsYv8i9/AAAA//8DAFBLAwQU&#10;AAYACAAAACEAV8NutckAAAAsAgAAGQAAAGRycy9fcmVscy9lMm9Eb2MueG1sLnJlbHO8kcsKwjAQ&#10;RfeC/xBmb9NWEBFTNyK4lfoBQzp9YJuETBT79wZFUBDdubwzzLkHZr25Dr24kOfOGgVZkoIgo23V&#10;mUbBsdzNliA4oKmwt4YUjMSwKaaT9YF6DPGI286xiBTDCtoQ3EpK1i0NyIl1ZOKmtn7AEKNvpEN9&#10;woZknqYL6V8ZULwxxb5S4PfVHEQ5utj8m23rutO0tfo8kAkfKqRu0YcIRN9QUHCP/JjOk2gK8rNE&#10;/ieJ/JtE9ieJ7Ckh335c3AAAAP//AwBQSwMEFAAGAAgAAAAhAE1PqdlVAgAAcAgAAA4AAABkcnMv&#10;ZTJvRG9jLnhtbOxW247aMBB9r9R/sPxeEgIJISKsqlJWlaouUtsPcB3noia2ZZsN+/edOCawBKmI&#10;9q19wIrtzPGZOWccVg+HpkbPTOlK8BRPJz5GjFORVbxI8fdv23cxRtoQnpFacJbiF6bxw/rtm1Ur&#10;ExaIUtQZUwhAuE5ameLSGJl4nqYla4ieCMk4bOZCNcTAVBVepkgL6E3tBb4fea1QmVSCMq1hddNv&#10;4rXFz3NGzVOea2ZQnWLgZuyo7PijG731iiSFIrKsqKNB7mDRkIrDoQPUhhiC9qoaQTUVVUKL3Eyo&#10;aDyR5xVlNgfIZupfZPOoxF7aXIqkLeRQJijtRZ3uhqVfnncKVVmKFxhx0oBE9lQ070rTyiKBNx6V&#10;/Cp3qs8PHj8L+lMjLj6UhBfsvZZQZhC/i/AuQ7p5cYo/5KrpcCBzdLAyvAwysINBFBbDKF7ADyMK&#10;e0G4iCM/7oWiJag5iqPlRxcZ+fMoXILONnIxn4FFLCuS9AdbegOdnpvVfqsg9yFhVxKg0JcEElUG&#10;WRIuv63aKVegW1IKgij2gUtPbB5F3eRYriOAs+EtNvp9X9COMniHJvbJeYeOnHMrkgOA1rmw3hWA&#10;3tYbQfcN46bvU8VqYuCS0GUlNUYq6TynPmW9a141DrhomDtHudKcqTReOVl5On8tHMxPZu6UOyux&#10;hbSGPsoBOP07ndRHbZxfg2kUBn6I0di102Wn8FHiM++dw/yTEgeuBV3y3d345xJHFxJHf0vi2TKM&#10;7R0yljjw4/9dfLWLZ3dIbO9i+Kyde+GqN05/FNa/AAAA//8DAFBLAwQUAAYACAAAACEAYl8yed4A&#10;AAAFAQAADwAAAGRycy9kb3ducmV2LnhtbEyPzWrDMBCE74W+g9hAb43stvlzLIcQ2p5CIUmh5Lax&#10;NraJtTKWYjtvX7WX9rIwzDDzbboaTC06al1lWUE8jkAQ51ZXXCj4PLw9zkE4j6yxtkwKbuRgld3f&#10;pZho2/OOur0vRChhl6CC0vsmkdLlJRl0Y9sQB+9sW4M+yLaQusU+lJtaPkXRVBqsOCyU2NCmpPyy&#10;vxoF7z326+f4tdtezpvb8TD5+NrGpNTDaFgvQXga/F8YfvADOmSB6WSvrJ2oFYRH/O8N3nwxmYE4&#10;KXiJpjHILJX/6bNvAAAA//8DAFBLAwQUAAYACAAAACEAhznvMSoGAACyEQAAFQAAAGRycy9jaGFy&#10;dHMvY2hhcnQzLnhtbOxYbW/bNhD+PmD/wRNa9FNs6tWSELtwnCYtlrRBk3bAvtESbWuhSJWkXbu/&#10;fscXWXLadEWwYfuwBLBF8u50fO4e8s6nL3c1HWyJkBVnE88fIm9AWMHLiq0m3oe7i5PUG0iFWYkp&#10;Z2Ti7Yn0Xk5//um0yIs1Fuq2wQUZgBEm82LirZVq8tFIFmtSYznkDWGwtuSixgqGYjUqBf4Mxms6&#10;ChBKRsaI5wzgJxioccVaffEj+ny5rApyzotNTZiyXghCsQIE5LpqpDeFzZVYET9D0WCL6cRD3khP&#10;UsxWdoKwk8szOyn4hpWknHPBAMaefF3kM6qIYGBqzpmCt7l91j+EVI3F/aY5KXjdgHOLilZqb9wF&#10;B8H2fM1hH4P35NOmEkROvMKPWiDg8Sso6qoQXPKlGoLFkUWhjYY2Ox6lo8DFAzbrR7lUe0rshvwg&#10;0bsdHd5rXLjAlC5wca+x6Ql3sp2A1nyIhlYz8dcPqlKUmIed/hRVsZ6e4nzBy/2NgFfjnEp1qz0y&#10;g0bPNDdCf5Vk+f5GDOSXiZciE6rRYc0ICFjVsZt4ELcPt5DRnSjO1fSWiC1gKU9BT8EucQ5q2gZ8&#10;tq7AgzKeUbznG5Aq8hqzDaZXh/HumpcOL1KuiE2P/bcmdy5NhkEaoWg8DlEaZFGAsrFTsuvBcHz8&#10;l7w6CUwcHr4cvOv84sBnGPVSUTvf4os3it/pwTmhRJGyJ1bkDeVqJgjW27MGTeIvsJhrtutpeD6v&#10;hNUqOLUOr4AFDdDaTdONhMQnpV3cYrGfc8qP2AEZQwDlIq/KFg0rzUVJnHlHO4v7dnqNKdEB2Zqw&#10;2FnpckByWpUXFaU6IaRYLea0NYKSeWJwhYj2xMCQVQYXGCCm3izfkhUwbeti6N5eYLNttqnfk6V2&#10;eDl98apuBov9QJLdi1+ezZ6FSQ6fEdLOGREQnmM4A424OfzmkBrTSwJHBKZGrJsFk42awymiLHqx&#10;xaFRA4BGnz3aynbqZ5nf7b4xTrUyvpMBGhsnLELHMkEnEz9mJzzI+I/aiTqZ4NgO7L7buB0YyODR&#10;gQiHqd7M41heGiwvfwBL9PxpMKJhEqMoDXw/zOArS/4aVVAJ/ThGWRylaZzFfpwdb1wH0AarBRlU&#10;/Bi0xihNk2CcJNGjsWsxR8M4y5I0TsMw9v00HKMH8HZvaUOgVcIoCZJxliRZFvrB+Nix70TEhALW&#10;HQsfktH/ioxupiXjBVzwT6HjxTiL/Ffa+v901LQGyv536fja0PH1P0rHMAJGjYEmCL5Q6EfHKdxl&#10;fXvIoWGYpFEExRnwBK7P9HFudXQM0wi0ggxoPw6AYY8yuKNjhLQ3PnA3Tf0kyNLHHOvoGKEkDsdR&#10;loQICImSJ9OxvFpQqY9Kueafr8iKsPJX0r/R7cpHDMV7r0DV0nOs3uL6+A7T81DkfHP+hohCl6YP&#10;7ZxtFgtKbqsvfVNwYBxcW+Hmt6pUa6vpx+6+xLs3rqbwUZYEYRybkqXIewt+lKVjhFJzDJiS4lBe&#10;wE0xM3VWT/zYjiwwhVJDo8NFBa6b0t16UVfsGu+c2Z5gaWqdoz3i3Q135frCHnZwLV3UamC7FX1h&#10;Tzx3Y0PFyDcA01XF7kkJfZJVqPEfXNxVxf01lOrWOJSGbq1iD9cYdFB2UYEORPjgACM7dcftmq7S&#10;5czVRJDgHVJwjeo14rzWhdzvRDg1PXKRsHbogs7oitm5QonD7LvlUhIXb9/Wy3Al8+sNVdXVloJf&#10;PZzs3W0jAhnyVWiO/esh/p3Q6OK13Z/2St9CXUz7oXI490Ll6k2D/KWoSsgEIk2N+o3ooef/XuCO&#10;c/Y7gTNLZ0R9JsQFa2EHDhqHOoDUL87188dKvmPUnQoOqrKSzRn0Ovdy5tIEaGpDrw+Bc32uvINq&#10;F1jyIMptfd9W1JTpUppxXVTb21rP6FiZklu3Q7b9ekKLpi3rjpsN1L4hS/gJYeLNRIWpN2gw4xKG&#10;KEBnKEERfLf/0N42lSrWF7iu6H7ihTCh+0fIZtei47yQf7NJqFJsf2kKFtdtwHF8gwXWXWe/r7Qw&#10;2a7RolPkwGz9EwA9xwoPBHQ7E0+8Ke1dpjn7odE/NRzHoq9jIDddsvmpZfonAAAA//8DAFBLAwQU&#10;AAYACAAAACEAjmdopSAGAAC1EQAAFQAAAGRycy9jaGFydHMvY2hhcnQxLnhtbOxY224bNxB9L9B/&#10;UBcJ8mRrb9obLAWyHAVB7cSInRToG7VLSay55JakFClf3+FlpZViGYbRon2oDUi75Mxw5gwPOaOL&#10;t5ua9tZYSMLZ0AvOfa+HWckrwhZD78v99CzzelIhViHKGR56Wyy9t6Off7ooi3KJhLprUIl7YITJ&#10;ohx6S6Waot+X5RLXSJ7zBjOYm3NRIwWvYtGvBPoGxmvaD30/6RsjnjOAXmCgRoS1+uI5+nw+JyW+&#10;4uWqxkxZLwSmSAECckka6Y0guAopHOR+3FsjOvR8r68HKWILO4DZ2ftLOyj4ilW4mnDBAMaOfF0W&#10;Y6qwYGBqwpmC1Vyc9bOQqpF4WDVnJa8bcG5GKFFb4y44CLYnSw5x9D7jP1dEYDn0yiBugYDHH6Co&#10;SSm45HN1Dhb7FoU2G9ps2s/6ocsHBBvEhVRbim1AQZjoaPu7dY0LU0TpDJUPGpuO8F52L6A1j9HQ&#10;aib/+kERRbF52OhPQcrl6AIVM15tbwUsjQoq1Z32yLw0eqS5FfqrwvPPt6Invw+9zDep6u/mjICA&#10;WZ27oQd5+3IHO3ovigo1Gi9guRVVK4EvQFVBoKgATW0GPltv4EEZ5yja8hVIlUWN2ArR69375oZX&#10;DjJcLbDdIdvHBjdup5zHUeRHeRpHg8x8GqDLYmvnw/P08C95dxaaVBwvDt7t/eJAaXjr7EbtfAsx&#10;Wil+r1+uMMUKVx2xsmgoV2OBkQ7PGjR7f4bERBNeD8PzFRFWq+TURrkAIjTAbDdMVxL2Pq7s5BqJ&#10;7YRTfkAQ2DQYUC4LUrVoWGkuKuzMO+ZZ3NejG0QhRWWxNmmxo9JtA8kpqaaEUr0npFjMJrQ14ieT&#10;JDWowcxeDAxZZXCBAWLqw/wjXgDZ1i6HbvUSmbDZqv6M59rh+ejNu7rpzbY9iTdvfnk1fhUlBXzG&#10;vnbOiIDwBMExaMTN+TeBrTF6j+GUQNSI7UfBZKMmcJAoi97A4tCoHkCjjx9tZT0K8jzYR98Yp1qZ&#10;wMkAk40TFqFDmXAvMzhlJ9rJBCftxHuZ8NAORL8P3L4YyODRgQjnqQ7mNJYTg+XkGVj6r18Go3+e&#10;ZFGep+EgiOIozqM8O4xCZ8Mi36IKKkDDCG6EQR6lQRyGJ1VakLVK4sdJ4Gd5BsukUXJqlRZzrTII&#10;kyjUJ0KSBVl8UqVNgVHJ4yyJw0GUpVGYHTn2REZMKmDesfCYjMEPZHQjLRmncMe/hI7TNI+Dd//T&#10;sd0pQNn/Lh2vDB2v/lE6RkHi+2EW5MDHLE3z/BRR9nSMwjBMsjCM0gzInA5OEqUF2T8HWuUDIG+a&#10;hYEh8qlV9nSMQk1bOCYGAzgm0jw6pbKnI6j4gyAMwjxIwcXoSOX5dKyuZ1Tqo1Iu+bdrvMCs+hV3&#10;b3Q78xVB/d6pUbX0BKmPqD68w/T4HRaPjt9iUerq9NjO5Wo2o/iOfO+aggh2ri1Q8xup1NJqBgN3&#10;X6LNB1dTwOHnD+I0i+1ZcjiR5VFsJsBkt7yAm2Js6qxD8Y4dWSIKpYZGhwsCrpvq3XpRE3aDNuZ0&#10;AYT2gpWpdQ5iRJtb7ir2mXUQrqVprXq2YdEX9tBzNzYUjXwFMF0T9oAraJWsQo3+4OKelA83UK1b&#10;41AaujnCjucYNFF2UoEOZHjnAMMbdc/tnC7U5djVRBrCHVJwjeo57LzWhdzvWDg1/eYyYe3QGR3T&#10;BbNjpRK70U/zucQu34EtmeFK5jdQA5PrNQW/OjhBdnYZgR3yWGo6/nUQfyI1unht49NewRodxadT&#10;5epNg/x7QSrYCViaGvWR7Pmv/9XEdfbsE4kzU5dYfcPYJWtmXxw0DnUAqVuc6+evRH5i1J0KbktW&#10;RDaX0O48yLHbJkBTm3p9CFzpc+UTVLvAkqMst/V9W1FTpktpxnVRrZMEPRiM6FyZklu3Q7YDe0GX&#10;pi3rppv11LbBc/gVYeiNBUHU6zWIcQmvfuhf+lBCwXf7Dx1uQ1S5nKKa0O3Qi2BAt5Cwm12XjopS&#10;/s0mIW7bYhoIXLcBx/EtEkg3nt3W0sJku0aLTlkAs/WvAPQKKdQT0O0MPfGhsneZ5uyXRv/acJiL&#10;ro6B3DTK5teW0V8AAAD//wMAUEsBAi0AFAAGAAgAAAAhABLz00UqAQAAWAMAABMAAAAAAAAAAAAA&#10;AAAAAAAAAFtDb250ZW50X1R5cGVzXS54bWxQSwECLQAUAAYACAAAACEAOP0h/9YAAACUAQAACwAA&#10;AAAAAAAAAAAAAABbAQAAX3JlbHMvLnJlbHNQSwECLQAUAAYACAAAACEA7W/JsS8GAAD7EQAAFQAA&#10;AAAAAAAAAAAAAABaAgAAZHJzL2NoYXJ0cy9jaGFydDIueG1sUEsBAi0AFAAGAAgAAAAhAGVqBpsl&#10;AQAAyAEAACAAAAAAAAAAAAAAAAAAvAgAAGRycy9jaGFydHMvX3JlbHMvY2hhcnQzLnhtbC5yZWxz&#10;UEsBAi0AFAAGAAgAAAAhAGVqBpslAQAAyAEAACAAAAAAAAAAAAAAAAAAHwoAAGRycy9jaGFydHMv&#10;X3JlbHMvY2hhcnQyLnhtbC5yZWxzUEsBAi0AFAAGAAgAAAAhAGVqBpslAQAAyAEAACAAAAAAAAAA&#10;AAAAAAAAggsAAGRycy9jaGFydHMvX3JlbHMvY2hhcnQxLnhtbC5yZWxzUEsBAi0AFAAGAAgAAAAh&#10;AFfDbrXJAAAALAIAABkAAAAAAAAAAAAAAAAA5QwAAGRycy9fcmVscy9lMm9Eb2MueG1sLnJlbHNQ&#10;SwECLQAUAAYACAAAACEATU+p2VUCAABwCAAADgAAAAAAAAAAAAAAAADlDQAAZHJzL2Uyb0RvYy54&#10;bWxQSwECLQAUAAYACAAAACEAYl8yed4AAAAFAQAADwAAAAAAAAAAAAAAAABmEAAAZHJzL2Rvd25y&#10;ZXYueG1sUEsBAi0AFAAGAAgAAAAhAIc57zEqBgAAshEAABUAAAAAAAAAAAAAAAAAcREAAGRycy9j&#10;aGFydHMvY2hhcnQzLnhtbFBLAQItABQABgAIAAAAIQCOZ2ilIAYAALURAAAVAAAAAAAAAAAAAAAA&#10;AM4XAABkcnMvY2hhcnRzL2NoYXJ0MS54bWxQSwUGAAAAAAsACwDtAgAAIR4AAAAA&#10;">
                <o:lock v:ext="edit" aspectratio="t"/>
                <v:shape id="Chart 8"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r1Y&#10;csAAAADaAAAADwAAAGRycy9kb3ducmV2LnhtbERPy4rCMBTdD/gP4QruxlRxqlSjSEEQnBnwgeLu&#10;0lzbYnNTmlTr35vFwCwP571YdaYSD2pcaVnBaBiBIM6sLjlXcDpuPmcgnEfWWFkmBS9ysFr2PhaY&#10;aPvkPT0OPhchhF2CCgrv60RKlxVk0A1tTRy4m20M+gCbXOoGnyHcVHIcRbE0WHJoKLCmtKDsfmiN&#10;giuf45/fr8pN2slOTuPvdHZpU6UG/W49B+Gp8//iP/dWKwhbw5VwA+TyDQAA//8DAFBLAQItABQA&#10;BgAIAAAAIQC2gziS/gAAAOEBAAATAAAAAAAAAAAAAAAAAAAAAABbQ29udGVudF9UeXBlc10ueG1s&#10;UEsBAi0AFAAGAAgAAAAhADj9If/WAAAAlAEAAAsAAAAAAAAAAAAAAAAALwEAAF9yZWxzLy5yZWxz&#10;UEsBAi0AFAAGAAgAAAAhADMvBZ5BAAAAOQAAAA4AAAAAAAAAAAAAAAAALgIAAGRycy9lMm9Eb2Mu&#10;eG1sUEsBAi0AFAAGAAgAAAAhALa9WHLAAAAA2gAAAA8AAAAAAAAAAAAAAAAAmwIAAGRycy9kb3du&#10;cmV2LnhtbFBLBQYAAAAABAAEAPMAAACIAwAAAAA=&#10;">
                  <v:imagedata r:id="rId27" o:title=""/>
                  <o:lock v:ext="edit" aspectratio="f"/>
                </v:shape>
                <v:shape id="Chart 14"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GX4&#10;U78AAADbAAAADwAAAGRycy9kb3ducmV2LnhtbERPzYrCMBC+C75DGMGbpi4qUo0iwoIeZLfqAwzN&#10;2BabSUmirT79RljwNh/f76w2nanFg5yvLCuYjBMQxLnVFRcKLufv0QKED8gaa8uk4EkeNut+b4Wp&#10;ti1n9DiFQsQQ9ikqKENoUil9XpJBP7YNceSu1hkMEbpCaodtDDe1/EqSuTRYcWwosaFdSfntdDcK&#10;Xk3mzO/NYDa7L9rnT3U8ZNug1HDQbZcgAnXhI/5373WcP4X3L/EAuf4DAAD//wMAUEsBAi0AFAAG&#10;AAgAAAAhALaDOJL+AAAA4QEAABMAAAAAAAAAAAAAAAAAAAAAAFtDb250ZW50X1R5cGVzXS54bWxQ&#10;SwECLQAUAAYACAAAACEAOP0h/9YAAACUAQAACwAAAAAAAAAAAAAAAAAvAQAAX3JlbHMvLnJlbHNQ&#10;SwECLQAUAAYACAAAACEAMy8FnkEAAAA5AAAADgAAAAAAAAAAAAAAAAAuAgAAZHJzL2Uyb0RvYy54&#10;bWxQSwECLQAUAAYACAAAACEAjGX4U78AAADbAAAADwAAAAAAAAAAAAAAAACbAgAAZHJzL2Rvd25y&#10;ZXYueG1sUEsFBgAAAAAEAAQA8wAAAIcDAAAAAA==&#10;">
                  <v:imagedata r:id="rId28" o:title=""/>
                  <o:lock v:ext="edit" aspectratio="f"/>
                </v:shape>
                <v:shape id="Chart 16"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qd&#10;2MAAAADbAAAADwAAAGRycy9kb3ducmV2LnhtbERPTYvCMBC9L/gfwgh7W1MFRapRRLDsQVisvXgb&#10;krEpNpPSRO3++82C4G0e73PW28G14kF9aDwrmE4yEMTam4ZrBdX58LUEESKywdYzKfilANvN6GON&#10;ufFPPtGjjLVIIRxyVGBj7HIpg7bkMEx8R5y4q+8dxgT7WpoenynctXKWZQvpsOHUYLGjvSV9K+9O&#10;waUoL0fNp1m0c13ti0Px08hCqc/xsFuBiDTEt/jl/jZp/gL+f0kHyM0fAAAA//8DAFBLAQItABQA&#10;BgAIAAAAIQC2gziS/gAAAOEBAAATAAAAAAAAAAAAAAAAAAAAAABbQ29udGVudF9UeXBlc10ueG1s&#10;UEsBAi0AFAAGAAgAAAAhADj9If/WAAAAlAEAAAsAAAAAAAAAAAAAAAAALwEAAF9yZWxzLy5yZWxz&#10;UEsBAi0AFAAGAAgAAAAhADMvBZ5BAAAAOQAAAA4AAAAAAAAAAAAAAAAALgIAAGRycy9lMm9Eb2Mu&#10;eG1sUEsBAi0AFAAGAAgAAAAhAMPqndjAAAAA2wAAAA8AAAAAAAAAAAAAAAAAmwIAAGRycy9kb3du&#10;cmV2LnhtbFBLBQYAAAAABAAEAPMAAACIAwAAAAA=&#10;">
                  <v:imagedata r:id="rId29" o:title=""/>
                  <o:lock v:ext="edit" aspectratio="f"/>
                </v:shape>
                <w10:anchorlock/>
              </v:group>
            </w:pict>
          </mc:Fallback>
        </mc:AlternateContent>
      </w:r>
    </w:p>
    <w:p w14:paraId="7FE0171D" w14:textId="77777777" w:rsidR="009D51C0" w:rsidRPr="00DB7F31" w:rsidRDefault="009D51C0" w:rsidP="009D51C0">
      <w:pPr>
        <w:pStyle w:val="Source"/>
      </w:pPr>
      <w:r>
        <w:t>Source: Authors’ calculations using data from the ILO’s Global Employment Trends 2014 (</w:t>
      </w:r>
      <w:hyperlink r:id="rId30" w:history="1">
        <w:r w:rsidRPr="000B7E15">
          <w:rPr>
            <w:rStyle w:val="Hyperlink"/>
          </w:rPr>
          <w:t>http://www.ilo.org/global/research/global-reports/global-employment-trends/2014/WCMS_234879/lang--en/index.htm</w:t>
        </w:r>
      </w:hyperlink>
      <w:r>
        <w:t>).</w:t>
      </w:r>
    </w:p>
    <w:p w14:paraId="7FE0171E" w14:textId="77777777" w:rsidR="009D51C0" w:rsidRPr="009D51C0" w:rsidRDefault="009D51C0" w:rsidP="009D51C0">
      <w:pPr>
        <w:pStyle w:val="BodyText"/>
      </w:pPr>
    </w:p>
    <w:p w14:paraId="7FE0171F" w14:textId="77777777" w:rsidR="001228CD" w:rsidRDefault="001228CD" w:rsidP="00127793">
      <w:pPr>
        <w:pStyle w:val="Caption"/>
      </w:pPr>
    </w:p>
    <w:bookmarkEnd w:id="3"/>
    <w:bookmarkEnd w:id="4"/>
    <w:bookmarkEnd w:id="5"/>
    <w:bookmarkEnd w:id="6"/>
    <w:p w14:paraId="7FE01720" w14:textId="77777777" w:rsidR="005D2D85" w:rsidRDefault="005D2D85">
      <w:pPr>
        <w:rPr>
          <w:rFonts w:ascii="Arial" w:hAnsi="Arial"/>
          <w:b/>
          <w:color w:val="006C67" w:themeColor="accent1"/>
          <w:sz w:val="24"/>
        </w:rPr>
      </w:pPr>
      <w:r>
        <w:br w:type="page"/>
      </w:r>
    </w:p>
    <w:p w14:paraId="7FE01721" w14:textId="77777777" w:rsidR="00B12AEC" w:rsidRDefault="00B12AEC" w:rsidP="00B12AEC">
      <w:pPr>
        <w:pStyle w:val="Heading1"/>
      </w:pPr>
      <w:bookmarkStart w:id="12" w:name="_Toc427923449"/>
      <w:bookmarkStart w:id="13" w:name="_Toc406411725"/>
      <w:r>
        <w:t>Trade</w:t>
      </w:r>
      <w:bookmarkEnd w:id="12"/>
    </w:p>
    <w:p w14:paraId="7FE01722" w14:textId="77777777" w:rsidR="001E72B4" w:rsidRDefault="001E72B4" w:rsidP="001E72B4">
      <w:pPr>
        <w:pStyle w:val="Heading2"/>
      </w:pPr>
      <w:bookmarkStart w:id="14" w:name="_Toc427923450"/>
      <w:r>
        <w:t>Basic data</w:t>
      </w:r>
      <w:bookmarkEnd w:id="14"/>
    </w:p>
    <w:p w14:paraId="7FE01723" w14:textId="77777777" w:rsidR="0021498B" w:rsidRDefault="0021498B" w:rsidP="0021498B">
      <w:pPr>
        <w:pStyle w:val="FigureHeading"/>
      </w:pPr>
      <w:bookmarkStart w:id="15" w:name="_Toc408669812"/>
      <w:bookmarkStart w:id="16" w:name="_Toc408671493"/>
      <w:bookmarkStart w:id="17" w:name="_Toc427923451"/>
      <w:r>
        <w:t>Total value of trade, Somalia, 2005–1</w:t>
      </w:r>
      <w:bookmarkEnd w:id="15"/>
      <w:r>
        <w:t>3 (mirror data)</w:t>
      </w:r>
      <w:bookmarkEnd w:id="16"/>
      <w:bookmarkEnd w:id="17"/>
    </w:p>
    <w:p w14:paraId="7FE01724" w14:textId="77777777" w:rsidR="0021498B" w:rsidRPr="00D13184" w:rsidRDefault="0021498B" w:rsidP="0021498B">
      <w:pPr>
        <w:pStyle w:val="BodyText"/>
        <w:spacing w:before="39" w:after="0" w:line="240" w:lineRule="auto"/>
        <w:jc w:val="left"/>
      </w:pPr>
      <w:r>
        <w:rPr>
          <w:noProof/>
          <w:lang w:eastAsia="en-GB"/>
        </w:rPr>
        <w:drawing>
          <wp:inline distT="0" distB="0" distL="0" distR="0" wp14:anchorId="7FE019C9" wp14:editId="7FE019CA">
            <wp:extent cx="4187190" cy="2376000"/>
            <wp:effectExtent l="0" t="0" r="3810" b="57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E01725" w14:textId="77777777" w:rsidR="0021498B" w:rsidRDefault="0021498B" w:rsidP="0021498B">
      <w:pPr>
        <w:pStyle w:val="Source"/>
      </w:pPr>
      <w:r>
        <w:rPr>
          <w:noProof/>
          <w:lang w:eastAsia="en-GB"/>
        </w:rPr>
        <w:t xml:space="preserve">Source: ITC Trade Map. </w:t>
      </w:r>
      <w:r>
        <w:t>Note the use of mirror data, which is indicative only and should be treated with caution. In particular, the total number of reporters may vary from year to year.</w:t>
      </w:r>
    </w:p>
    <w:p w14:paraId="7FE01726" w14:textId="77777777" w:rsidR="0021498B" w:rsidRDefault="0021498B" w:rsidP="0021498B">
      <w:pPr>
        <w:pStyle w:val="Source"/>
      </w:pPr>
      <w:r>
        <w:br w:type="page"/>
      </w:r>
    </w:p>
    <w:p w14:paraId="7FE01727" w14:textId="77777777" w:rsidR="00230AAA" w:rsidRDefault="00230AAA" w:rsidP="00230AAA">
      <w:pPr>
        <w:pStyle w:val="FigureHeading"/>
        <w:spacing w:before="0"/>
      </w:pPr>
      <w:bookmarkStart w:id="18" w:name="_Toc405451563"/>
      <w:bookmarkStart w:id="19" w:name="_Toc405466101"/>
      <w:bookmarkStart w:id="20" w:name="_Toc427923452"/>
      <w:bookmarkEnd w:id="13"/>
      <w:r>
        <w:t xml:space="preserve">Exports by broad HS Section, </w:t>
      </w:r>
      <w:r w:rsidR="0067252C">
        <w:t>Somalia</w:t>
      </w:r>
      <w:r>
        <w:t xml:space="preserve">, 2005–8 and </w:t>
      </w:r>
      <w:bookmarkEnd w:id="18"/>
      <w:r>
        <w:t>2009–13</w:t>
      </w:r>
      <w:bookmarkEnd w:id="19"/>
      <w:r w:rsidR="00A40DEA">
        <w:t xml:space="preserve"> (mirror data)</w:t>
      </w:r>
      <w:bookmarkEnd w:id="20"/>
    </w:p>
    <w:p w14:paraId="7FE01728" w14:textId="77777777" w:rsidR="0067252C" w:rsidRPr="0067252C" w:rsidRDefault="0067252C" w:rsidP="0067252C">
      <w:pPr>
        <w:pStyle w:val="BodyText"/>
        <w:spacing w:before="39" w:after="0" w:line="240" w:lineRule="auto"/>
        <w:jc w:val="left"/>
      </w:pPr>
      <w:r>
        <w:rPr>
          <w:noProof/>
          <w:lang w:eastAsia="en-GB"/>
        </w:rPr>
        <w:drawing>
          <wp:inline distT="0" distB="0" distL="0" distR="0" wp14:anchorId="7FE019CB" wp14:editId="7FE019CC">
            <wp:extent cx="5486400" cy="2468880"/>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lang w:eastAsia="en-GB"/>
        </w:rPr>
        <w:drawing>
          <wp:inline distT="0" distB="0" distL="0" distR="0" wp14:anchorId="7FE019CD" wp14:editId="7FE019CE">
            <wp:extent cx="5486400" cy="2468880"/>
            <wp:effectExtent l="0" t="0" r="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7FE0172B" w14:textId="77777777" w:rsidTr="001C4EF9">
        <w:tc>
          <w:tcPr>
            <w:tcW w:w="630" w:type="dxa"/>
            <w:tcBorders>
              <w:top w:val="nil"/>
              <w:left w:val="nil"/>
              <w:bottom w:val="nil"/>
              <w:right w:val="nil"/>
            </w:tcBorders>
            <w:shd w:val="clear" w:color="auto" w:fill="auto"/>
            <w:noWrap/>
          </w:tcPr>
          <w:p w14:paraId="7FE01729"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7FE0172A" w14:textId="77777777" w:rsidR="00230AAA" w:rsidRDefault="00230AAA" w:rsidP="001C4EF9">
            <w:pPr>
              <w:rPr>
                <w:rFonts w:ascii="Calibri" w:eastAsia="Times New Roman" w:hAnsi="Calibri"/>
                <w:color w:val="000000"/>
                <w:sz w:val="16"/>
                <w:szCs w:val="16"/>
                <w:lang w:eastAsia="en-GB"/>
              </w:rPr>
            </w:pPr>
          </w:p>
        </w:tc>
      </w:tr>
      <w:tr w:rsidR="00230AAA" w:rsidRPr="00C91C87" w14:paraId="7FE0172E" w14:textId="77777777" w:rsidTr="001C4EF9">
        <w:tc>
          <w:tcPr>
            <w:tcW w:w="630" w:type="dxa"/>
            <w:tcBorders>
              <w:top w:val="nil"/>
              <w:left w:val="nil"/>
              <w:bottom w:val="nil"/>
              <w:right w:val="nil"/>
            </w:tcBorders>
            <w:shd w:val="clear" w:color="auto" w:fill="auto"/>
            <w:noWrap/>
          </w:tcPr>
          <w:p w14:paraId="7FE0172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7FE0172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7FE01731" w14:textId="77777777" w:rsidTr="001C4EF9">
        <w:tc>
          <w:tcPr>
            <w:tcW w:w="630" w:type="dxa"/>
            <w:tcBorders>
              <w:top w:val="nil"/>
              <w:left w:val="nil"/>
              <w:bottom w:val="nil"/>
              <w:right w:val="nil"/>
            </w:tcBorders>
            <w:shd w:val="clear" w:color="auto" w:fill="auto"/>
            <w:noWrap/>
            <w:hideMark/>
          </w:tcPr>
          <w:p w14:paraId="7FE0172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7FE0173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7FE01734" w14:textId="77777777" w:rsidTr="001C4EF9">
        <w:tc>
          <w:tcPr>
            <w:tcW w:w="630" w:type="dxa"/>
            <w:tcBorders>
              <w:top w:val="nil"/>
              <w:left w:val="nil"/>
              <w:bottom w:val="nil"/>
              <w:right w:val="nil"/>
            </w:tcBorders>
            <w:shd w:val="clear" w:color="auto" w:fill="auto"/>
            <w:noWrap/>
            <w:hideMark/>
          </w:tcPr>
          <w:p w14:paraId="7FE0173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7FE0173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7FE01737" w14:textId="77777777" w:rsidTr="001C4EF9">
        <w:tc>
          <w:tcPr>
            <w:tcW w:w="630" w:type="dxa"/>
            <w:tcBorders>
              <w:top w:val="nil"/>
              <w:left w:val="nil"/>
              <w:bottom w:val="nil"/>
              <w:right w:val="nil"/>
            </w:tcBorders>
            <w:shd w:val="clear" w:color="auto" w:fill="auto"/>
            <w:noWrap/>
            <w:hideMark/>
          </w:tcPr>
          <w:p w14:paraId="7FE0173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7FE0173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7FE0173A" w14:textId="77777777" w:rsidTr="001C4EF9">
        <w:tc>
          <w:tcPr>
            <w:tcW w:w="630" w:type="dxa"/>
            <w:tcBorders>
              <w:top w:val="nil"/>
              <w:left w:val="nil"/>
              <w:bottom w:val="nil"/>
              <w:right w:val="nil"/>
            </w:tcBorders>
            <w:shd w:val="clear" w:color="auto" w:fill="auto"/>
            <w:noWrap/>
            <w:hideMark/>
          </w:tcPr>
          <w:p w14:paraId="7FE0173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7FE0173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7FE0173D" w14:textId="77777777" w:rsidTr="001C4EF9">
        <w:tc>
          <w:tcPr>
            <w:tcW w:w="630" w:type="dxa"/>
            <w:tcBorders>
              <w:top w:val="nil"/>
              <w:left w:val="nil"/>
              <w:bottom w:val="nil"/>
              <w:right w:val="nil"/>
            </w:tcBorders>
            <w:shd w:val="clear" w:color="auto" w:fill="auto"/>
            <w:noWrap/>
            <w:hideMark/>
          </w:tcPr>
          <w:p w14:paraId="7FE0173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7FE0173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7FE01740" w14:textId="77777777" w:rsidTr="001C4EF9">
        <w:tc>
          <w:tcPr>
            <w:tcW w:w="630" w:type="dxa"/>
            <w:tcBorders>
              <w:top w:val="nil"/>
              <w:left w:val="nil"/>
              <w:bottom w:val="nil"/>
              <w:right w:val="nil"/>
            </w:tcBorders>
            <w:shd w:val="clear" w:color="auto" w:fill="auto"/>
            <w:noWrap/>
            <w:hideMark/>
          </w:tcPr>
          <w:p w14:paraId="7FE0173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7FE0173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7FE01743" w14:textId="77777777" w:rsidTr="001C4EF9">
        <w:tc>
          <w:tcPr>
            <w:tcW w:w="630" w:type="dxa"/>
            <w:tcBorders>
              <w:top w:val="nil"/>
              <w:left w:val="nil"/>
              <w:bottom w:val="nil"/>
              <w:right w:val="nil"/>
            </w:tcBorders>
            <w:shd w:val="clear" w:color="auto" w:fill="auto"/>
            <w:noWrap/>
            <w:hideMark/>
          </w:tcPr>
          <w:p w14:paraId="7FE0174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7FE0174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7FE01746" w14:textId="77777777" w:rsidTr="001C4EF9">
        <w:tc>
          <w:tcPr>
            <w:tcW w:w="630" w:type="dxa"/>
            <w:tcBorders>
              <w:top w:val="nil"/>
              <w:left w:val="nil"/>
              <w:bottom w:val="nil"/>
              <w:right w:val="nil"/>
            </w:tcBorders>
            <w:shd w:val="clear" w:color="auto" w:fill="auto"/>
            <w:noWrap/>
            <w:hideMark/>
          </w:tcPr>
          <w:p w14:paraId="7FE0174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7FE0174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7FE01749" w14:textId="77777777" w:rsidTr="001C4EF9">
        <w:tc>
          <w:tcPr>
            <w:tcW w:w="630" w:type="dxa"/>
            <w:tcBorders>
              <w:top w:val="nil"/>
              <w:left w:val="nil"/>
              <w:bottom w:val="nil"/>
              <w:right w:val="nil"/>
            </w:tcBorders>
            <w:shd w:val="clear" w:color="auto" w:fill="auto"/>
            <w:noWrap/>
            <w:hideMark/>
          </w:tcPr>
          <w:p w14:paraId="7FE0174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7FE0174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7FE0174C" w14:textId="77777777" w:rsidTr="001C4EF9">
        <w:tc>
          <w:tcPr>
            <w:tcW w:w="630" w:type="dxa"/>
            <w:tcBorders>
              <w:top w:val="nil"/>
              <w:left w:val="nil"/>
              <w:bottom w:val="nil"/>
              <w:right w:val="nil"/>
            </w:tcBorders>
            <w:shd w:val="clear" w:color="auto" w:fill="auto"/>
            <w:noWrap/>
            <w:hideMark/>
          </w:tcPr>
          <w:p w14:paraId="7FE0174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7FE0174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7FE0174F" w14:textId="77777777" w:rsidTr="001C4EF9">
        <w:tc>
          <w:tcPr>
            <w:tcW w:w="630" w:type="dxa"/>
            <w:tcBorders>
              <w:top w:val="nil"/>
              <w:left w:val="nil"/>
              <w:bottom w:val="nil"/>
              <w:right w:val="nil"/>
            </w:tcBorders>
            <w:shd w:val="clear" w:color="auto" w:fill="auto"/>
            <w:noWrap/>
            <w:hideMark/>
          </w:tcPr>
          <w:p w14:paraId="7FE0174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7FE0174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7FE01752" w14:textId="77777777" w:rsidTr="001C4EF9">
        <w:tc>
          <w:tcPr>
            <w:tcW w:w="630" w:type="dxa"/>
            <w:tcBorders>
              <w:top w:val="nil"/>
              <w:left w:val="nil"/>
              <w:bottom w:val="nil"/>
              <w:right w:val="nil"/>
            </w:tcBorders>
            <w:shd w:val="clear" w:color="auto" w:fill="auto"/>
            <w:noWrap/>
            <w:hideMark/>
          </w:tcPr>
          <w:p w14:paraId="7FE0175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7FE0175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7FE01755" w14:textId="77777777" w:rsidTr="001C4EF9">
        <w:tc>
          <w:tcPr>
            <w:tcW w:w="630" w:type="dxa"/>
            <w:tcBorders>
              <w:top w:val="nil"/>
              <w:left w:val="nil"/>
              <w:bottom w:val="nil"/>
              <w:right w:val="nil"/>
            </w:tcBorders>
            <w:shd w:val="clear" w:color="auto" w:fill="auto"/>
            <w:noWrap/>
            <w:hideMark/>
          </w:tcPr>
          <w:p w14:paraId="7FE0175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7FE0175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7FE01758" w14:textId="77777777" w:rsidTr="001C4EF9">
        <w:tc>
          <w:tcPr>
            <w:tcW w:w="630" w:type="dxa"/>
            <w:tcBorders>
              <w:top w:val="nil"/>
              <w:left w:val="nil"/>
              <w:bottom w:val="nil"/>
              <w:right w:val="nil"/>
            </w:tcBorders>
            <w:shd w:val="clear" w:color="auto" w:fill="auto"/>
            <w:noWrap/>
            <w:hideMark/>
          </w:tcPr>
          <w:p w14:paraId="7FE0175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7FE0175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7FE0175B" w14:textId="77777777" w:rsidTr="001C4EF9">
        <w:tc>
          <w:tcPr>
            <w:tcW w:w="630" w:type="dxa"/>
            <w:tcBorders>
              <w:top w:val="nil"/>
              <w:left w:val="nil"/>
              <w:bottom w:val="nil"/>
              <w:right w:val="nil"/>
            </w:tcBorders>
            <w:shd w:val="clear" w:color="auto" w:fill="auto"/>
            <w:noWrap/>
            <w:hideMark/>
          </w:tcPr>
          <w:p w14:paraId="7FE0175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7FE0175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7FE0175E" w14:textId="77777777" w:rsidTr="001C4EF9">
        <w:tc>
          <w:tcPr>
            <w:tcW w:w="630" w:type="dxa"/>
            <w:tcBorders>
              <w:top w:val="nil"/>
              <w:left w:val="nil"/>
              <w:bottom w:val="nil"/>
              <w:right w:val="nil"/>
            </w:tcBorders>
            <w:shd w:val="clear" w:color="auto" w:fill="auto"/>
            <w:noWrap/>
            <w:hideMark/>
          </w:tcPr>
          <w:p w14:paraId="7FE0175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7FE0175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7FE01761" w14:textId="77777777" w:rsidTr="001C4EF9">
        <w:tc>
          <w:tcPr>
            <w:tcW w:w="630" w:type="dxa"/>
            <w:tcBorders>
              <w:top w:val="nil"/>
              <w:left w:val="nil"/>
              <w:bottom w:val="nil"/>
              <w:right w:val="nil"/>
            </w:tcBorders>
            <w:shd w:val="clear" w:color="auto" w:fill="auto"/>
            <w:noWrap/>
            <w:hideMark/>
          </w:tcPr>
          <w:p w14:paraId="7FE0175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7FE0176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7FE01764" w14:textId="77777777" w:rsidTr="001C4EF9">
        <w:tc>
          <w:tcPr>
            <w:tcW w:w="630" w:type="dxa"/>
            <w:tcBorders>
              <w:top w:val="nil"/>
              <w:left w:val="nil"/>
              <w:bottom w:val="nil"/>
              <w:right w:val="nil"/>
            </w:tcBorders>
            <w:shd w:val="clear" w:color="auto" w:fill="auto"/>
            <w:noWrap/>
            <w:hideMark/>
          </w:tcPr>
          <w:p w14:paraId="7FE0176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7FE0176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7FE01767" w14:textId="77777777" w:rsidTr="001C4EF9">
        <w:tc>
          <w:tcPr>
            <w:tcW w:w="630" w:type="dxa"/>
            <w:tcBorders>
              <w:top w:val="nil"/>
              <w:left w:val="nil"/>
              <w:bottom w:val="nil"/>
              <w:right w:val="nil"/>
            </w:tcBorders>
            <w:shd w:val="clear" w:color="auto" w:fill="auto"/>
            <w:noWrap/>
            <w:hideMark/>
          </w:tcPr>
          <w:p w14:paraId="7FE0176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7FE0176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7FE0176A" w14:textId="77777777" w:rsidTr="001C4EF9">
        <w:tc>
          <w:tcPr>
            <w:tcW w:w="630" w:type="dxa"/>
            <w:tcBorders>
              <w:top w:val="nil"/>
              <w:left w:val="nil"/>
              <w:bottom w:val="nil"/>
              <w:right w:val="nil"/>
            </w:tcBorders>
            <w:shd w:val="clear" w:color="auto" w:fill="auto"/>
            <w:noWrap/>
            <w:hideMark/>
          </w:tcPr>
          <w:p w14:paraId="7FE0176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7FE0176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7FE0176D" w14:textId="77777777" w:rsidTr="001C4EF9">
        <w:tc>
          <w:tcPr>
            <w:tcW w:w="630" w:type="dxa"/>
            <w:tcBorders>
              <w:top w:val="nil"/>
              <w:left w:val="nil"/>
              <w:bottom w:val="nil"/>
              <w:right w:val="nil"/>
            </w:tcBorders>
            <w:shd w:val="clear" w:color="auto" w:fill="auto"/>
            <w:noWrap/>
            <w:hideMark/>
          </w:tcPr>
          <w:p w14:paraId="7FE0176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7FE0176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7FE0176E" w14:textId="77777777" w:rsidR="001E72B4" w:rsidRDefault="00230AAA" w:rsidP="00230AAA">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w:t>
      </w:r>
      <w:r w:rsidR="00FF0FCB">
        <w:t>ITC’s Trade Map.</w:t>
      </w:r>
      <w:r w:rsidR="00A40DEA">
        <w:t xml:space="preserve"> Note the use of mirror data, which is indicative only and should be treated with </w:t>
      </w:r>
      <w:r w:rsidR="00FF0FCB">
        <w:t>caution</w:t>
      </w:r>
      <w:r>
        <w:t>.</w:t>
      </w:r>
      <w:bookmarkStart w:id="21" w:name="_Toc405451000"/>
      <w:bookmarkStart w:id="22" w:name="_Toc405451564"/>
    </w:p>
    <w:p w14:paraId="7FE0176F" w14:textId="77777777" w:rsidR="00230AAA" w:rsidRDefault="00230AAA" w:rsidP="00230AAA">
      <w:pPr>
        <w:pStyle w:val="FigureHeading"/>
        <w:spacing w:before="0"/>
      </w:pPr>
      <w:bookmarkStart w:id="23" w:name="_Toc405466102"/>
      <w:bookmarkStart w:id="24" w:name="_Toc427923453"/>
      <w:r>
        <w:t xml:space="preserve">Change in export share by HS Section, </w:t>
      </w:r>
      <w:r w:rsidR="0067252C">
        <w:t>Somalia</w:t>
      </w:r>
      <w:r>
        <w:t>, 2005–8 and 2009–1</w:t>
      </w:r>
      <w:bookmarkEnd w:id="21"/>
      <w:bookmarkEnd w:id="22"/>
      <w:r>
        <w:t>3</w:t>
      </w:r>
      <w:bookmarkEnd w:id="23"/>
      <w:r w:rsidR="00A40DEA">
        <w:t xml:space="preserve"> (mirror data)</w:t>
      </w:r>
      <w:bookmarkEnd w:id="24"/>
    </w:p>
    <w:p w14:paraId="7FE01770" w14:textId="77777777" w:rsidR="0067252C" w:rsidRPr="0067252C" w:rsidRDefault="0067252C" w:rsidP="0067252C">
      <w:pPr>
        <w:pStyle w:val="BodyText"/>
        <w:spacing w:before="39" w:after="0" w:line="240" w:lineRule="auto"/>
        <w:jc w:val="left"/>
      </w:pPr>
      <w:r>
        <w:rPr>
          <w:noProof/>
          <w:lang w:eastAsia="en-GB"/>
        </w:rPr>
        <w:drawing>
          <wp:inline distT="0" distB="0" distL="0" distR="0" wp14:anchorId="7FE019CF" wp14:editId="7FE019D0">
            <wp:extent cx="4572000" cy="2606040"/>
            <wp:effectExtent l="0" t="0" r="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7FE01773" w14:textId="77777777" w:rsidTr="001C4EF9">
        <w:tc>
          <w:tcPr>
            <w:tcW w:w="630" w:type="dxa"/>
            <w:tcBorders>
              <w:top w:val="nil"/>
              <w:left w:val="nil"/>
              <w:bottom w:val="nil"/>
              <w:right w:val="nil"/>
            </w:tcBorders>
            <w:shd w:val="clear" w:color="auto" w:fill="auto"/>
            <w:noWrap/>
          </w:tcPr>
          <w:p w14:paraId="7FE01771"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7FE01772" w14:textId="77777777" w:rsidR="00230AAA" w:rsidRDefault="00230AAA" w:rsidP="001C4EF9">
            <w:pPr>
              <w:rPr>
                <w:rFonts w:ascii="Calibri" w:eastAsia="Times New Roman" w:hAnsi="Calibri"/>
                <w:color w:val="000000"/>
                <w:sz w:val="16"/>
                <w:szCs w:val="16"/>
                <w:lang w:eastAsia="en-GB"/>
              </w:rPr>
            </w:pPr>
          </w:p>
        </w:tc>
      </w:tr>
      <w:tr w:rsidR="00230AAA" w:rsidRPr="00C91C87" w14:paraId="7FE01776" w14:textId="77777777" w:rsidTr="001C4EF9">
        <w:tc>
          <w:tcPr>
            <w:tcW w:w="630" w:type="dxa"/>
            <w:tcBorders>
              <w:top w:val="nil"/>
              <w:left w:val="nil"/>
              <w:bottom w:val="nil"/>
              <w:right w:val="nil"/>
            </w:tcBorders>
            <w:shd w:val="clear" w:color="auto" w:fill="auto"/>
            <w:noWrap/>
          </w:tcPr>
          <w:p w14:paraId="7FE0177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7FE0177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7FE01779" w14:textId="77777777" w:rsidTr="001C4EF9">
        <w:tc>
          <w:tcPr>
            <w:tcW w:w="630" w:type="dxa"/>
            <w:tcBorders>
              <w:top w:val="nil"/>
              <w:left w:val="nil"/>
              <w:bottom w:val="nil"/>
              <w:right w:val="nil"/>
            </w:tcBorders>
            <w:shd w:val="clear" w:color="auto" w:fill="auto"/>
            <w:noWrap/>
            <w:hideMark/>
          </w:tcPr>
          <w:p w14:paraId="7FE0177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7FE0177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7FE0177C" w14:textId="77777777" w:rsidTr="001C4EF9">
        <w:tc>
          <w:tcPr>
            <w:tcW w:w="630" w:type="dxa"/>
            <w:tcBorders>
              <w:top w:val="nil"/>
              <w:left w:val="nil"/>
              <w:bottom w:val="nil"/>
              <w:right w:val="nil"/>
            </w:tcBorders>
            <w:shd w:val="clear" w:color="auto" w:fill="auto"/>
            <w:noWrap/>
            <w:hideMark/>
          </w:tcPr>
          <w:p w14:paraId="7FE0177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7FE0177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7FE0177F" w14:textId="77777777" w:rsidTr="001C4EF9">
        <w:tc>
          <w:tcPr>
            <w:tcW w:w="630" w:type="dxa"/>
            <w:tcBorders>
              <w:top w:val="nil"/>
              <w:left w:val="nil"/>
              <w:bottom w:val="nil"/>
              <w:right w:val="nil"/>
            </w:tcBorders>
            <w:shd w:val="clear" w:color="auto" w:fill="auto"/>
            <w:noWrap/>
            <w:hideMark/>
          </w:tcPr>
          <w:p w14:paraId="7FE0177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7FE0177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7FE01782" w14:textId="77777777" w:rsidTr="001C4EF9">
        <w:tc>
          <w:tcPr>
            <w:tcW w:w="630" w:type="dxa"/>
            <w:tcBorders>
              <w:top w:val="nil"/>
              <w:left w:val="nil"/>
              <w:bottom w:val="nil"/>
              <w:right w:val="nil"/>
            </w:tcBorders>
            <w:shd w:val="clear" w:color="auto" w:fill="auto"/>
            <w:noWrap/>
            <w:hideMark/>
          </w:tcPr>
          <w:p w14:paraId="7FE0178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7FE0178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7FE01785" w14:textId="77777777" w:rsidTr="001C4EF9">
        <w:tc>
          <w:tcPr>
            <w:tcW w:w="630" w:type="dxa"/>
            <w:tcBorders>
              <w:top w:val="nil"/>
              <w:left w:val="nil"/>
              <w:bottom w:val="nil"/>
              <w:right w:val="nil"/>
            </w:tcBorders>
            <w:shd w:val="clear" w:color="auto" w:fill="auto"/>
            <w:noWrap/>
            <w:hideMark/>
          </w:tcPr>
          <w:p w14:paraId="7FE0178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7FE0178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7FE01788" w14:textId="77777777" w:rsidTr="001C4EF9">
        <w:tc>
          <w:tcPr>
            <w:tcW w:w="630" w:type="dxa"/>
            <w:tcBorders>
              <w:top w:val="nil"/>
              <w:left w:val="nil"/>
              <w:bottom w:val="nil"/>
              <w:right w:val="nil"/>
            </w:tcBorders>
            <w:shd w:val="clear" w:color="auto" w:fill="auto"/>
            <w:noWrap/>
            <w:hideMark/>
          </w:tcPr>
          <w:p w14:paraId="7FE0178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7FE0178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7FE0178B" w14:textId="77777777" w:rsidTr="001C4EF9">
        <w:tc>
          <w:tcPr>
            <w:tcW w:w="630" w:type="dxa"/>
            <w:tcBorders>
              <w:top w:val="nil"/>
              <w:left w:val="nil"/>
              <w:bottom w:val="nil"/>
              <w:right w:val="nil"/>
            </w:tcBorders>
            <w:shd w:val="clear" w:color="auto" w:fill="auto"/>
            <w:noWrap/>
            <w:hideMark/>
          </w:tcPr>
          <w:p w14:paraId="7FE0178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7FE0178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7FE0178E" w14:textId="77777777" w:rsidTr="001C4EF9">
        <w:tc>
          <w:tcPr>
            <w:tcW w:w="630" w:type="dxa"/>
            <w:tcBorders>
              <w:top w:val="nil"/>
              <w:left w:val="nil"/>
              <w:bottom w:val="nil"/>
              <w:right w:val="nil"/>
            </w:tcBorders>
            <w:shd w:val="clear" w:color="auto" w:fill="auto"/>
            <w:noWrap/>
            <w:hideMark/>
          </w:tcPr>
          <w:p w14:paraId="7FE0178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7FE0178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7FE01791" w14:textId="77777777" w:rsidTr="001C4EF9">
        <w:tc>
          <w:tcPr>
            <w:tcW w:w="630" w:type="dxa"/>
            <w:tcBorders>
              <w:top w:val="nil"/>
              <w:left w:val="nil"/>
              <w:bottom w:val="nil"/>
              <w:right w:val="nil"/>
            </w:tcBorders>
            <w:shd w:val="clear" w:color="auto" w:fill="auto"/>
            <w:noWrap/>
            <w:hideMark/>
          </w:tcPr>
          <w:p w14:paraId="7FE0178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7FE0179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7FE01794" w14:textId="77777777" w:rsidTr="001C4EF9">
        <w:tc>
          <w:tcPr>
            <w:tcW w:w="630" w:type="dxa"/>
            <w:tcBorders>
              <w:top w:val="nil"/>
              <w:left w:val="nil"/>
              <w:bottom w:val="nil"/>
              <w:right w:val="nil"/>
            </w:tcBorders>
            <w:shd w:val="clear" w:color="auto" w:fill="auto"/>
            <w:noWrap/>
            <w:hideMark/>
          </w:tcPr>
          <w:p w14:paraId="7FE0179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7FE0179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7FE01797" w14:textId="77777777" w:rsidTr="001C4EF9">
        <w:tc>
          <w:tcPr>
            <w:tcW w:w="630" w:type="dxa"/>
            <w:tcBorders>
              <w:top w:val="nil"/>
              <w:left w:val="nil"/>
              <w:bottom w:val="nil"/>
              <w:right w:val="nil"/>
            </w:tcBorders>
            <w:shd w:val="clear" w:color="auto" w:fill="auto"/>
            <w:noWrap/>
            <w:hideMark/>
          </w:tcPr>
          <w:p w14:paraId="7FE0179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7FE0179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7FE0179A" w14:textId="77777777" w:rsidTr="001C4EF9">
        <w:tc>
          <w:tcPr>
            <w:tcW w:w="630" w:type="dxa"/>
            <w:tcBorders>
              <w:top w:val="nil"/>
              <w:left w:val="nil"/>
              <w:bottom w:val="nil"/>
              <w:right w:val="nil"/>
            </w:tcBorders>
            <w:shd w:val="clear" w:color="auto" w:fill="auto"/>
            <w:noWrap/>
            <w:hideMark/>
          </w:tcPr>
          <w:p w14:paraId="7FE0179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7FE0179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7FE0179D" w14:textId="77777777" w:rsidTr="001C4EF9">
        <w:tc>
          <w:tcPr>
            <w:tcW w:w="630" w:type="dxa"/>
            <w:tcBorders>
              <w:top w:val="nil"/>
              <w:left w:val="nil"/>
              <w:bottom w:val="nil"/>
              <w:right w:val="nil"/>
            </w:tcBorders>
            <w:shd w:val="clear" w:color="auto" w:fill="auto"/>
            <w:noWrap/>
            <w:hideMark/>
          </w:tcPr>
          <w:p w14:paraId="7FE0179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7FE0179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7FE017A0" w14:textId="77777777" w:rsidTr="001C4EF9">
        <w:tc>
          <w:tcPr>
            <w:tcW w:w="630" w:type="dxa"/>
            <w:tcBorders>
              <w:top w:val="nil"/>
              <w:left w:val="nil"/>
              <w:bottom w:val="nil"/>
              <w:right w:val="nil"/>
            </w:tcBorders>
            <w:shd w:val="clear" w:color="auto" w:fill="auto"/>
            <w:noWrap/>
            <w:hideMark/>
          </w:tcPr>
          <w:p w14:paraId="7FE0179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7FE0179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7FE017A3" w14:textId="77777777" w:rsidTr="001C4EF9">
        <w:tc>
          <w:tcPr>
            <w:tcW w:w="630" w:type="dxa"/>
            <w:tcBorders>
              <w:top w:val="nil"/>
              <w:left w:val="nil"/>
              <w:bottom w:val="nil"/>
              <w:right w:val="nil"/>
            </w:tcBorders>
            <w:shd w:val="clear" w:color="auto" w:fill="auto"/>
            <w:noWrap/>
            <w:hideMark/>
          </w:tcPr>
          <w:p w14:paraId="7FE017A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7FE017A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7FE017A6" w14:textId="77777777" w:rsidTr="001C4EF9">
        <w:tc>
          <w:tcPr>
            <w:tcW w:w="630" w:type="dxa"/>
            <w:tcBorders>
              <w:top w:val="nil"/>
              <w:left w:val="nil"/>
              <w:bottom w:val="nil"/>
              <w:right w:val="nil"/>
            </w:tcBorders>
            <w:shd w:val="clear" w:color="auto" w:fill="auto"/>
            <w:noWrap/>
            <w:hideMark/>
          </w:tcPr>
          <w:p w14:paraId="7FE017A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7FE017A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7FE017A9" w14:textId="77777777" w:rsidTr="001C4EF9">
        <w:tc>
          <w:tcPr>
            <w:tcW w:w="630" w:type="dxa"/>
            <w:tcBorders>
              <w:top w:val="nil"/>
              <w:left w:val="nil"/>
              <w:bottom w:val="nil"/>
              <w:right w:val="nil"/>
            </w:tcBorders>
            <w:shd w:val="clear" w:color="auto" w:fill="auto"/>
            <w:noWrap/>
            <w:hideMark/>
          </w:tcPr>
          <w:p w14:paraId="7FE017A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7FE017A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7FE017AC" w14:textId="77777777" w:rsidTr="001C4EF9">
        <w:tc>
          <w:tcPr>
            <w:tcW w:w="630" w:type="dxa"/>
            <w:tcBorders>
              <w:top w:val="nil"/>
              <w:left w:val="nil"/>
              <w:bottom w:val="nil"/>
              <w:right w:val="nil"/>
            </w:tcBorders>
            <w:shd w:val="clear" w:color="auto" w:fill="auto"/>
            <w:noWrap/>
            <w:hideMark/>
          </w:tcPr>
          <w:p w14:paraId="7FE017A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7FE017A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7FE017AF" w14:textId="77777777" w:rsidTr="001C4EF9">
        <w:tc>
          <w:tcPr>
            <w:tcW w:w="630" w:type="dxa"/>
            <w:tcBorders>
              <w:top w:val="nil"/>
              <w:left w:val="nil"/>
              <w:bottom w:val="nil"/>
              <w:right w:val="nil"/>
            </w:tcBorders>
            <w:shd w:val="clear" w:color="auto" w:fill="auto"/>
            <w:noWrap/>
            <w:hideMark/>
          </w:tcPr>
          <w:p w14:paraId="7FE017A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7FE017A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7FE017B2" w14:textId="77777777" w:rsidTr="001C4EF9">
        <w:tc>
          <w:tcPr>
            <w:tcW w:w="630" w:type="dxa"/>
            <w:tcBorders>
              <w:top w:val="nil"/>
              <w:left w:val="nil"/>
              <w:bottom w:val="nil"/>
              <w:right w:val="nil"/>
            </w:tcBorders>
            <w:shd w:val="clear" w:color="auto" w:fill="auto"/>
            <w:noWrap/>
            <w:hideMark/>
          </w:tcPr>
          <w:p w14:paraId="7FE017B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7FE017B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7FE017B5" w14:textId="77777777" w:rsidTr="001C4EF9">
        <w:tc>
          <w:tcPr>
            <w:tcW w:w="630" w:type="dxa"/>
            <w:tcBorders>
              <w:top w:val="nil"/>
              <w:left w:val="nil"/>
              <w:bottom w:val="nil"/>
              <w:right w:val="nil"/>
            </w:tcBorders>
            <w:shd w:val="clear" w:color="auto" w:fill="auto"/>
            <w:noWrap/>
            <w:hideMark/>
          </w:tcPr>
          <w:p w14:paraId="7FE017B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7FE017B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7FE017B6" w14:textId="77777777" w:rsidR="00230AAA" w:rsidRDefault="00230AAA" w:rsidP="00230AAA">
      <w:pPr>
        <w:pStyle w:val="Source"/>
      </w:pPr>
      <w:r>
        <w:t xml:space="preserve">Source: Authors’ calculation using data from </w:t>
      </w:r>
      <w:r w:rsidR="00FF0FCB">
        <w:t>ITC’s Trade Map</w:t>
      </w:r>
      <w:r>
        <w:t>.</w:t>
      </w:r>
      <w:r w:rsidR="00A40DEA">
        <w:t xml:space="preserve"> Note the use of mirror data, which is indicative only and should be treated with </w:t>
      </w:r>
      <w:r w:rsidR="00FF0FCB">
        <w:t>caution</w:t>
      </w:r>
      <w:r w:rsidR="00A40DEA">
        <w:t>.</w:t>
      </w:r>
    </w:p>
    <w:p w14:paraId="7FE017B7" w14:textId="77777777" w:rsidR="00230AAA" w:rsidRPr="00092E42" w:rsidRDefault="00230AAA" w:rsidP="00230AAA"/>
    <w:p w14:paraId="7FE017B8" w14:textId="77777777" w:rsidR="00230AAA" w:rsidRDefault="00230AAA" w:rsidP="00230AAA">
      <w:pPr>
        <w:rPr>
          <w:rFonts w:ascii="Arial" w:hAnsi="Arial"/>
          <w:b/>
          <w:iCs/>
          <w:color w:val="006C67" w:themeColor="accent1"/>
          <w:sz w:val="24"/>
          <w:szCs w:val="18"/>
        </w:rPr>
      </w:pPr>
      <w:r>
        <w:br w:type="page"/>
      </w:r>
    </w:p>
    <w:p w14:paraId="7FE017B9" w14:textId="77777777" w:rsidR="00230AAA" w:rsidRDefault="00230AAA" w:rsidP="00230AAA">
      <w:pPr>
        <w:pStyle w:val="FigureHeading"/>
        <w:spacing w:before="0"/>
      </w:pPr>
      <w:bookmarkStart w:id="25" w:name="_Toc405451001"/>
      <w:bookmarkStart w:id="26" w:name="_Toc405451565"/>
      <w:bookmarkStart w:id="27" w:name="_Toc405466103"/>
      <w:bookmarkStart w:id="28" w:name="_Toc427923454"/>
      <w:r>
        <w:t xml:space="preserve">Export visualisation, </w:t>
      </w:r>
      <w:r w:rsidR="0067252C">
        <w:t>Somalia</w:t>
      </w:r>
      <w:r>
        <w:t>, 2005 and 201</w:t>
      </w:r>
      <w:bookmarkEnd w:id="25"/>
      <w:bookmarkEnd w:id="26"/>
      <w:r>
        <w:t>2</w:t>
      </w:r>
      <w:bookmarkEnd w:id="27"/>
      <w:bookmarkEnd w:id="28"/>
    </w:p>
    <w:tbl>
      <w:tblPr>
        <w:tblStyle w:val="TableGrid"/>
        <w:tblW w:w="4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99"/>
      </w:tblGrid>
      <w:tr w:rsidR="00230AAA" w:rsidRPr="00E81E7D" w14:paraId="7FE017BB" w14:textId="77777777" w:rsidTr="00BD7D08">
        <w:trPr>
          <w:trHeight w:hRule="exact" w:val="259"/>
        </w:trPr>
        <w:tc>
          <w:tcPr>
            <w:tcW w:w="7199" w:type="dxa"/>
            <w:vAlign w:val="bottom"/>
          </w:tcPr>
          <w:p w14:paraId="7FE017BA"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7FE017BD" w14:textId="77777777" w:rsidTr="00BD7D08">
        <w:trPr>
          <w:trHeight w:hRule="exact" w:val="5760"/>
        </w:trPr>
        <w:tc>
          <w:tcPr>
            <w:tcW w:w="7199" w:type="dxa"/>
          </w:tcPr>
          <w:p w14:paraId="7FE017BC" w14:textId="77777777" w:rsidR="00230AAA" w:rsidRDefault="0067252C" w:rsidP="001C4EF9">
            <w:r>
              <w:rPr>
                <w:noProof/>
                <w:lang w:eastAsia="en-GB"/>
              </w:rPr>
              <w:drawing>
                <wp:inline distT="0" distB="0" distL="0" distR="0" wp14:anchorId="7FE019D1" wp14:editId="7FE019D2">
                  <wp:extent cx="4526280" cy="3675888"/>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0350" t="31282" r="21392" b="7863"/>
                          <a:stretch/>
                        </pic:blipFill>
                        <pic:spPr bwMode="auto">
                          <a:xfrm>
                            <a:off x="0" y="0"/>
                            <a:ext cx="4526280" cy="3675888"/>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7FE017BF" w14:textId="77777777" w:rsidTr="00BD7D08">
        <w:trPr>
          <w:trHeight w:hRule="exact" w:val="259"/>
        </w:trPr>
        <w:tc>
          <w:tcPr>
            <w:tcW w:w="7199" w:type="dxa"/>
            <w:vAlign w:val="bottom"/>
          </w:tcPr>
          <w:p w14:paraId="7FE017BE" w14:textId="77777777" w:rsidR="00230AAA" w:rsidRDefault="00230AAA" w:rsidP="001C4EF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230AAA" w14:paraId="7FE017C1" w14:textId="77777777" w:rsidTr="00BD7D08">
        <w:trPr>
          <w:trHeight w:hRule="exact" w:val="5760"/>
        </w:trPr>
        <w:tc>
          <w:tcPr>
            <w:tcW w:w="7199" w:type="dxa"/>
          </w:tcPr>
          <w:p w14:paraId="7FE017C0" w14:textId="77777777" w:rsidR="00230AAA" w:rsidRDefault="0067252C" w:rsidP="001C4EF9">
            <w:pPr>
              <w:rPr>
                <w:noProof/>
                <w:lang w:eastAsia="en-GB"/>
              </w:rPr>
            </w:pPr>
            <w:r>
              <w:rPr>
                <w:noProof/>
                <w:lang w:eastAsia="en-GB"/>
              </w:rPr>
              <w:drawing>
                <wp:inline distT="0" distB="0" distL="0" distR="0" wp14:anchorId="7FE019D3" wp14:editId="7FE019D4">
                  <wp:extent cx="4535424" cy="36850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9951" t="31111" r="21658" b="7863"/>
                          <a:stretch/>
                        </pic:blipFill>
                        <pic:spPr bwMode="auto">
                          <a:xfrm>
                            <a:off x="0" y="0"/>
                            <a:ext cx="4535424" cy="3685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E017C2" w14:textId="77777777" w:rsidR="00230AAA" w:rsidRPr="00333F79" w:rsidRDefault="00BD7D08" w:rsidP="00230AAA">
      <w:pPr>
        <w:pStyle w:val="Source"/>
        <w:rPr>
          <w:lang w:val="en" w:eastAsia="en-GB"/>
        </w:rPr>
      </w:pPr>
      <w:r>
        <w:t>Source: MIT Observatory of Economic Complexity (</w:t>
      </w:r>
      <w:hyperlink r:id="rId37" w:history="1">
        <w:r w:rsidRPr="009257D9">
          <w:rPr>
            <w:rStyle w:val="Hyperlink"/>
          </w:rPr>
          <w:t>http://atlas.media.mit.edu/explore/tree_map/hs/export/rwa/all/show/2012/</w:t>
        </w:r>
      </w:hyperlink>
      <w:r>
        <w:t>).</w:t>
      </w:r>
    </w:p>
    <w:p w14:paraId="7FE017C3" w14:textId="77777777" w:rsidR="00230AAA" w:rsidRDefault="00230AAA" w:rsidP="00230AAA">
      <w:pPr>
        <w:rPr>
          <w:rFonts w:ascii="Arial" w:hAnsi="Arial"/>
          <w:b/>
          <w:color w:val="006C67" w:themeColor="accent1"/>
          <w:sz w:val="24"/>
        </w:rPr>
      </w:pPr>
      <w:bookmarkStart w:id="29" w:name="_Toc405451002"/>
      <w:bookmarkStart w:id="30" w:name="_Toc405451566"/>
      <w:r>
        <w:br w:type="page"/>
      </w:r>
    </w:p>
    <w:p w14:paraId="7FE017C4" w14:textId="77777777" w:rsidR="00230AAA" w:rsidRDefault="00230AAA" w:rsidP="00230AAA">
      <w:pPr>
        <w:pStyle w:val="FigureHeading"/>
        <w:spacing w:before="0"/>
      </w:pPr>
      <w:bookmarkStart w:id="31" w:name="_Toc405451003"/>
      <w:bookmarkStart w:id="32" w:name="_Toc405451567"/>
      <w:bookmarkStart w:id="33" w:name="_Toc405466105"/>
      <w:bookmarkStart w:id="34" w:name="_Toc427923455"/>
      <w:bookmarkEnd w:id="29"/>
      <w:bookmarkEnd w:id="30"/>
      <w:r>
        <w:t xml:space="preserve">Top export products, </w:t>
      </w:r>
      <w:r w:rsidR="0067252C">
        <w:t>Somalia</w:t>
      </w:r>
      <w:r>
        <w:t xml:space="preserve"> (average 2011–13</w:t>
      </w:r>
      <w:bookmarkEnd w:id="31"/>
      <w:bookmarkEnd w:id="32"/>
      <w:bookmarkEnd w:id="33"/>
      <w:r w:rsidR="007E6C16">
        <w:t>, mirror data)</w:t>
      </w:r>
      <w:bookmarkEnd w:id="34"/>
    </w:p>
    <w:p w14:paraId="7FE017C5" w14:textId="77777777" w:rsidR="0067252C" w:rsidRPr="0067252C" w:rsidRDefault="0067252C" w:rsidP="000968BB">
      <w:pPr>
        <w:pStyle w:val="BodyText"/>
        <w:spacing w:before="39" w:after="0" w:line="240" w:lineRule="auto"/>
        <w:jc w:val="left"/>
      </w:pPr>
      <w:r>
        <w:rPr>
          <w:noProof/>
          <w:lang w:eastAsia="en-GB"/>
        </w:rPr>
        <w:drawing>
          <wp:inline distT="0" distB="0" distL="0" distR="0" wp14:anchorId="7FE019D5" wp14:editId="7FE019D6">
            <wp:extent cx="4968240" cy="2436940"/>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7644" r="-1" b="5326"/>
                    <a:stretch/>
                  </pic:blipFill>
                  <pic:spPr bwMode="auto">
                    <a:xfrm>
                      <a:off x="0" y="0"/>
                      <a:ext cx="4977344" cy="2441406"/>
                    </a:xfrm>
                    <a:prstGeom prst="rect">
                      <a:avLst/>
                    </a:prstGeom>
                    <a:noFill/>
                    <a:ln>
                      <a:noFill/>
                    </a:ln>
                    <a:extLst>
                      <a:ext uri="{53640926-AAD7-44D8-BBD7-CCE9431645EC}">
                        <a14:shadowObscured xmlns:a14="http://schemas.microsoft.com/office/drawing/2010/main"/>
                      </a:ext>
                    </a:extLst>
                  </pic:spPr>
                </pic:pic>
              </a:graphicData>
            </a:graphic>
          </wp:inline>
        </w:drawing>
      </w:r>
    </w:p>
    <w:p w14:paraId="7FE017C6" w14:textId="77777777" w:rsidR="00230AAA" w:rsidRDefault="00230AAA" w:rsidP="00230AAA">
      <w:pPr>
        <w:pStyle w:val="Source"/>
      </w:pPr>
      <w:r>
        <w:t>Note: At Harmonised System 6-digit level.</w:t>
      </w:r>
      <w:r>
        <w:br/>
        <w:t xml:space="preserve">Source: Authors’ calculations using data from </w:t>
      </w:r>
      <w:r w:rsidR="00FF0FCB">
        <w:t>ITC’s Trade Map.</w:t>
      </w:r>
      <w:r w:rsidR="00FF0FCB" w:rsidRPr="00FF0FCB">
        <w:t xml:space="preserve"> </w:t>
      </w:r>
      <w:r w:rsidR="00FF0FCB">
        <w:t>Note the use of mirror data, which is indicative only and should be treated with caution.</w:t>
      </w:r>
    </w:p>
    <w:p w14:paraId="7FE017C7" w14:textId="77777777" w:rsidR="001E72B4" w:rsidRDefault="001E72B4" w:rsidP="00230AAA">
      <w:pPr>
        <w:pStyle w:val="Source"/>
      </w:pPr>
    </w:p>
    <w:p w14:paraId="7FE017C8" w14:textId="77777777" w:rsidR="00230AAA" w:rsidRDefault="00230AAA" w:rsidP="00230AAA">
      <w:pPr>
        <w:pStyle w:val="FigureHeading"/>
        <w:spacing w:before="0"/>
      </w:pPr>
      <w:bookmarkStart w:id="35" w:name="_Toc405451004"/>
      <w:bookmarkStart w:id="36" w:name="_Toc405451568"/>
      <w:bookmarkStart w:id="37" w:name="_Toc405466106"/>
      <w:bookmarkStart w:id="38" w:name="_Toc427923456"/>
      <w:r>
        <w:t xml:space="preserve">Top export markets, </w:t>
      </w:r>
      <w:r w:rsidR="0067252C">
        <w:t>Somalia</w:t>
      </w:r>
      <w:r>
        <w:t xml:space="preserve"> (average 2011–13</w:t>
      </w:r>
      <w:r w:rsidR="00FF0FCB">
        <w:t>, mirror data</w:t>
      </w:r>
      <w:r>
        <w:t>)</w:t>
      </w:r>
      <w:bookmarkEnd w:id="35"/>
      <w:bookmarkEnd w:id="36"/>
      <w:bookmarkEnd w:id="37"/>
      <w:bookmarkEnd w:id="38"/>
    </w:p>
    <w:p w14:paraId="7FE017C9" w14:textId="77777777" w:rsidR="000968BB" w:rsidRDefault="000968BB" w:rsidP="000968BB">
      <w:pPr>
        <w:pStyle w:val="BodyText"/>
        <w:spacing w:before="39" w:after="0" w:line="240" w:lineRule="auto"/>
        <w:jc w:val="left"/>
      </w:pPr>
      <w:r>
        <w:rPr>
          <w:noProof/>
          <w:lang w:eastAsia="en-GB"/>
        </w:rPr>
        <w:drawing>
          <wp:inline distT="0" distB="0" distL="0" distR="0" wp14:anchorId="7FE019D7" wp14:editId="7FE019D8">
            <wp:extent cx="4955889" cy="2392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7927" b="7101"/>
                    <a:stretch/>
                  </pic:blipFill>
                  <pic:spPr bwMode="auto">
                    <a:xfrm>
                      <a:off x="0" y="0"/>
                      <a:ext cx="4961999" cy="2395630"/>
                    </a:xfrm>
                    <a:prstGeom prst="rect">
                      <a:avLst/>
                    </a:prstGeom>
                    <a:noFill/>
                    <a:ln>
                      <a:noFill/>
                    </a:ln>
                    <a:extLst>
                      <a:ext uri="{53640926-AAD7-44D8-BBD7-CCE9431645EC}">
                        <a14:shadowObscured xmlns:a14="http://schemas.microsoft.com/office/drawing/2010/main"/>
                      </a:ext>
                    </a:extLst>
                  </pic:spPr>
                </pic:pic>
              </a:graphicData>
            </a:graphic>
          </wp:inline>
        </w:drawing>
      </w:r>
    </w:p>
    <w:p w14:paraId="7FE017CA" w14:textId="77777777" w:rsidR="00230AAA" w:rsidRDefault="00230AAA" w:rsidP="00230AAA">
      <w:pPr>
        <w:pStyle w:val="Source"/>
        <w:rPr>
          <w:b/>
          <w:color w:val="006C67" w:themeColor="accent1"/>
          <w:sz w:val="24"/>
        </w:rPr>
      </w:pPr>
      <w:r>
        <w:t xml:space="preserve">Source: Authors’ calculations using data from </w:t>
      </w:r>
      <w:r w:rsidR="00FF0FCB">
        <w:t>ITC’s Trade Map.</w:t>
      </w:r>
      <w:bookmarkStart w:id="39" w:name="_Toc405451005"/>
      <w:bookmarkStart w:id="40" w:name="_Toc405451569"/>
      <w:r w:rsidR="00FF0FCB">
        <w:t xml:space="preserve"> Note the use of mirror data, which is indicative only and should be treated with caution.</w:t>
      </w:r>
      <w:r>
        <w:br w:type="page"/>
      </w:r>
    </w:p>
    <w:p w14:paraId="7FE017CB" w14:textId="77777777" w:rsidR="00230AAA" w:rsidRDefault="00230AAA" w:rsidP="00230AAA">
      <w:pPr>
        <w:pStyle w:val="FigureHeading"/>
        <w:spacing w:before="0"/>
      </w:pPr>
      <w:bookmarkStart w:id="41" w:name="_Toc405466107"/>
      <w:bookmarkStart w:id="42" w:name="_Toc427923457"/>
      <w:r>
        <w:t xml:space="preserve">Imports by broad HS Section, </w:t>
      </w:r>
      <w:r w:rsidR="0067252C">
        <w:t>Somalia</w:t>
      </w:r>
      <w:r>
        <w:t>, 2005–8 and 2009–1</w:t>
      </w:r>
      <w:bookmarkEnd w:id="39"/>
      <w:bookmarkEnd w:id="40"/>
      <w:r>
        <w:t>3</w:t>
      </w:r>
      <w:bookmarkEnd w:id="41"/>
      <w:r w:rsidR="00FF0FCB">
        <w:t xml:space="preserve"> (mirror data)</w:t>
      </w:r>
      <w:bookmarkEnd w:id="42"/>
    </w:p>
    <w:p w14:paraId="7FE017CC" w14:textId="77777777" w:rsidR="000968BB" w:rsidRPr="000968BB" w:rsidRDefault="000968BB" w:rsidP="000968BB">
      <w:pPr>
        <w:pStyle w:val="BodyText"/>
        <w:spacing w:before="39" w:after="0" w:line="240" w:lineRule="auto"/>
        <w:jc w:val="left"/>
      </w:pPr>
      <w:r>
        <w:rPr>
          <w:noProof/>
          <w:lang w:eastAsia="en-GB"/>
        </w:rPr>
        <w:drawing>
          <wp:inline distT="0" distB="0" distL="0" distR="0" wp14:anchorId="7FE019D9" wp14:editId="7FE019DA">
            <wp:extent cx="5462588" cy="2468880"/>
            <wp:effectExtent l="0" t="0" r="5080" b="762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lang w:eastAsia="en-GB"/>
        </w:rPr>
        <w:drawing>
          <wp:inline distT="0" distB="0" distL="0" distR="0" wp14:anchorId="7FE019DB" wp14:editId="7FE019DC">
            <wp:extent cx="5486400" cy="2468880"/>
            <wp:effectExtent l="0" t="0" r="0" b="76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7FE017CF" w14:textId="77777777" w:rsidTr="001C4EF9">
        <w:tc>
          <w:tcPr>
            <w:tcW w:w="630" w:type="dxa"/>
            <w:tcBorders>
              <w:top w:val="nil"/>
              <w:left w:val="nil"/>
              <w:bottom w:val="nil"/>
              <w:right w:val="nil"/>
            </w:tcBorders>
            <w:shd w:val="clear" w:color="auto" w:fill="auto"/>
            <w:noWrap/>
          </w:tcPr>
          <w:p w14:paraId="7FE017CD"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7FE017CE" w14:textId="77777777" w:rsidR="00230AAA" w:rsidRDefault="00230AAA" w:rsidP="001C4EF9">
            <w:pPr>
              <w:rPr>
                <w:rFonts w:ascii="Calibri" w:eastAsia="Times New Roman" w:hAnsi="Calibri"/>
                <w:color w:val="000000"/>
                <w:sz w:val="16"/>
                <w:szCs w:val="16"/>
                <w:lang w:eastAsia="en-GB"/>
              </w:rPr>
            </w:pPr>
          </w:p>
        </w:tc>
      </w:tr>
      <w:tr w:rsidR="00230AAA" w:rsidRPr="00C91C87" w14:paraId="7FE017D2" w14:textId="77777777" w:rsidTr="001C4EF9">
        <w:tc>
          <w:tcPr>
            <w:tcW w:w="630" w:type="dxa"/>
            <w:tcBorders>
              <w:top w:val="nil"/>
              <w:left w:val="nil"/>
              <w:bottom w:val="nil"/>
              <w:right w:val="nil"/>
            </w:tcBorders>
            <w:shd w:val="clear" w:color="auto" w:fill="auto"/>
            <w:noWrap/>
          </w:tcPr>
          <w:p w14:paraId="7FE017D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7FE017D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7FE017D5" w14:textId="77777777" w:rsidTr="001C4EF9">
        <w:tc>
          <w:tcPr>
            <w:tcW w:w="630" w:type="dxa"/>
            <w:tcBorders>
              <w:top w:val="nil"/>
              <w:left w:val="nil"/>
              <w:bottom w:val="nil"/>
              <w:right w:val="nil"/>
            </w:tcBorders>
            <w:shd w:val="clear" w:color="auto" w:fill="auto"/>
            <w:noWrap/>
            <w:hideMark/>
          </w:tcPr>
          <w:p w14:paraId="7FE017D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7FE017D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7FE017D8" w14:textId="77777777" w:rsidTr="001C4EF9">
        <w:tc>
          <w:tcPr>
            <w:tcW w:w="630" w:type="dxa"/>
            <w:tcBorders>
              <w:top w:val="nil"/>
              <w:left w:val="nil"/>
              <w:bottom w:val="nil"/>
              <w:right w:val="nil"/>
            </w:tcBorders>
            <w:shd w:val="clear" w:color="auto" w:fill="auto"/>
            <w:noWrap/>
            <w:hideMark/>
          </w:tcPr>
          <w:p w14:paraId="7FE017D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7FE017D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7FE017DB" w14:textId="77777777" w:rsidTr="001C4EF9">
        <w:tc>
          <w:tcPr>
            <w:tcW w:w="630" w:type="dxa"/>
            <w:tcBorders>
              <w:top w:val="nil"/>
              <w:left w:val="nil"/>
              <w:bottom w:val="nil"/>
              <w:right w:val="nil"/>
            </w:tcBorders>
            <w:shd w:val="clear" w:color="auto" w:fill="auto"/>
            <w:noWrap/>
            <w:hideMark/>
          </w:tcPr>
          <w:p w14:paraId="7FE017D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7FE017D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7FE017DE" w14:textId="77777777" w:rsidTr="001C4EF9">
        <w:tc>
          <w:tcPr>
            <w:tcW w:w="630" w:type="dxa"/>
            <w:tcBorders>
              <w:top w:val="nil"/>
              <w:left w:val="nil"/>
              <w:bottom w:val="nil"/>
              <w:right w:val="nil"/>
            </w:tcBorders>
            <w:shd w:val="clear" w:color="auto" w:fill="auto"/>
            <w:noWrap/>
            <w:hideMark/>
          </w:tcPr>
          <w:p w14:paraId="7FE017D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7FE017D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7FE017E1" w14:textId="77777777" w:rsidTr="001C4EF9">
        <w:tc>
          <w:tcPr>
            <w:tcW w:w="630" w:type="dxa"/>
            <w:tcBorders>
              <w:top w:val="nil"/>
              <w:left w:val="nil"/>
              <w:bottom w:val="nil"/>
              <w:right w:val="nil"/>
            </w:tcBorders>
            <w:shd w:val="clear" w:color="auto" w:fill="auto"/>
            <w:noWrap/>
            <w:hideMark/>
          </w:tcPr>
          <w:p w14:paraId="7FE017D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7FE017E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7FE017E4" w14:textId="77777777" w:rsidTr="001C4EF9">
        <w:tc>
          <w:tcPr>
            <w:tcW w:w="630" w:type="dxa"/>
            <w:tcBorders>
              <w:top w:val="nil"/>
              <w:left w:val="nil"/>
              <w:bottom w:val="nil"/>
              <w:right w:val="nil"/>
            </w:tcBorders>
            <w:shd w:val="clear" w:color="auto" w:fill="auto"/>
            <w:noWrap/>
            <w:hideMark/>
          </w:tcPr>
          <w:p w14:paraId="7FE017E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7FE017E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7FE017E7" w14:textId="77777777" w:rsidTr="001C4EF9">
        <w:tc>
          <w:tcPr>
            <w:tcW w:w="630" w:type="dxa"/>
            <w:tcBorders>
              <w:top w:val="nil"/>
              <w:left w:val="nil"/>
              <w:bottom w:val="nil"/>
              <w:right w:val="nil"/>
            </w:tcBorders>
            <w:shd w:val="clear" w:color="auto" w:fill="auto"/>
            <w:noWrap/>
            <w:hideMark/>
          </w:tcPr>
          <w:p w14:paraId="7FE017E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7FE017E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7FE017EA" w14:textId="77777777" w:rsidTr="001C4EF9">
        <w:tc>
          <w:tcPr>
            <w:tcW w:w="630" w:type="dxa"/>
            <w:tcBorders>
              <w:top w:val="nil"/>
              <w:left w:val="nil"/>
              <w:bottom w:val="nil"/>
              <w:right w:val="nil"/>
            </w:tcBorders>
            <w:shd w:val="clear" w:color="auto" w:fill="auto"/>
            <w:noWrap/>
            <w:hideMark/>
          </w:tcPr>
          <w:p w14:paraId="7FE017E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7FE017E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7FE017ED" w14:textId="77777777" w:rsidTr="001C4EF9">
        <w:tc>
          <w:tcPr>
            <w:tcW w:w="630" w:type="dxa"/>
            <w:tcBorders>
              <w:top w:val="nil"/>
              <w:left w:val="nil"/>
              <w:bottom w:val="nil"/>
              <w:right w:val="nil"/>
            </w:tcBorders>
            <w:shd w:val="clear" w:color="auto" w:fill="auto"/>
            <w:noWrap/>
            <w:hideMark/>
          </w:tcPr>
          <w:p w14:paraId="7FE017E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7FE017E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7FE017F0" w14:textId="77777777" w:rsidTr="001C4EF9">
        <w:tc>
          <w:tcPr>
            <w:tcW w:w="630" w:type="dxa"/>
            <w:tcBorders>
              <w:top w:val="nil"/>
              <w:left w:val="nil"/>
              <w:bottom w:val="nil"/>
              <w:right w:val="nil"/>
            </w:tcBorders>
            <w:shd w:val="clear" w:color="auto" w:fill="auto"/>
            <w:noWrap/>
            <w:hideMark/>
          </w:tcPr>
          <w:p w14:paraId="7FE017E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7FE017E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7FE017F3" w14:textId="77777777" w:rsidTr="001C4EF9">
        <w:tc>
          <w:tcPr>
            <w:tcW w:w="630" w:type="dxa"/>
            <w:tcBorders>
              <w:top w:val="nil"/>
              <w:left w:val="nil"/>
              <w:bottom w:val="nil"/>
              <w:right w:val="nil"/>
            </w:tcBorders>
            <w:shd w:val="clear" w:color="auto" w:fill="auto"/>
            <w:noWrap/>
            <w:hideMark/>
          </w:tcPr>
          <w:p w14:paraId="7FE017F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7FE017F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7FE017F6" w14:textId="77777777" w:rsidTr="001C4EF9">
        <w:tc>
          <w:tcPr>
            <w:tcW w:w="630" w:type="dxa"/>
            <w:tcBorders>
              <w:top w:val="nil"/>
              <w:left w:val="nil"/>
              <w:bottom w:val="nil"/>
              <w:right w:val="nil"/>
            </w:tcBorders>
            <w:shd w:val="clear" w:color="auto" w:fill="auto"/>
            <w:noWrap/>
            <w:hideMark/>
          </w:tcPr>
          <w:p w14:paraId="7FE017F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7FE017F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7FE017F9" w14:textId="77777777" w:rsidTr="001C4EF9">
        <w:tc>
          <w:tcPr>
            <w:tcW w:w="630" w:type="dxa"/>
            <w:tcBorders>
              <w:top w:val="nil"/>
              <w:left w:val="nil"/>
              <w:bottom w:val="nil"/>
              <w:right w:val="nil"/>
            </w:tcBorders>
            <w:shd w:val="clear" w:color="auto" w:fill="auto"/>
            <w:noWrap/>
            <w:hideMark/>
          </w:tcPr>
          <w:p w14:paraId="7FE017F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7FE017F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7FE017FC" w14:textId="77777777" w:rsidTr="001C4EF9">
        <w:tc>
          <w:tcPr>
            <w:tcW w:w="630" w:type="dxa"/>
            <w:tcBorders>
              <w:top w:val="nil"/>
              <w:left w:val="nil"/>
              <w:bottom w:val="nil"/>
              <w:right w:val="nil"/>
            </w:tcBorders>
            <w:shd w:val="clear" w:color="auto" w:fill="auto"/>
            <w:noWrap/>
            <w:hideMark/>
          </w:tcPr>
          <w:p w14:paraId="7FE017F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7FE017F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7FE017FF" w14:textId="77777777" w:rsidTr="001C4EF9">
        <w:tc>
          <w:tcPr>
            <w:tcW w:w="630" w:type="dxa"/>
            <w:tcBorders>
              <w:top w:val="nil"/>
              <w:left w:val="nil"/>
              <w:bottom w:val="nil"/>
              <w:right w:val="nil"/>
            </w:tcBorders>
            <w:shd w:val="clear" w:color="auto" w:fill="auto"/>
            <w:noWrap/>
            <w:hideMark/>
          </w:tcPr>
          <w:p w14:paraId="7FE017F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7FE017F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7FE01802" w14:textId="77777777" w:rsidTr="001C4EF9">
        <w:tc>
          <w:tcPr>
            <w:tcW w:w="630" w:type="dxa"/>
            <w:tcBorders>
              <w:top w:val="nil"/>
              <w:left w:val="nil"/>
              <w:bottom w:val="nil"/>
              <w:right w:val="nil"/>
            </w:tcBorders>
            <w:shd w:val="clear" w:color="auto" w:fill="auto"/>
            <w:noWrap/>
            <w:hideMark/>
          </w:tcPr>
          <w:p w14:paraId="7FE0180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7FE0180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7FE01805" w14:textId="77777777" w:rsidTr="001C4EF9">
        <w:tc>
          <w:tcPr>
            <w:tcW w:w="630" w:type="dxa"/>
            <w:tcBorders>
              <w:top w:val="nil"/>
              <w:left w:val="nil"/>
              <w:bottom w:val="nil"/>
              <w:right w:val="nil"/>
            </w:tcBorders>
            <w:shd w:val="clear" w:color="auto" w:fill="auto"/>
            <w:noWrap/>
            <w:hideMark/>
          </w:tcPr>
          <w:p w14:paraId="7FE0180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7FE0180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7FE01808" w14:textId="77777777" w:rsidTr="001C4EF9">
        <w:tc>
          <w:tcPr>
            <w:tcW w:w="630" w:type="dxa"/>
            <w:tcBorders>
              <w:top w:val="nil"/>
              <w:left w:val="nil"/>
              <w:bottom w:val="nil"/>
              <w:right w:val="nil"/>
            </w:tcBorders>
            <w:shd w:val="clear" w:color="auto" w:fill="auto"/>
            <w:noWrap/>
            <w:hideMark/>
          </w:tcPr>
          <w:p w14:paraId="7FE0180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7FE0180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7FE0180B" w14:textId="77777777" w:rsidTr="001C4EF9">
        <w:tc>
          <w:tcPr>
            <w:tcW w:w="630" w:type="dxa"/>
            <w:tcBorders>
              <w:top w:val="nil"/>
              <w:left w:val="nil"/>
              <w:bottom w:val="nil"/>
              <w:right w:val="nil"/>
            </w:tcBorders>
            <w:shd w:val="clear" w:color="auto" w:fill="auto"/>
            <w:noWrap/>
            <w:hideMark/>
          </w:tcPr>
          <w:p w14:paraId="7FE0180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7FE0180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7FE0180E" w14:textId="77777777" w:rsidTr="001C4EF9">
        <w:tc>
          <w:tcPr>
            <w:tcW w:w="630" w:type="dxa"/>
            <w:tcBorders>
              <w:top w:val="nil"/>
              <w:left w:val="nil"/>
              <w:bottom w:val="nil"/>
              <w:right w:val="nil"/>
            </w:tcBorders>
            <w:shd w:val="clear" w:color="auto" w:fill="auto"/>
            <w:noWrap/>
            <w:hideMark/>
          </w:tcPr>
          <w:p w14:paraId="7FE0180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7FE0180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7FE01811" w14:textId="77777777" w:rsidTr="001C4EF9">
        <w:tc>
          <w:tcPr>
            <w:tcW w:w="630" w:type="dxa"/>
            <w:tcBorders>
              <w:top w:val="nil"/>
              <w:left w:val="nil"/>
              <w:bottom w:val="nil"/>
              <w:right w:val="nil"/>
            </w:tcBorders>
            <w:shd w:val="clear" w:color="auto" w:fill="auto"/>
            <w:noWrap/>
            <w:hideMark/>
          </w:tcPr>
          <w:p w14:paraId="7FE0180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7FE0181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7FE01812" w14:textId="77777777" w:rsidR="00230AAA" w:rsidRPr="002103C5" w:rsidRDefault="00230AAA" w:rsidP="00230AAA">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w:t>
      </w:r>
      <w:r w:rsidR="00FF0FCB">
        <w:t>ITC’s Trade Map</w:t>
      </w:r>
      <w:r>
        <w:t>.</w:t>
      </w:r>
      <w:bookmarkStart w:id="43" w:name="_Toc405451006"/>
      <w:bookmarkStart w:id="44" w:name="_Toc405451570"/>
      <w:r w:rsidR="00D004A5">
        <w:t xml:space="preserve"> Note the use of mirror data, which is indicative only and should be treated with caution.</w:t>
      </w:r>
      <w:r>
        <w:br w:type="page"/>
      </w:r>
    </w:p>
    <w:p w14:paraId="7FE01813" w14:textId="77777777" w:rsidR="00230AAA" w:rsidRDefault="00230AAA" w:rsidP="00230AAA">
      <w:pPr>
        <w:pStyle w:val="FigureHeading"/>
        <w:spacing w:before="0"/>
      </w:pPr>
      <w:bookmarkStart w:id="45" w:name="_Toc405466108"/>
      <w:bookmarkStart w:id="46" w:name="_Toc427923458"/>
      <w:r>
        <w:t xml:space="preserve">Change in import share by HS Section, </w:t>
      </w:r>
      <w:r w:rsidR="0067252C">
        <w:t>Somalia</w:t>
      </w:r>
      <w:r>
        <w:t>, 2005–8 and 2009–1</w:t>
      </w:r>
      <w:bookmarkEnd w:id="43"/>
      <w:bookmarkEnd w:id="44"/>
      <w:r>
        <w:t>3</w:t>
      </w:r>
      <w:bookmarkEnd w:id="45"/>
      <w:r w:rsidR="00D004A5">
        <w:t xml:space="preserve"> (mirror data)</w:t>
      </w:r>
      <w:bookmarkEnd w:id="46"/>
    </w:p>
    <w:p w14:paraId="7FE01814" w14:textId="77777777" w:rsidR="000968BB" w:rsidRPr="000968BB" w:rsidRDefault="000968BB" w:rsidP="000968BB">
      <w:pPr>
        <w:pStyle w:val="BodyText"/>
        <w:spacing w:before="39" w:after="0" w:line="240" w:lineRule="auto"/>
        <w:jc w:val="left"/>
      </w:pPr>
      <w:r>
        <w:rPr>
          <w:noProof/>
          <w:lang w:eastAsia="en-GB"/>
        </w:rPr>
        <w:drawing>
          <wp:inline distT="0" distB="0" distL="0" distR="0" wp14:anchorId="7FE019DD" wp14:editId="7FE019DE">
            <wp:extent cx="4572000" cy="2606040"/>
            <wp:effectExtent l="0" t="0" r="0" b="38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7FE01817" w14:textId="77777777" w:rsidTr="001C4EF9">
        <w:tc>
          <w:tcPr>
            <w:tcW w:w="630" w:type="dxa"/>
            <w:tcBorders>
              <w:top w:val="nil"/>
              <w:left w:val="nil"/>
              <w:bottom w:val="nil"/>
              <w:right w:val="nil"/>
            </w:tcBorders>
            <w:shd w:val="clear" w:color="auto" w:fill="auto"/>
            <w:noWrap/>
          </w:tcPr>
          <w:p w14:paraId="7FE01815"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7FE01816" w14:textId="77777777" w:rsidR="00230AAA" w:rsidRDefault="00230AAA" w:rsidP="001C4EF9">
            <w:pPr>
              <w:rPr>
                <w:rFonts w:ascii="Calibri" w:eastAsia="Times New Roman" w:hAnsi="Calibri"/>
                <w:color w:val="000000"/>
                <w:sz w:val="16"/>
                <w:szCs w:val="16"/>
                <w:lang w:eastAsia="en-GB"/>
              </w:rPr>
            </w:pPr>
          </w:p>
        </w:tc>
      </w:tr>
      <w:tr w:rsidR="00230AAA" w:rsidRPr="00C91C87" w14:paraId="7FE0181A" w14:textId="77777777" w:rsidTr="001C4EF9">
        <w:tc>
          <w:tcPr>
            <w:tcW w:w="630" w:type="dxa"/>
            <w:tcBorders>
              <w:top w:val="nil"/>
              <w:left w:val="nil"/>
              <w:bottom w:val="nil"/>
              <w:right w:val="nil"/>
            </w:tcBorders>
            <w:shd w:val="clear" w:color="auto" w:fill="auto"/>
            <w:noWrap/>
          </w:tcPr>
          <w:p w14:paraId="7FE0181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7FE0181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7FE0181D" w14:textId="77777777" w:rsidTr="001C4EF9">
        <w:tc>
          <w:tcPr>
            <w:tcW w:w="630" w:type="dxa"/>
            <w:tcBorders>
              <w:top w:val="nil"/>
              <w:left w:val="nil"/>
              <w:bottom w:val="nil"/>
              <w:right w:val="nil"/>
            </w:tcBorders>
            <w:shd w:val="clear" w:color="auto" w:fill="auto"/>
            <w:noWrap/>
            <w:hideMark/>
          </w:tcPr>
          <w:p w14:paraId="7FE0181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7FE0181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7FE01820" w14:textId="77777777" w:rsidTr="001C4EF9">
        <w:tc>
          <w:tcPr>
            <w:tcW w:w="630" w:type="dxa"/>
            <w:tcBorders>
              <w:top w:val="nil"/>
              <w:left w:val="nil"/>
              <w:bottom w:val="nil"/>
              <w:right w:val="nil"/>
            </w:tcBorders>
            <w:shd w:val="clear" w:color="auto" w:fill="auto"/>
            <w:noWrap/>
            <w:hideMark/>
          </w:tcPr>
          <w:p w14:paraId="7FE0181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7FE0181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7FE01823" w14:textId="77777777" w:rsidTr="001C4EF9">
        <w:tc>
          <w:tcPr>
            <w:tcW w:w="630" w:type="dxa"/>
            <w:tcBorders>
              <w:top w:val="nil"/>
              <w:left w:val="nil"/>
              <w:bottom w:val="nil"/>
              <w:right w:val="nil"/>
            </w:tcBorders>
            <w:shd w:val="clear" w:color="auto" w:fill="auto"/>
            <w:noWrap/>
            <w:hideMark/>
          </w:tcPr>
          <w:p w14:paraId="7FE0182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7FE0182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7FE01826" w14:textId="77777777" w:rsidTr="001C4EF9">
        <w:tc>
          <w:tcPr>
            <w:tcW w:w="630" w:type="dxa"/>
            <w:tcBorders>
              <w:top w:val="nil"/>
              <w:left w:val="nil"/>
              <w:bottom w:val="nil"/>
              <w:right w:val="nil"/>
            </w:tcBorders>
            <w:shd w:val="clear" w:color="auto" w:fill="auto"/>
            <w:noWrap/>
            <w:hideMark/>
          </w:tcPr>
          <w:p w14:paraId="7FE0182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7FE0182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7FE01829" w14:textId="77777777" w:rsidTr="001C4EF9">
        <w:tc>
          <w:tcPr>
            <w:tcW w:w="630" w:type="dxa"/>
            <w:tcBorders>
              <w:top w:val="nil"/>
              <w:left w:val="nil"/>
              <w:bottom w:val="nil"/>
              <w:right w:val="nil"/>
            </w:tcBorders>
            <w:shd w:val="clear" w:color="auto" w:fill="auto"/>
            <w:noWrap/>
            <w:hideMark/>
          </w:tcPr>
          <w:p w14:paraId="7FE0182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7FE0182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7FE0182C" w14:textId="77777777" w:rsidTr="001C4EF9">
        <w:tc>
          <w:tcPr>
            <w:tcW w:w="630" w:type="dxa"/>
            <w:tcBorders>
              <w:top w:val="nil"/>
              <w:left w:val="nil"/>
              <w:bottom w:val="nil"/>
              <w:right w:val="nil"/>
            </w:tcBorders>
            <w:shd w:val="clear" w:color="auto" w:fill="auto"/>
            <w:noWrap/>
            <w:hideMark/>
          </w:tcPr>
          <w:p w14:paraId="7FE0182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7FE0182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7FE0182F" w14:textId="77777777" w:rsidTr="001C4EF9">
        <w:tc>
          <w:tcPr>
            <w:tcW w:w="630" w:type="dxa"/>
            <w:tcBorders>
              <w:top w:val="nil"/>
              <w:left w:val="nil"/>
              <w:bottom w:val="nil"/>
              <w:right w:val="nil"/>
            </w:tcBorders>
            <w:shd w:val="clear" w:color="auto" w:fill="auto"/>
            <w:noWrap/>
            <w:hideMark/>
          </w:tcPr>
          <w:p w14:paraId="7FE0182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7FE0182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7FE01832" w14:textId="77777777" w:rsidTr="001C4EF9">
        <w:tc>
          <w:tcPr>
            <w:tcW w:w="630" w:type="dxa"/>
            <w:tcBorders>
              <w:top w:val="nil"/>
              <w:left w:val="nil"/>
              <w:bottom w:val="nil"/>
              <w:right w:val="nil"/>
            </w:tcBorders>
            <w:shd w:val="clear" w:color="auto" w:fill="auto"/>
            <w:noWrap/>
            <w:hideMark/>
          </w:tcPr>
          <w:p w14:paraId="7FE0183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7FE0183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7FE01835" w14:textId="77777777" w:rsidTr="001C4EF9">
        <w:tc>
          <w:tcPr>
            <w:tcW w:w="630" w:type="dxa"/>
            <w:tcBorders>
              <w:top w:val="nil"/>
              <w:left w:val="nil"/>
              <w:bottom w:val="nil"/>
              <w:right w:val="nil"/>
            </w:tcBorders>
            <w:shd w:val="clear" w:color="auto" w:fill="auto"/>
            <w:noWrap/>
            <w:hideMark/>
          </w:tcPr>
          <w:p w14:paraId="7FE0183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7FE0183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7FE01838" w14:textId="77777777" w:rsidTr="001C4EF9">
        <w:tc>
          <w:tcPr>
            <w:tcW w:w="630" w:type="dxa"/>
            <w:tcBorders>
              <w:top w:val="nil"/>
              <w:left w:val="nil"/>
              <w:bottom w:val="nil"/>
              <w:right w:val="nil"/>
            </w:tcBorders>
            <w:shd w:val="clear" w:color="auto" w:fill="auto"/>
            <w:noWrap/>
            <w:hideMark/>
          </w:tcPr>
          <w:p w14:paraId="7FE0183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7FE0183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7FE0183B" w14:textId="77777777" w:rsidTr="001C4EF9">
        <w:tc>
          <w:tcPr>
            <w:tcW w:w="630" w:type="dxa"/>
            <w:tcBorders>
              <w:top w:val="nil"/>
              <w:left w:val="nil"/>
              <w:bottom w:val="nil"/>
              <w:right w:val="nil"/>
            </w:tcBorders>
            <w:shd w:val="clear" w:color="auto" w:fill="auto"/>
            <w:noWrap/>
            <w:hideMark/>
          </w:tcPr>
          <w:p w14:paraId="7FE0183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7FE0183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7FE0183E" w14:textId="77777777" w:rsidTr="001C4EF9">
        <w:tc>
          <w:tcPr>
            <w:tcW w:w="630" w:type="dxa"/>
            <w:tcBorders>
              <w:top w:val="nil"/>
              <w:left w:val="nil"/>
              <w:bottom w:val="nil"/>
              <w:right w:val="nil"/>
            </w:tcBorders>
            <w:shd w:val="clear" w:color="auto" w:fill="auto"/>
            <w:noWrap/>
            <w:hideMark/>
          </w:tcPr>
          <w:p w14:paraId="7FE0183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7FE0183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7FE01841" w14:textId="77777777" w:rsidTr="001C4EF9">
        <w:tc>
          <w:tcPr>
            <w:tcW w:w="630" w:type="dxa"/>
            <w:tcBorders>
              <w:top w:val="nil"/>
              <w:left w:val="nil"/>
              <w:bottom w:val="nil"/>
              <w:right w:val="nil"/>
            </w:tcBorders>
            <w:shd w:val="clear" w:color="auto" w:fill="auto"/>
            <w:noWrap/>
            <w:hideMark/>
          </w:tcPr>
          <w:p w14:paraId="7FE0183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7FE0184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7FE01844" w14:textId="77777777" w:rsidTr="001C4EF9">
        <w:tc>
          <w:tcPr>
            <w:tcW w:w="630" w:type="dxa"/>
            <w:tcBorders>
              <w:top w:val="nil"/>
              <w:left w:val="nil"/>
              <w:bottom w:val="nil"/>
              <w:right w:val="nil"/>
            </w:tcBorders>
            <w:shd w:val="clear" w:color="auto" w:fill="auto"/>
            <w:noWrap/>
            <w:hideMark/>
          </w:tcPr>
          <w:p w14:paraId="7FE0184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7FE0184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7FE01847" w14:textId="77777777" w:rsidTr="001C4EF9">
        <w:tc>
          <w:tcPr>
            <w:tcW w:w="630" w:type="dxa"/>
            <w:tcBorders>
              <w:top w:val="nil"/>
              <w:left w:val="nil"/>
              <w:bottom w:val="nil"/>
              <w:right w:val="nil"/>
            </w:tcBorders>
            <w:shd w:val="clear" w:color="auto" w:fill="auto"/>
            <w:noWrap/>
            <w:hideMark/>
          </w:tcPr>
          <w:p w14:paraId="7FE0184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7FE0184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7FE0184A" w14:textId="77777777" w:rsidTr="001C4EF9">
        <w:tc>
          <w:tcPr>
            <w:tcW w:w="630" w:type="dxa"/>
            <w:tcBorders>
              <w:top w:val="nil"/>
              <w:left w:val="nil"/>
              <w:bottom w:val="nil"/>
              <w:right w:val="nil"/>
            </w:tcBorders>
            <w:shd w:val="clear" w:color="auto" w:fill="auto"/>
            <w:noWrap/>
            <w:hideMark/>
          </w:tcPr>
          <w:p w14:paraId="7FE0184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7FE0184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7FE0184D" w14:textId="77777777" w:rsidTr="001C4EF9">
        <w:tc>
          <w:tcPr>
            <w:tcW w:w="630" w:type="dxa"/>
            <w:tcBorders>
              <w:top w:val="nil"/>
              <w:left w:val="nil"/>
              <w:bottom w:val="nil"/>
              <w:right w:val="nil"/>
            </w:tcBorders>
            <w:shd w:val="clear" w:color="auto" w:fill="auto"/>
            <w:noWrap/>
            <w:hideMark/>
          </w:tcPr>
          <w:p w14:paraId="7FE0184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7FE0184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7FE01850" w14:textId="77777777" w:rsidTr="001C4EF9">
        <w:tc>
          <w:tcPr>
            <w:tcW w:w="630" w:type="dxa"/>
            <w:tcBorders>
              <w:top w:val="nil"/>
              <w:left w:val="nil"/>
              <w:bottom w:val="nil"/>
              <w:right w:val="nil"/>
            </w:tcBorders>
            <w:shd w:val="clear" w:color="auto" w:fill="auto"/>
            <w:noWrap/>
            <w:hideMark/>
          </w:tcPr>
          <w:p w14:paraId="7FE0184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7FE0184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7FE01853" w14:textId="77777777" w:rsidTr="001C4EF9">
        <w:tc>
          <w:tcPr>
            <w:tcW w:w="630" w:type="dxa"/>
            <w:tcBorders>
              <w:top w:val="nil"/>
              <w:left w:val="nil"/>
              <w:bottom w:val="nil"/>
              <w:right w:val="nil"/>
            </w:tcBorders>
            <w:shd w:val="clear" w:color="auto" w:fill="auto"/>
            <w:noWrap/>
            <w:hideMark/>
          </w:tcPr>
          <w:p w14:paraId="7FE0185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7FE0185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7FE01856" w14:textId="77777777" w:rsidTr="001C4EF9">
        <w:tc>
          <w:tcPr>
            <w:tcW w:w="630" w:type="dxa"/>
            <w:tcBorders>
              <w:top w:val="nil"/>
              <w:left w:val="nil"/>
              <w:bottom w:val="nil"/>
              <w:right w:val="nil"/>
            </w:tcBorders>
            <w:shd w:val="clear" w:color="auto" w:fill="auto"/>
            <w:noWrap/>
            <w:hideMark/>
          </w:tcPr>
          <w:p w14:paraId="7FE0185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7FE0185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7FE01859" w14:textId="77777777" w:rsidTr="001C4EF9">
        <w:tc>
          <w:tcPr>
            <w:tcW w:w="630" w:type="dxa"/>
            <w:tcBorders>
              <w:top w:val="nil"/>
              <w:left w:val="nil"/>
              <w:bottom w:val="nil"/>
              <w:right w:val="nil"/>
            </w:tcBorders>
            <w:shd w:val="clear" w:color="auto" w:fill="auto"/>
            <w:noWrap/>
            <w:hideMark/>
          </w:tcPr>
          <w:p w14:paraId="7FE0185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7FE0185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7FE0185A" w14:textId="77777777" w:rsidR="00230AAA" w:rsidRDefault="00230AAA" w:rsidP="00230AAA">
      <w:pPr>
        <w:pStyle w:val="Source"/>
      </w:pPr>
      <w:r>
        <w:t xml:space="preserve">Source: Authors’ calculation using data from </w:t>
      </w:r>
      <w:r w:rsidR="00FF0FCB">
        <w:t>ITC’s Trade Map</w:t>
      </w:r>
      <w:r>
        <w:t>.</w:t>
      </w:r>
      <w:r w:rsidR="00D004A5" w:rsidRPr="00D004A5">
        <w:t xml:space="preserve"> Note the use of mirror data, which is indicative only and should be treated with caution.</w:t>
      </w:r>
    </w:p>
    <w:p w14:paraId="7FE0185B" w14:textId="77777777" w:rsidR="00230AAA" w:rsidRDefault="00230AAA" w:rsidP="00230AAA">
      <w:pPr>
        <w:rPr>
          <w:rFonts w:ascii="Arial" w:hAnsi="Arial"/>
          <w:i/>
          <w:sz w:val="16"/>
        </w:rPr>
      </w:pPr>
      <w:r>
        <w:br w:type="page"/>
      </w:r>
    </w:p>
    <w:p w14:paraId="7FE0185C" w14:textId="77777777" w:rsidR="00230AAA" w:rsidRDefault="00230AAA" w:rsidP="00230AAA">
      <w:pPr>
        <w:pStyle w:val="FigureHeading"/>
        <w:spacing w:before="0"/>
      </w:pPr>
      <w:bookmarkStart w:id="47" w:name="_Toc405451007"/>
      <w:bookmarkStart w:id="48" w:name="_Toc405451571"/>
      <w:bookmarkStart w:id="49" w:name="_Toc405466109"/>
      <w:bookmarkStart w:id="50" w:name="_Toc427923459"/>
      <w:r>
        <w:t xml:space="preserve">Import visualisation, </w:t>
      </w:r>
      <w:r w:rsidR="0067252C">
        <w:t>Somalia</w:t>
      </w:r>
      <w:r>
        <w:t>, 2005 and 201</w:t>
      </w:r>
      <w:bookmarkEnd w:id="47"/>
      <w:bookmarkEnd w:id="48"/>
      <w:r>
        <w:t>2</w:t>
      </w:r>
      <w:bookmarkEnd w:id="49"/>
      <w:bookmarkEnd w:id="50"/>
    </w:p>
    <w:tbl>
      <w:tblPr>
        <w:tblStyle w:val="TableGrid"/>
        <w:tblW w:w="4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99"/>
      </w:tblGrid>
      <w:tr w:rsidR="00230AAA" w:rsidRPr="00E81E7D" w14:paraId="7FE0185E" w14:textId="77777777" w:rsidTr="00BD7D08">
        <w:trPr>
          <w:trHeight w:hRule="exact" w:val="259"/>
        </w:trPr>
        <w:tc>
          <w:tcPr>
            <w:tcW w:w="7200" w:type="dxa"/>
            <w:vAlign w:val="bottom"/>
          </w:tcPr>
          <w:p w14:paraId="7FE0185D"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7FE01860" w14:textId="77777777" w:rsidTr="00BD7D08">
        <w:trPr>
          <w:trHeight w:hRule="exact" w:val="5760"/>
        </w:trPr>
        <w:tc>
          <w:tcPr>
            <w:tcW w:w="7200" w:type="dxa"/>
          </w:tcPr>
          <w:p w14:paraId="7FE0185F" w14:textId="77777777" w:rsidR="00230AAA" w:rsidRDefault="000968BB" w:rsidP="001C4EF9">
            <w:r>
              <w:rPr>
                <w:noProof/>
                <w:lang w:eastAsia="en-GB"/>
              </w:rPr>
              <w:drawing>
                <wp:inline distT="0" distB="0" distL="0" distR="0" wp14:anchorId="7FE019DF" wp14:editId="7FE019E0">
                  <wp:extent cx="4535424" cy="36484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9951" t="31624" r="21658" b="8034"/>
                          <a:stretch/>
                        </pic:blipFill>
                        <pic:spPr bwMode="auto">
                          <a:xfrm>
                            <a:off x="0" y="0"/>
                            <a:ext cx="4535424" cy="3648456"/>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7FE01862" w14:textId="77777777" w:rsidTr="00BD7D08">
        <w:trPr>
          <w:trHeight w:hRule="exact" w:val="259"/>
        </w:trPr>
        <w:tc>
          <w:tcPr>
            <w:tcW w:w="7200" w:type="dxa"/>
            <w:vAlign w:val="bottom"/>
          </w:tcPr>
          <w:p w14:paraId="7FE01861" w14:textId="77777777" w:rsidR="00230AAA" w:rsidRDefault="00230AAA" w:rsidP="001C4EF9">
            <w:pPr>
              <w:jc w:val="center"/>
              <w:rPr>
                <w:noProof/>
                <w:lang w:eastAsia="en-GB"/>
              </w:rPr>
            </w:pPr>
            <w:r>
              <w:rPr>
                <w:rFonts w:asciiTheme="majorHAnsi" w:hAnsiTheme="majorHAnsi" w:cstheme="majorHAnsi"/>
                <w:b/>
                <w:noProof/>
                <w:sz w:val="16"/>
                <w:szCs w:val="16"/>
                <w:lang w:eastAsia="en-GB"/>
              </w:rPr>
              <w:t>2012</w:t>
            </w:r>
          </w:p>
        </w:tc>
      </w:tr>
      <w:tr w:rsidR="00230AAA" w14:paraId="7FE01864" w14:textId="77777777" w:rsidTr="00BD7D08">
        <w:trPr>
          <w:trHeight w:hRule="exact" w:val="5760"/>
        </w:trPr>
        <w:tc>
          <w:tcPr>
            <w:tcW w:w="7200" w:type="dxa"/>
          </w:tcPr>
          <w:p w14:paraId="7FE01863" w14:textId="77777777" w:rsidR="00230AAA" w:rsidRDefault="000968BB" w:rsidP="001C4EF9">
            <w:pPr>
              <w:rPr>
                <w:noProof/>
                <w:lang w:eastAsia="en-GB"/>
              </w:rPr>
            </w:pPr>
            <w:r>
              <w:rPr>
                <w:noProof/>
                <w:lang w:eastAsia="en-GB"/>
              </w:rPr>
              <w:drawing>
                <wp:inline distT="0" distB="0" distL="0" distR="0" wp14:anchorId="7FE019E1" wp14:editId="7FE019E2">
                  <wp:extent cx="4507992" cy="3685032"/>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0083" t="31111" r="21791" b="7863"/>
                          <a:stretch/>
                        </pic:blipFill>
                        <pic:spPr bwMode="auto">
                          <a:xfrm>
                            <a:off x="0" y="0"/>
                            <a:ext cx="4507992" cy="3685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E01865" w14:textId="77777777" w:rsidR="00230AAA" w:rsidRPr="00333F79" w:rsidRDefault="00BD7D08" w:rsidP="00230AAA">
      <w:pPr>
        <w:pStyle w:val="Source"/>
        <w:rPr>
          <w:lang w:val="en" w:eastAsia="en-GB"/>
        </w:rPr>
      </w:pPr>
      <w:bookmarkStart w:id="51" w:name="_Toc405451008"/>
      <w:bookmarkStart w:id="52" w:name="_Toc405451572"/>
      <w:r>
        <w:t>Source: MIT Observatory of Economic Complexity (</w:t>
      </w:r>
      <w:hyperlink r:id="rId45" w:history="1">
        <w:r w:rsidRPr="009257D9">
          <w:rPr>
            <w:rStyle w:val="Hyperlink"/>
          </w:rPr>
          <w:t>http://atlas.media.mit.edu/explore/tree_map/hs/export/rwa/all/show/2012/</w:t>
        </w:r>
      </w:hyperlink>
      <w:r>
        <w:t>).</w:t>
      </w:r>
    </w:p>
    <w:p w14:paraId="7FE01866" w14:textId="77777777" w:rsidR="00230AAA" w:rsidRDefault="00230AAA" w:rsidP="00230AAA">
      <w:pPr>
        <w:rPr>
          <w:rFonts w:ascii="Arial" w:hAnsi="Arial"/>
          <w:b/>
          <w:color w:val="006C67" w:themeColor="accent1"/>
          <w:sz w:val="24"/>
        </w:rPr>
      </w:pPr>
      <w:r>
        <w:br w:type="page"/>
      </w:r>
    </w:p>
    <w:p w14:paraId="7FE01867" w14:textId="77777777" w:rsidR="00230AAA" w:rsidRDefault="00230AAA" w:rsidP="00230AAA">
      <w:pPr>
        <w:pStyle w:val="FigureHeading"/>
        <w:spacing w:before="0"/>
      </w:pPr>
      <w:bookmarkStart w:id="53" w:name="_Toc405451009"/>
      <w:bookmarkStart w:id="54" w:name="_Toc405451573"/>
      <w:bookmarkStart w:id="55" w:name="_Toc405466111"/>
      <w:bookmarkStart w:id="56" w:name="_Toc427923460"/>
      <w:bookmarkEnd w:id="51"/>
      <w:bookmarkEnd w:id="52"/>
      <w:r>
        <w:t xml:space="preserve">Top import products, </w:t>
      </w:r>
      <w:r w:rsidR="0067252C">
        <w:t>Somalia</w:t>
      </w:r>
      <w:r>
        <w:t xml:space="preserve"> (average 2011–13</w:t>
      </w:r>
      <w:r w:rsidR="0004771B">
        <w:t>, mirror data</w:t>
      </w:r>
      <w:r>
        <w:t>)</w:t>
      </w:r>
      <w:bookmarkEnd w:id="53"/>
      <w:bookmarkEnd w:id="54"/>
      <w:bookmarkEnd w:id="55"/>
      <w:bookmarkEnd w:id="56"/>
    </w:p>
    <w:p w14:paraId="7FE01868" w14:textId="77777777" w:rsidR="006724AE" w:rsidRPr="006724AE" w:rsidRDefault="006724AE" w:rsidP="006724AE">
      <w:pPr>
        <w:pStyle w:val="BodyText"/>
      </w:pPr>
      <w:r>
        <w:rPr>
          <w:noProof/>
          <w:lang w:eastAsia="en-GB"/>
        </w:rPr>
        <w:drawing>
          <wp:inline distT="0" distB="0" distL="0" distR="0" wp14:anchorId="7FE019E3" wp14:editId="7FE019E4">
            <wp:extent cx="5074920" cy="22700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l="9633" t="4794"/>
                    <a:stretch/>
                  </pic:blipFill>
                  <pic:spPr bwMode="auto">
                    <a:xfrm>
                      <a:off x="0" y="0"/>
                      <a:ext cx="5073772" cy="2269516"/>
                    </a:xfrm>
                    <a:prstGeom prst="rect">
                      <a:avLst/>
                    </a:prstGeom>
                    <a:noFill/>
                    <a:ln>
                      <a:noFill/>
                    </a:ln>
                    <a:extLst>
                      <a:ext uri="{53640926-AAD7-44D8-BBD7-CCE9431645EC}">
                        <a14:shadowObscured xmlns:a14="http://schemas.microsoft.com/office/drawing/2010/main"/>
                      </a:ext>
                    </a:extLst>
                  </pic:spPr>
                </pic:pic>
              </a:graphicData>
            </a:graphic>
          </wp:inline>
        </w:drawing>
      </w:r>
    </w:p>
    <w:p w14:paraId="7FE01869" w14:textId="77777777" w:rsidR="00230AAA" w:rsidRDefault="00230AAA" w:rsidP="00230AAA">
      <w:pPr>
        <w:pStyle w:val="Source"/>
      </w:pPr>
      <w:r>
        <w:t>Note: At Harmonised System 6-digit level.</w:t>
      </w:r>
      <w:r>
        <w:br/>
        <w:t xml:space="preserve">Source: Authors’ calculations using data from </w:t>
      </w:r>
      <w:r w:rsidR="00FF0FCB">
        <w:t>ITC’s Trade Map.</w:t>
      </w:r>
      <w:r w:rsidR="0004771B">
        <w:t xml:space="preserve"> Note the use of mirror data, which is indicative only and should be treated with caution.</w:t>
      </w:r>
    </w:p>
    <w:p w14:paraId="7FE0186A" w14:textId="77777777" w:rsidR="001E72B4" w:rsidRDefault="001E72B4" w:rsidP="00230AAA">
      <w:pPr>
        <w:pStyle w:val="Source"/>
      </w:pPr>
    </w:p>
    <w:p w14:paraId="7FE0186B" w14:textId="77777777" w:rsidR="00230AAA" w:rsidRDefault="00230AAA" w:rsidP="00230AAA">
      <w:pPr>
        <w:pStyle w:val="FigureHeading"/>
        <w:spacing w:before="0"/>
      </w:pPr>
      <w:bookmarkStart w:id="57" w:name="_Toc405451010"/>
      <w:bookmarkStart w:id="58" w:name="_Toc405451574"/>
      <w:bookmarkStart w:id="59" w:name="_Toc405466112"/>
      <w:bookmarkStart w:id="60" w:name="_Toc427923461"/>
      <w:r>
        <w:t xml:space="preserve">Top import sources, </w:t>
      </w:r>
      <w:r w:rsidR="0067252C">
        <w:t>Somalia</w:t>
      </w:r>
      <w:r>
        <w:t xml:space="preserve"> (average 2011–13</w:t>
      </w:r>
      <w:r w:rsidR="0004771B">
        <w:t>, mirror data</w:t>
      </w:r>
      <w:r>
        <w:t>)</w:t>
      </w:r>
      <w:bookmarkEnd w:id="57"/>
      <w:bookmarkEnd w:id="58"/>
      <w:bookmarkEnd w:id="59"/>
      <w:bookmarkEnd w:id="60"/>
    </w:p>
    <w:p w14:paraId="7FE0186C" w14:textId="77777777" w:rsidR="006724AE" w:rsidRPr="006724AE" w:rsidRDefault="006724AE" w:rsidP="006724AE">
      <w:pPr>
        <w:pStyle w:val="BodyText"/>
      </w:pPr>
      <w:r>
        <w:rPr>
          <w:noProof/>
          <w:lang w:eastAsia="en-GB"/>
        </w:rPr>
        <w:drawing>
          <wp:inline distT="0" distB="0" distL="0" distR="0" wp14:anchorId="7FE019E5" wp14:editId="7FE019E6">
            <wp:extent cx="5615940" cy="217932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t="4794" b="3804"/>
                    <a:stretch/>
                  </pic:blipFill>
                  <pic:spPr bwMode="auto">
                    <a:xfrm>
                      <a:off x="0" y="0"/>
                      <a:ext cx="5614670" cy="2178827"/>
                    </a:xfrm>
                    <a:prstGeom prst="rect">
                      <a:avLst/>
                    </a:prstGeom>
                    <a:noFill/>
                    <a:ln>
                      <a:noFill/>
                    </a:ln>
                    <a:extLst>
                      <a:ext uri="{53640926-AAD7-44D8-BBD7-CCE9431645EC}">
                        <a14:shadowObscured xmlns:a14="http://schemas.microsoft.com/office/drawing/2010/main"/>
                      </a:ext>
                    </a:extLst>
                  </pic:spPr>
                </pic:pic>
              </a:graphicData>
            </a:graphic>
          </wp:inline>
        </w:drawing>
      </w:r>
    </w:p>
    <w:p w14:paraId="7FE0186D" w14:textId="77777777" w:rsidR="001E72B4" w:rsidRDefault="00230AAA" w:rsidP="001E6C72">
      <w:pPr>
        <w:pStyle w:val="Source"/>
      </w:pPr>
      <w:r>
        <w:t xml:space="preserve">Source: Authors’ calculations using data from </w:t>
      </w:r>
      <w:r w:rsidR="00FF0FCB">
        <w:t>ITC’s Trade Map.</w:t>
      </w:r>
      <w:r w:rsidR="0004771B">
        <w:t xml:space="preserve"> Note the use of mirror data, which is indicative only and should be treated with caution.</w:t>
      </w:r>
    </w:p>
    <w:p w14:paraId="7FE0186E" w14:textId="77777777" w:rsidR="001E72B4" w:rsidRDefault="001E72B4">
      <w:pPr>
        <w:rPr>
          <w:rFonts w:ascii="Arial" w:hAnsi="Arial"/>
          <w:i/>
          <w:sz w:val="16"/>
        </w:rPr>
      </w:pPr>
      <w:r>
        <w:br w:type="page"/>
      </w:r>
    </w:p>
    <w:p w14:paraId="7FE0186F" w14:textId="77777777" w:rsidR="00A34431" w:rsidRDefault="001E72B4" w:rsidP="001E72B4">
      <w:pPr>
        <w:pStyle w:val="Heading2"/>
      </w:pPr>
      <w:bookmarkStart w:id="61" w:name="_Toc427923462"/>
      <w:r>
        <w:t>Diversification</w:t>
      </w:r>
      <w:bookmarkEnd w:id="61"/>
    </w:p>
    <w:p w14:paraId="7FE01870" w14:textId="77777777" w:rsidR="001E72B4" w:rsidRDefault="001E72B4" w:rsidP="001E72B4">
      <w:pPr>
        <w:pStyle w:val="FigureHeading"/>
        <w:spacing w:before="0"/>
      </w:pPr>
      <w:bookmarkStart w:id="62" w:name="_Toc427923463"/>
      <w:r>
        <w:t>Export diversification index, Somalia, 1965–2010</w:t>
      </w:r>
      <w:bookmarkEnd w:id="62"/>
    </w:p>
    <w:p w14:paraId="7FE01871" w14:textId="77777777" w:rsidR="001E72B4" w:rsidRPr="0067252C" w:rsidRDefault="001E72B4" w:rsidP="001E72B4">
      <w:pPr>
        <w:pStyle w:val="BodyText"/>
        <w:spacing w:before="39" w:after="0" w:line="240" w:lineRule="auto"/>
        <w:jc w:val="left"/>
      </w:pPr>
      <w:r>
        <w:rPr>
          <w:noProof/>
          <w:lang w:eastAsia="en-GB"/>
        </w:rPr>
        <w:drawing>
          <wp:inline distT="0" distB="0" distL="0" distR="0" wp14:anchorId="7FE019E7" wp14:editId="7FE019E8">
            <wp:extent cx="41148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E01872" w14:textId="77777777" w:rsidR="001E72B4" w:rsidRDefault="001E72B4" w:rsidP="001E72B4">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49" w:history="1">
        <w:r w:rsidRPr="005C6F94">
          <w:rPr>
            <w:rStyle w:val="Hyperlink"/>
          </w:rPr>
          <w:t>http://www.imf.org/external/np/res/dfidimf/diversification.htm</w:t>
        </w:r>
      </w:hyperlink>
      <w:r>
        <w:t xml:space="preserve">): Export Diversification Database. </w:t>
      </w:r>
    </w:p>
    <w:p w14:paraId="7FE01873" w14:textId="77777777" w:rsidR="009D51C0" w:rsidRDefault="009D51C0" w:rsidP="001E72B4">
      <w:pPr>
        <w:pStyle w:val="Source"/>
      </w:pPr>
    </w:p>
    <w:p w14:paraId="7FE01874" w14:textId="77777777" w:rsidR="001E72B4" w:rsidRDefault="001E72B4" w:rsidP="001E72B4">
      <w:pPr>
        <w:pStyle w:val="FigureHeading"/>
      </w:pPr>
      <w:bookmarkStart w:id="63" w:name="_Toc406411726"/>
      <w:bookmarkStart w:id="64" w:name="_Toc427923464"/>
      <w:r>
        <w:t>Export quality index, Somalia, 1970–2010</w:t>
      </w:r>
      <w:bookmarkEnd w:id="63"/>
      <w:bookmarkEnd w:id="64"/>
    </w:p>
    <w:p w14:paraId="7FE01875" w14:textId="77777777" w:rsidR="001E72B4" w:rsidRPr="00525CC1" w:rsidRDefault="001E72B4" w:rsidP="001E72B4">
      <w:pPr>
        <w:pStyle w:val="BodyText"/>
      </w:pPr>
      <w:r>
        <w:rPr>
          <w:noProof/>
          <w:lang w:eastAsia="en-GB"/>
        </w:rPr>
        <w:drawing>
          <wp:inline distT="0" distB="0" distL="0" distR="0" wp14:anchorId="7FE019E9" wp14:editId="7FE019EA">
            <wp:extent cx="5613400" cy="2743200"/>
            <wp:effectExtent l="0" t="0" r="63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FE01876" w14:textId="77777777" w:rsidR="001E72B4" w:rsidRDefault="001E72B4" w:rsidP="001E72B4">
      <w:pPr>
        <w:pStyle w:val="Source"/>
      </w:pPr>
      <w:r>
        <w:t>Source: DFID–IMF Diversification Toolkit (</w:t>
      </w:r>
      <w:hyperlink r:id="rId51" w:history="1">
        <w:r w:rsidRPr="005C6F94">
          <w:rPr>
            <w:rStyle w:val="Hyperlink"/>
          </w:rPr>
          <w:t>http://www.imf.org/external/np/res/dfidimf/diversification.htm</w:t>
        </w:r>
      </w:hyperlink>
      <w:r>
        <w:t xml:space="preserve">): Export Quality Database. </w:t>
      </w:r>
    </w:p>
    <w:p w14:paraId="7FE01877" w14:textId="77777777" w:rsidR="001E72B4" w:rsidRDefault="001E72B4">
      <w:r>
        <w:br w:type="page"/>
      </w:r>
    </w:p>
    <w:p w14:paraId="7FE01878" w14:textId="77777777" w:rsidR="001E72B4" w:rsidRDefault="001E72B4" w:rsidP="001E72B4">
      <w:pPr>
        <w:pStyle w:val="FigureHeading"/>
        <w:spacing w:before="0"/>
      </w:pPr>
      <w:bookmarkStart w:id="65" w:name="_Toc405466104"/>
      <w:bookmarkStart w:id="66" w:name="_Toc427923465"/>
      <w:r>
        <w:t>Number of export items and markets, Somalia, 2005–13</w:t>
      </w:r>
      <w:bookmarkEnd w:id="65"/>
      <w:r>
        <w:t xml:space="preserve"> (mirror data)</w:t>
      </w:r>
      <w:bookmarkEnd w:id="66"/>
    </w:p>
    <w:p w14:paraId="7FE01879" w14:textId="77777777" w:rsidR="001E72B4" w:rsidRPr="0067252C" w:rsidRDefault="001E72B4" w:rsidP="001E72B4">
      <w:pPr>
        <w:pStyle w:val="BodyText"/>
        <w:spacing w:before="39" w:after="0" w:line="240" w:lineRule="auto"/>
        <w:jc w:val="left"/>
      </w:pPr>
      <w:r>
        <w:rPr>
          <w:noProof/>
          <w:lang w:eastAsia="en-GB"/>
        </w:rPr>
        <w:drawing>
          <wp:inline distT="0" distB="0" distL="0" distR="0" wp14:anchorId="7FE019EB" wp14:editId="7FE019EC">
            <wp:extent cx="4572000" cy="2286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FE0187A" w14:textId="77777777" w:rsidR="001E72B4" w:rsidRDefault="001E72B4" w:rsidP="001E72B4">
      <w:pPr>
        <w:pStyle w:val="Source"/>
      </w:pPr>
      <w:r>
        <w:t>Note: EU countries counted individually.</w:t>
      </w:r>
      <w:r>
        <w:br/>
        <w:t>Source: Authors’ calculation using data from ITC’s Trade Map.</w:t>
      </w:r>
      <w:r w:rsidRPr="007E6C16">
        <w:t xml:space="preserve"> </w:t>
      </w:r>
      <w:r>
        <w:t>Note the use of mirror data, which is indicative only and should be treated with caution. In particular, as countries report their data in different versions of the Harmonised System, virtually identical products may have had different codes during the period covered in the graph, and thus be duplicated in the subhead count plotted above.</w:t>
      </w:r>
    </w:p>
    <w:p w14:paraId="7FE0187B" w14:textId="77777777" w:rsidR="009D51C0" w:rsidRDefault="009D51C0" w:rsidP="001E72B4">
      <w:pPr>
        <w:pStyle w:val="Source"/>
      </w:pPr>
    </w:p>
    <w:p w14:paraId="7FE0187C" w14:textId="77777777" w:rsidR="001E72B4" w:rsidRDefault="001E72B4" w:rsidP="001E72B4">
      <w:pPr>
        <w:pStyle w:val="FigureHeading"/>
        <w:spacing w:before="0"/>
      </w:pPr>
      <w:bookmarkStart w:id="67" w:name="_Toc405466110"/>
      <w:bookmarkStart w:id="68" w:name="_Toc427923466"/>
      <w:r>
        <w:t>Number of import items and suppliers, Somalia, 2005–13</w:t>
      </w:r>
      <w:bookmarkEnd w:id="67"/>
      <w:r>
        <w:t xml:space="preserve"> (mirror data)</w:t>
      </w:r>
      <w:bookmarkEnd w:id="68"/>
    </w:p>
    <w:p w14:paraId="7FE0187D" w14:textId="77777777" w:rsidR="001E72B4" w:rsidRPr="000968BB" w:rsidRDefault="001E72B4" w:rsidP="001E72B4">
      <w:pPr>
        <w:pStyle w:val="BodyText"/>
        <w:spacing w:before="39" w:after="0" w:line="240" w:lineRule="auto"/>
        <w:jc w:val="left"/>
      </w:pPr>
      <w:r>
        <w:rPr>
          <w:noProof/>
          <w:lang w:eastAsia="en-GB"/>
        </w:rPr>
        <w:drawing>
          <wp:inline distT="0" distB="0" distL="0" distR="0" wp14:anchorId="7FE019ED" wp14:editId="7FE019EE">
            <wp:extent cx="4572000" cy="2286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FE0187E" w14:textId="77777777" w:rsidR="001E72B4" w:rsidRDefault="001E72B4" w:rsidP="001E72B4">
      <w:pPr>
        <w:pStyle w:val="Source"/>
        <w:spacing w:before="0"/>
      </w:pPr>
      <w:r>
        <w:t>Note: EU countries counted individually.</w:t>
      </w:r>
      <w:r>
        <w:br/>
        <w:t>Source: Authors’ calculation using data from ITC’s Trade Map.</w:t>
      </w:r>
      <w:r w:rsidRPr="00D004A5">
        <w:t xml:space="preserve"> </w:t>
      </w:r>
      <w:r>
        <w:t>In particular, as countries report their data in different versions of the Harmonised System, virtually identical products may have had different codes during the period covered in the graph, and thus be duplicated in the subhead count plotted above.</w:t>
      </w:r>
    </w:p>
    <w:p w14:paraId="7FE0187F" w14:textId="77777777" w:rsidR="001E72B4" w:rsidRDefault="001E72B4">
      <w:r>
        <w:br w:type="page"/>
      </w:r>
    </w:p>
    <w:p w14:paraId="7FE01880" w14:textId="77777777" w:rsidR="00C95BB2" w:rsidRDefault="00C95BB2">
      <w:pPr>
        <w:rPr>
          <w:rFonts w:ascii="Arial" w:eastAsia="Times New Roman" w:hAnsi="Arial"/>
          <w:b/>
          <w:color w:val="006C67" w:themeColor="accent1"/>
          <w:sz w:val="28"/>
          <w:szCs w:val="26"/>
        </w:rPr>
      </w:pPr>
      <w:bookmarkStart w:id="69" w:name="_Toc408311614"/>
      <w:r>
        <w:br w:type="page"/>
      </w:r>
    </w:p>
    <w:p w14:paraId="7FE01881" w14:textId="77777777" w:rsidR="00C95BB2" w:rsidRDefault="00C95BB2" w:rsidP="00C95BB2">
      <w:pPr>
        <w:pStyle w:val="Heading2"/>
      </w:pPr>
      <w:bookmarkStart w:id="70" w:name="_Toc409172708"/>
      <w:bookmarkStart w:id="71" w:name="_Toc409174188"/>
      <w:bookmarkStart w:id="72" w:name="_Toc409179346"/>
      <w:bookmarkStart w:id="73" w:name="_Toc427923467"/>
      <w:r>
        <w:t>Revealed comparative advantage</w:t>
      </w:r>
      <w:bookmarkEnd w:id="70"/>
      <w:bookmarkEnd w:id="71"/>
      <w:bookmarkEnd w:id="72"/>
      <w:bookmarkEnd w:id="73"/>
    </w:p>
    <w:p w14:paraId="7FE01882" w14:textId="77777777" w:rsidR="00C95BB2" w:rsidRPr="0063355C" w:rsidRDefault="00C95BB2" w:rsidP="00C95BB2">
      <w:pPr>
        <w:pStyle w:val="TableHeading"/>
      </w:pPr>
      <w:bookmarkStart w:id="74" w:name="_Toc409172709"/>
      <w:bookmarkStart w:id="75" w:name="_Toc409174189"/>
      <w:bookmarkStart w:id="76" w:name="_Toc409179347"/>
      <w:bookmarkStart w:id="77" w:name="_Toc427923468"/>
      <w:r>
        <w:t xml:space="preserve">Revealed comparative advantage by HS Section, </w:t>
      </w:r>
      <w:bookmarkEnd w:id="74"/>
      <w:bookmarkEnd w:id="75"/>
      <w:bookmarkEnd w:id="76"/>
      <w:r>
        <w:t>Somalia (mirror data)</w:t>
      </w:r>
      <w:bookmarkEnd w:id="77"/>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71"/>
        <w:gridCol w:w="3883"/>
        <w:gridCol w:w="487"/>
        <w:gridCol w:w="487"/>
        <w:gridCol w:w="487"/>
        <w:gridCol w:w="488"/>
        <w:gridCol w:w="487"/>
        <w:gridCol w:w="487"/>
        <w:gridCol w:w="488"/>
        <w:gridCol w:w="487"/>
        <w:gridCol w:w="488"/>
      </w:tblGrid>
      <w:tr w:rsidR="00C95BB2" w:rsidRPr="0063355C" w14:paraId="7FE0188E" w14:textId="77777777" w:rsidTr="00A02740">
        <w:trPr>
          <w:trHeight w:val="240"/>
        </w:trPr>
        <w:tc>
          <w:tcPr>
            <w:tcW w:w="571" w:type="dxa"/>
            <w:shd w:val="clear" w:color="auto" w:fill="E0E0E0" w:themeFill="accent4"/>
            <w:hideMark/>
          </w:tcPr>
          <w:p w14:paraId="7FE01883" w14:textId="77777777" w:rsidR="00C95BB2" w:rsidRPr="0063355C" w:rsidRDefault="00C95BB2" w:rsidP="00A0274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7FE01884" w14:textId="77777777" w:rsidR="00C95BB2" w:rsidRPr="0063355C" w:rsidRDefault="00C95BB2" w:rsidP="00A02740">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7FE01885" w14:textId="77777777" w:rsidR="00C95BB2" w:rsidRPr="0063355C" w:rsidRDefault="00C95BB2" w:rsidP="00A02740">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7FE01886" w14:textId="77777777" w:rsidR="00C95BB2" w:rsidRPr="0063355C" w:rsidRDefault="00C95BB2" w:rsidP="00A0274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7FE01887" w14:textId="77777777" w:rsidR="00C95BB2" w:rsidRPr="0063355C" w:rsidRDefault="00C95BB2" w:rsidP="00A0274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7FE01888" w14:textId="77777777" w:rsidR="00C95BB2" w:rsidRPr="0063355C" w:rsidRDefault="00C95BB2" w:rsidP="00A0274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7FE01889" w14:textId="77777777" w:rsidR="00C95BB2" w:rsidRPr="0063355C" w:rsidRDefault="00C95BB2" w:rsidP="00A0274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7FE0188A" w14:textId="77777777" w:rsidR="00C95BB2" w:rsidRPr="0063355C" w:rsidRDefault="00C95BB2" w:rsidP="00A0274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7FE0188B" w14:textId="77777777" w:rsidR="00C95BB2" w:rsidRPr="0063355C" w:rsidRDefault="00C95BB2" w:rsidP="00A0274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7FE0188C" w14:textId="77777777" w:rsidR="00C95BB2" w:rsidRPr="0063355C" w:rsidRDefault="00C95BB2" w:rsidP="00A0274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488" w:type="dxa"/>
            <w:shd w:val="clear" w:color="auto" w:fill="E0E0E0" w:themeFill="accent4"/>
            <w:hideMark/>
          </w:tcPr>
          <w:p w14:paraId="7FE0188D" w14:textId="77777777" w:rsidR="00C95BB2" w:rsidRPr="0063355C" w:rsidRDefault="00C95BB2" w:rsidP="00A02740">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C95BB2" w:rsidRPr="0063355C" w14:paraId="7FE0189A" w14:textId="77777777" w:rsidTr="00A02740">
        <w:trPr>
          <w:trHeight w:val="240"/>
        </w:trPr>
        <w:tc>
          <w:tcPr>
            <w:tcW w:w="571" w:type="dxa"/>
            <w:shd w:val="clear" w:color="auto" w:fill="auto"/>
            <w:noWrap/>
            <w:hideMark/>
          </w:tcPr>
          <w:p w14:paraId="7FE0188F" w14:textId="77777777" w:rsidR="00C95BB2" w:rsidRPr="0063355C" w:rsidRDefault="00C95BB2" w:rsidP="00C95BB2">
            <w:pPr>
              <w:spacing w:line="20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7FE01890" w14:textId="77777777" w:rsidR="00C95BB2" w:rsidRPr="0063355C" w:rsidRDefault="00C95BB2" w:rsidP="00C95BB2">
            <w:pPr>
              <w:spacing w:line="20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7FE01891" w14:textId="77777777" w:rsidR="00C95BB2" w:rsidRPr="00C95BB2" w:rsidRDefault="00C95BB2" w:rsidP="00C95BB2">
            <w:pPr>
              <w:spacing w:line="200" w:lineRule="atLeast"/>
              <w:jc w:val="center"/>
              <w:rPr>
                <w:rFonts w:ascii="Arial" w:eastAsia="Times New Roman" w:hAnsi="Arial" w:cs="Arial"/>
                <w:b/>
                <w:bCs/>
                <w:color w:val="000000"/>
                <w:sz w:val="16"/>
                <w:szCs w:val="18"/>
                <w:lang w:eastAsia="en-GB"/>
              </w:rPr>
            </w:pPr>
            <w:r w:rsidRPr="00C95BB2">
              <w:rPr>
                <w:rFonts w:ascii="Arial" w:eastAsia="Times New Roman" w:hAnsi="Arial" w:cs="Arial"/>
                <w:b/>
                <w:bCs/>
                <w:color w:val="000000"/>
                <w:sz w:val="16"/>
                <w:szCs w:val="18"/>
                <w:lang w:eastAsia="en-GB"/>
              </w:rPr>
              <w:t>1.00</w:t>
            </w:r>
          </w:p>
        </w:tc>
        <w:tc>
          <w:tcPr>
            <w:tcW w:w="487" w:type="dxa"/>
            <w:shd w:val="clear" w:color="auto" w:fill="auto"/>
            <w:noWrap/>
            <w:vAlign w:val="center"/>
          </w:tcPr>
          <w:p w14:paraId="7FE01892" w14:textId="77777777" w:rsidR="00C95BB2" w:rsidRPr="00C95BB2" w:rsidRDefault="00C95BB2" w:rsidP="00C95BB2">
            <w:pPr>
              <w:spacing w:line="200" w:lineRule="atLeast"/>
              <w:jc w:val="center"/>
              <w:rPr>
                <w:rFonts w:ascii="Arial" w:eastAsia="Times New Roman" w:hAnsi="Arial" w:cs="Arial"/>
                <w:b/>
                <w:bCs/>
                <w:color w:val="000000"/>
                <w:sz w:val="16"/>
                <w:szCs w:val="18"/>
                <w:lang w:eastAsia="en-GB"/>
              </w:rPr>
            </w:pPr>
            <w:r w:rsidRPr="00C95BB2">
              <w:rPr>
                <w:rFonts w:ascii="Arial" w:eastAsia="Times New Roman" w:hAnsi="Arial" w:cs="Arial"/>
                <w:b/>
                <w:bCs/>
                <w:color w:val="000000"/>
                <w:sz w:val="16"/>
                <w:szCs w:val="18"/>
                <w:lang w:eastAsia="en-GB"/>
              </w:rPr>
              <w:t>1.00</w:t>
            </w:r>
          </w:p>
        </w:tc>
        <w:tc>
          <w:tcPr>
            <w:tcW w:w="487" w:type="dxa"/>
            <w:shd w:val="clear" w:color="auto" w:fill="auto"/>
            <w:noWrap/>
            <w:vAlign w:val="center"/>
          </w:tcPr>
          <w:p w14:paraId="7FE01893" w14:textId="77777777" w:rsidR="00C95BB2" w:rsidRPr="00C95BB2" w:rsidRDefault="00C95BB2" w:rsidP="00C95BB2">
            <w:pPr>
              <w:spacing w:line="200" w:lineRule="atLeast"/>
              <w:jc w:val="center"/>
              <w:rPr>
                <w:rFonts w:ascii="Arial" w:eastAsia="Times New Roman" w:hAnsi="Arial" w:cs="Arial"/>
                <w:b/>
                <w:bCs/>
                <w:color w:val="000000"/>
                <w:sz w:val="16"/>
                <w:szCs w:val="18"/>
                <w:lang w:eastAsia="en-GB"/>
              </w:rPr>
            </w:pPr>
            <w:r w:rsidRPr="00C95BB2">
              <w:rPr>
                <w:rFonts w:ascii="Arial" w:eastAsia="Times New Roman" w:hAnsi="Arial" w:cs="Arial"/>
                <w:b/>
                <w:bCs/>
                <w:color w:val="000000"/>
                <w:sz w:val="16"/>
                <w:szCs w:val="18"/>
                <w:lang w:eastAsia="en-GB"/>
              </w:rPr>
              <w:t>1.00</w:t>
            </w:r>
          </w:p>
        </w:tc>
        <w:tc>
          <w:tcPr>
            <w:tcW w:w="488" w:type="dxa"/>
            <w:shd w:val="clear" w:color="auto" w:fill="auto"/>
            <w:noWrap/>
            <w:vAlign w:val="center"/>
          </w:tcPr>
          <w:p w14:paraId="7FE01894" w14:textId="77777777" w:rsidR="00C95BB2" w:rsidRPr="00C95BB2" w:rsidRDefault="00C95BB2" w:rsidP="00C95BB2">
            <w:pPr>
              <w:spacing w:line="200" w:lineRule="atLeast"/>
              <w:jc w:val="center"/>
              <w:rPr>
                <w:rFonts w:ascii="Arial" w:eastAsia="Times New Roman" w:hAnsi="Arial" w:cs="Arial"/>
                <w:b/>
                <w:bCs/>
                <w:color w:val="000000"/>
                <w:sz w:val="16"/>
                <w:szCs w:val="18"/>
                <w:lang w:eastAsia="en-GB"/>
              </w:rPr>
            </w:pPr>
            <w:r w:rsidRPr="00C95BB2">
              <w:rPr>
                <w:rFonts w:ascii="Arial" w:eastAsia="Times New Roman" w:hAnsi="Arial" w:cs="Arial"/>
                <w:b/>
                <w:bCs/>
                <w:color w:val="000000"/>
                <w:sz w:val="16"/>
                <w:szCs w:val="18"/>
                <w:lang w:eastAsia="en-GB"/>
              </w:rPr>
              <w:t>1.00</w:t>
            </w:r>
          </w:p>
        </w:tc>
        <w:tc>
          <w:tcPr>
            <w:tcW w:w="487" w:type="dxa"/>
            <w:shd w:val="clear" w:color="auto" w:fill="auto"/>
            <w:noWrap/>
            <w:vAlign w:val="center"/>
          </w:tcPr>
          <w:p w14:paraId="7FE01895" w14:textId="77777777" w:rsidR="00C95BB2" w:rsidRPr="00C95BB2" w:rsidRDefault="00C95BB2" w:rsidP="00C95BB2">
            <w:pPr>
              <w:spacing w:line="200" w:lineRule="atLeast"/>
              <w:jc w:val="center"/>
              <w:rPr>
                <w:rFonts w:ascii="Arial" w:eastAsia="Times New Roman" w:hAnsi="Arial" w:cs="Arial"/>
                <w:b/>
                <w:bCs/>
                <w:color w:val="000000"/>
                <w:sz w:val="16"/>
                <w:szCs w:val="18"/>
                <w:lang w:eastAsia="en-GB"/>
              </w:rPr>
            </w:pPr>
            <w:r w:rsidRPr="00C95BB2">
              <w:rPr>
                <w:rFonts w:ascii="Arial" w:eastAsia="Times New Roman" w:hAnsi="Arial" w:cs="Arial"/>
                <w:b/>
                <w:bCs/>
                <w:color w:val="000000"/>
                <w:sz w:val="16"/>
                <w:szCs w:val="18"/>
                <w:lang w:eastAsia="en-GB"/>
              </w:rPr>
              <w:t>1.00</w:t>
            </w:r>
          </w:p>
        </w:tc>
        <w:tc>
          <w:tcPr>
            <w:tcW w:w="487" w:type="dxa"/>
            <w:shd w:val="clear" w:color="auto" w:fill="auto"/>
            <w:noWrap/>
            <w:vAlign w:val="center"/>
          </w:tcPr>
          <w:p w14:paraId="7FE01896" w14:textId="77777777" w:rsidR="00C95BB2" w:rsidRPr="00C95BB2" w:rsidRDefault="00C95BB2" w:rsidP="00C95BB2">
            <w:pPr>
              <w:spacing w:line="200" w:lineRule="atLeast"/>
              <w:jc w:val="center"/>
              <w:rPr>
                <w:rFonts w:ascii="Arial" w:eastAsia="Times New Roman" w:hAnsi="Arial" w:cs="Arial"/>
                <w:b/>
                <w:bCs/>
                <w:color w:val="000000"/>
                <w:sz w:val="16"/>
                <w:szCs w:val="18"/>
                <w:lang w:eastAsia="en-GB"/>
              </w:rPr>
            </w:pPr>
            <w:r w:rsidRPr="00C95BB2">
              <w:rPr>
                <w:rFonts w:ascii="Arial" w:eastAsia="Times New Roman" w:hAnsi="Arial" w:cs="Arial"/>
                <w:b/>
                <w:bCs/>
                <w:color w:val="000000"/>
                <w:sz w:val="16"/>
                <w:szCs w:val="18"/>
                <w:lang w:eastAsia="en-GB"/>
              </w:rPr>
              <w:t>1.00</w:t>
            </w:r>
          </w:p>
        </w:tc>
        <w:tc>
          <w:tcPr>
            <w:tcW w:w="488" w:type="dxa"/>
            <w:shd w:val="clear" w:color="auto" w:fill="auto"/>
            <w:noWrap/>
            <w:vAlign w:val="center"/>
          </w:tcPr>
          <w:p w14:paraId="7FE01897" w14:textId="77777777" w:rsidR="00C95BB2" w:rsidRPr="00C95BB2" w:rsidRDefault="00C95BB2" w:rsidP="00C95BB2">
            <w:pPr>
              <w:spacing w:line="200" w:lineRule="atLeast"/>
              <w:jc w:val="center"/>
              <w:rPr>
                <w:rFonts w:ascii="Arial" w:eastAsia="Times New Roman" w:hAnsi="Arial" w:cs="Arial"/>
                <w:b/>
                <w:bCs/>
                <w:color w:val="000000"/>
                <w:sz w:val="16"/>
                <w:szCs w:val="18"/>
                <w:lang w:eastAsia="en-GB"/>
              </w:rPr>
            </w:pPr>
            <w:r w:rsidRPr="00C95BB2">
              <w:rPr>
                <w:rFonts w:ascii="Arial" w:eastAsia="Times New Roman" w:hAnsi="Arial" w:cs="Arial"/>
                <w:b/>
                <w:bCs/>
                <w:color w:val="000000"/>
                <w:sz w:val="16"/>
                <w:szCs w:val="18"/>
                <w:lang w:eastAsia="en-GB"/>
              </w:rPr>
              <w:t>1.00</w:t>
            </w:r>
          </w:p>
        </w:tc>
        <w:tc>
          <w:tcPr>
            <w:tcW w:w="487" w:type="dxa"/>
            <w:shd w:val="clear" w:color="auto" w:fill="auto"/>
            <w:noWrap/>
            <w:vAlign w:val="center"/>
          </w:tcPr>
          <w:p w14:paraId="7FE01898" w14:textId="77777777" w:rsidR="00C95BB2" w:rsidRPr="00C95BB2" w:rsidRDefault="00C95BB2" w:rsidP="00C95BB2">
            <w:pPr>
              <w:spacing w:line="200" w:lineRule="atLeast"/>
              <w:jc w:val="center"/>
              <w:rPr>
                <w:rFonts w:ascii="Arial" w:eastAsia="Times New Roman" w:hAnsi="Arial" w:cs="Arial"/>
                <w:b/>
                <w:bCs/>
                <w:color w:val="000000"/>
                <w:sz w:val="16"/>
                <w:szCs w:val="18"/>
                <w:lang w:eastAsia="en-GB"/>
              </w:rPr>
            </w:pPr>
            <w:r w:rsidRPr="00C95BB2">
              <w:rPr>
                <w:rFonts w:ascii="Arial" w:eastAsia="Times New Roman" w:hAnsi="Arial" w:cs="Arial"/>
                <w:b/>
                <w:bCs/>
                <w:color w:val="000000"/>
                <w:sz w:val="16"/>
                <w:szCs w:val="18"/>
                <w:lang w:eastAsia="en-GB"/>
              </w:rPr>
              <w:t>1.00</w:t>
            </w:r>
          </w:p>
        </w:tc>
        <w:tc>
          <w:tcPr>
            <w:tcW w:w="488" w:type="dxa"/>
            <w:shd w:val="clear" w:color="auto" w:fill="auto"/>
            <w:noWrap/>
            <w:vAlign w:val="center"/>
          </w:tcPr>
          <w:p w14:paraId="7FE01899" w14:textId="77777777" w:rsidR="00C95BB2" w:rsidRPr="00C95BB2" w:rsidRDefault="00C95BB2" w:rsidP="00C95BB2">
            <w:pPr>
              <w:spacing w:line="200" w:lineRule="atLeast"/>
              <w:jc w:val="center"/>
              <w:rPr>
                <w:rFonts w:ascii="Arial" w:eastAsia="Times New Roman" w:hAnsi="Arial" w:cs="Arial"/>
                <w:b/>
                <w:bCs/>
                <w:color w:val="000000"/>
                <w:sz w:val="16"/>
                <w:szCs w:val="18"/>
                <w:lang w:eastAsia="en-GB"/>
              </w:rPr>
            </w:pPr>
            <w:r w:rsidRPr="00C95BB2">
              <w:rPr>
                <w:rFonts w:ascii="Arial" w:eastAsia="Times New Roman" w:hAnsi="Arial" w:cs="Arial"/>
                <w:b/>
                <w:bCs/>
                <w:color w:val="000000"/>
                <w:sz w:val="16"/>
                <w:szCs w:val="18"/>
                <w:lang w:eastAsia="en-GB"/>
              </w:rPr>
              <w:t>1.00</w:t>
            </w:r>
          </w:p>
        </w:tc>
      </w:tr>
      <w:tr w:rsidR="00C95BB2" w:rsidRPr="0063355C" w14:paraId="7FE018A6" w14:textId="77777777" w:rsidTr="00A02740">
        <w:trPr>
          <w:trHeight w:val="240"/>
        </w:trPr>
        <w:tc>
          <w:tcPr>
            <w:tcW w:w="571" w:type="dxa"/>
            <w:shd w:val="clear" w:color="auto" w:fill="auto"/>
            <w:noWrap/>
            <w:hideMark/>
          </w:tcPr>
          <w:p w14:paraId="7FE0189B"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7FE0189C"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7FE0189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38.44</w:t>
            </w:r>
          </w:p>
        </w:tc>
        <w:tc>
          <w:tcPr>
            <w:tcW w:w="487" w:type="dxa"/>
            <w:shd w:val="clear" w:color="auto" w:fill="auto"/>
            <w:noWrap/>
            <w:vAlign w:val="center"/>
          </w:tcPr>
          <w:p w14:paraId="7FE0189E"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32.32</w:t>
            </w:r>
          </w:p>
        </w:tc>
        <w:tc>
          <w:tcPr>
            <w:tcW w:w="487" w:type="dxa"/>
            <w:shd w:val="clear" w:color="auto" w:fill="auto"/>
            <w:noWrap/>
            <w:vAlign w:val="center"/>
          </w:tcPr>
          <w:p w14:paraId="7FE0189F"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25.58</w:t>
            </w:r>
          </w:p>
        </w:tc>
        <w:tc>
          <w:tcPr>
            <w:tcW w:w="488" w:type="dxa"/>
            <w:shd w:val="clear" w:color="auto" w:fill="auto"/>
            <w:noWrap/>
            <w:vAlign w:val="center"/>
          </w:tcPr>
          <w:p w14:paraId="7FE018A0"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23.10</w:t>
            </w:r>
          </w:p>
        </w:tc>
        <w:tc>
          <w:tcPr>
            <w:tcW w:w="487" w:type="dxa"/>
            <w:shd w:val="clear" w:color="auto" w:fill="auto"/>
            <w:noWrap/>
            <w:vAlign w:val="center"/>
          </w:tcPr>
          <w:p w14:paraId="7FE018A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37.13</w:t>
            </w:r>
          </w:p>
        </w:tc>
        <w:tc>
          <w:tcPr>
            <w:tcW w:w="487" w:type="dxa"/>
            <w:shd w:val="clear" w:color="auto" w:fill="auto"/>
            <w:noWrap/>
            <w:vAlign w:val="center"/>
          </w:tcPr>
          <w:p w14:paraId="7FE018A2"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43.40</w:t>
            </w:r>
          </w:p>
        </w:tc>
        <w:tc>
          <w:tcPr>
            <w:tcW w:w="488" w:type="dxa"/>
            <w:shd w:val="clear" w:color="auto" w:fill="auto"/>
            <w:noWrap/>
            <w:vAlign w:val="center"/>
          </w:tcPr>
          <w:p w14:paraId="7FE018A3"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41.05</w:t>
            </w:r>
          </w:p>
        </w:tc>
        <w:tc>
          <w:tcPr>
            <w:tcW w:w="487" w:type="dxa"/>
            <w:shd w:val="clear" w:color="auto" w:fill="auto"/>
            <w:noWrap/>
            <w:vAlign w:val="center"/>
          </w:tcPr>
          <w:p w14:paraId="7FE018A4"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43.72</w:t>
            </w:r>
          </w:p>
        </w:tc>
        <w:tc>
          <w:tcPr>
            <w:tcW w:w="488" w:type="dxa"/>
            <w:shd w:val="clear" w:color="auto" w:fill="auto"/>
            <w:noWrap/>
            <w:vAlign w:val="center"/>
          </w:tcPr>
          <w:p w14:paraId="7FE018A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40.53</w:t>
            </w:r>
          </w:p>
        </w:tc>
      </w:tr>
      <w:tr w:rsidR="00C95BB2" w:rsidRPr="0063355C" w14:paraId="7FE018B2" w14:textId="77777777" w:rsidTr="00A02740">
        <w:trPr>
          <w:trHeight w:val="240"/>
        </w:trPr>
        <w:tc>
          <w:tcPr>
            <w:tcW w:w="571" w:type="dxa"/>
            <w:shd w:val="clear" w:color="auto" w:fill="auto"/>
            <w:noWrap/>
            <w:hideMark/>
          </w:tcPr>
          <w:p w14:paraId="7FE018A7"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7FE018A8"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7FE018A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1.46</w:t>
            </w:r>
          </w:p>
        </w:tc>
        <w:tc>
          <w:tcPr>
            <w:tcW w:w="487" w:type="dxa"/>
            <w:shd w:val="clear" w:color="auto" w:fill="auto"/>
            <w:noWrap/>
            <w:vAlign w:val="center"/>
          </w:tcPr>
          <w:p w14:paraId="7FE018AA"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2.93</w:t>
            </w:r>
          </w:p>
        </w:tc>
        <w:tc>
          <w:tcPr>
            <w:tcW w:w="487" w:type="dxa"/>
            <w:shd w:val="clear" w:color="auto" w:fill="auto"/>
            <w:noWrap/>
            <w:vAlign w:val="center"/>
          </w:tcPr>
          <w:p w14:paraId="7FE018AB"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1.71</w:t>
            </w:r>
          </w:p>
        </w:tc>
        <w:tc>
          <w:tcPr>
            <w:tcW w:w="488" w:type="dxa"/>
            <w:shd w:val="clear" w:color="auto" w:fill="auto"/>
            <w:noWrap/>
            <w:vAlign w:val="center"/>
          </w:tcPr>
          <w:p w14:paraId="7FE018AC"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5.54</w:t>
            </w:r>
          </w:p>
        </w:tc>
        <w:tc>
          <w:tcPr>
            <w:tcW w:w="487" w:type="dxa"/>
            <w:shd w:val="clear" w:color="auto" w:fill="auto"/>
            <w:noWrap/>
            <w:vAlign w:val="center"/>
          </w:tcPr>
          <w:p w14:paraId="7FE018A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1.37</w:t>
            </w:r>
          </w:p>
        </w:tc>
        <w:tc>
          <w:tcPr>
            <w:tcW w:w="487" w:type="dxa"/>
            <w:shd w:val="clear" w:color="auto" w:fill="auto"/>
            <w:noWrap/>
            <w:vAlign w:val="center"/>
          </w:tcPr>
          <w:p w14:paraId="7FE018AE"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1.73</w:t>
            </w:r>
          </w:p>
        </w:tc>
        <w:tc>
          <w:tcPr>
            <w:tcW w:w="488" w:type="dxa"/>
            <w:shd w:val="clear" w:color="auto" w:fill="auto"/>
            <w:noWrap/>
            <w:vAlign w:val="center"/>
          </w:tcPr>
          <w:p w14:paraId="7FE018AF"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2.70</w:t>
            </w:r>
          </w:p>
        </w:tc>
        <w:tc>
          <w:tcPr>
            <w:tcW w:w="487" w:type="dxa"/>
            <w:shd w:val="clear" w:color="auto" w:fill="auto"/>
            <w:noWrap/>
            <w:vAlign w:val="center"/>
          </w:tcPr>
          <w:p w14:paraId="7FE018B0"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0.99</w:t>
            </w:r>
          </w:p>
        </w:tc>
        <w:tc>
          <w:tcPr>
            <w:tcW w:w="488" w:type="dxa"/>
            <w:shd w:val="clear" w:color="auto" w:fill="auto"/>
            <w:noWrap/>
            <w:vAlign w:val="center"/>
          </w:tcPr>
          <w:p w14:paraId="7FE018B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4.17</w:t>
            </w:r>
          </w:p>
        </w:tc>
      </w:tr>
      <w:tr w:rsidR="00C95BB2" w:rsidRPr="0063355C" w14:paraId="7FE018BE" w14:textId="77777777" w:rsidTr="00A02740">
        <w:trPr>
          <w:trHeight w:val="240"/>
        </w:trPr>
        <w:tc>
          <w:tcPr>
            <w:tcW w:w="571" w:type="dxa"/>
            <w:shd w:val="clear" w:color="auto" w:fill="auto"/>
            <w:noWrap/>
            <w:hideMark/>
          </w:tcPr>
          <w:p w14:paraId="7FE018B3"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7FE018B4"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7FE018B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0.32</w:t>
            </w:r>
          </w:p>
        </w:tc>
        <w:tc>
          <w:tcPr>
            <w:tcW w:w="487" w:type="dxa"/>
            <w:shd w:val="clear" w:color="auto" w:fill="auto"/>
            <w:noWrap/>
            <w:vAlign w:val="center"/>
          </w:tcPr>
          <w:p w14:paraId="7FE018B6"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0.47</w:t>
            </w:r>
          </w:p>
        </w:tc>
        <w:tc>
          <w:tcPr>
            <w:tcW w:w="487" w:type="dxa"/>
            <w:shd w:val="clear" w:color="auto" w:fill="auto"/>
            <w:noWrap/>
            <w:vAlign w:val="center"/>
          </w:tcPr>
          <w:p w14:paraId="7FE018B7"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0.12</w:t>
            </w:r>
          </w:p>
        </w:tc>
        <w:tc>
          <w:tcPr>
            <w:tcW w:w="488" w:type="dxa"/>
            <w:shd w:val="clear" w:color="auto" w:fill="auto"/>
            <w:noWrap/>
            <w:vAlign w:val="center"/>
          </w:tcPr>
          <w:p w14:paraId="7FE018B8"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c>
          <w:tcPr>
            <w:tcW w:w="487" w:type="dxa"/>
            <w:shd w:val="clear" w:color="auto" w:fill="auto"/>
            <w:noWrap/>
            <w:vAlign w:val="center"/>
          </w:tcPr>
          <w:p w14:paraId="7FE018B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0.07</w:t>
            </w:r>
          </w:p>
        </w:tc>
        <w:tc>
          <w:tcPr>
            <w:tcW w:w="487" w:type="dxa"/>
            <w:shd w:val="clear" w:color="auto" w:fill="auto"/>
            <w:noWrap/>
            <w:vAlign w:val="center"/>
          </w:tcPr>
          <w:p w14:paraId="7FE018BA"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8" w:type="dxa"/>
            <w:shd w:val="clear" w:color="auto" w:fill="auto"/>
            <w:noWrap/>
            <w:vAlign w:val="center"/>
          </w:tcPr>
          <w:p w14:paraId="7FE018BB"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7" w:type="dxa"/>
            <w:shd w:val="clear" w:color="auto" w:fill="auto"/>
            <w:noWrap/>
            <w:vAlign w:val="center"/>
          </w:tcPr>
          <w:p w14:paraId="7FE018BC"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8" w:type="dxa"/>
            <w:shd w:val="clear" w:color="auto" w:fill="auto"/>
            <w:noWrap/>
            <w:vAlign w:val="center"/>
          </w:tcPr>
          <w:p w14:paraId="7FE018B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r>
      <w:tr w:rsidR="00C95BB2" w:rsidRPr="0063355C" w14:paraId="7FE018CA" w14:textId="77777777" w:rsidTr="00A02740">
        <w:trPr>
          <w:trHeight w:val="240"/>
        </w:trPr>
        <w:tc>
          <w:tcPr>
            <w:tcW w:w="571" w:type="dxa"/>
            <w:shd w:val="clear" w:color="auto" w:fill="auto"/>
            <w:noWrap/>
            <w:hideMark/>
          </w:tcPr>
          <w:p w14:paraId="7FE018BF"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7FE018C0"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7FE018C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0.57</w:t>
            </w:r>
          </w:p>
        </w:tc>
        <w:tc>
          <w:tcPr>
            <w:tcW w:w="487" w:type="dxa"/>
            <w:shd w:val="clear" w:color="auto" w:fill="auto"/>
            <w:noWrap/>
            <w:vAlign w:val="center"/>
          </w:tcPr>
          <w:p w14:paraId="7FE018C2"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0.46</w:t>
            </w:r>
          </w:p>
        </w:tc>
        <w:tc>
          <w:tcPr>
            <w:tcW w:w="487" w:type="dxa"/>
            <w:shd w:val="clear" w:color="auto" w:fill="auto"/>
            <w:noWrap/>
            <w:vAlign w:val="center"/>
          </w:tcPr>
          <w:p w14:paraId="7FE018C3"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0.21</w:t>
            </w:r>
          </w:p>
        </w:tc>
        <w:tc>
          <w:tcPr>
            <w:tcW w:w="488" w:type="dxa"/>
            <w:shd w:val="clear" w:color="auto" w:fill="auto"/>
            <w:noWrap/>
            <w:vAlign w:val="center"/>
          </w:tcPr>
          <w:p w14:paraId="7FE018C4"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0.09</w:t>
            </w:r>
          </w:p>
        </w:tc>
        <w:tc>
          <w:tcPr>
            <w:tcW w:w="487" w:type="dxa"/>
            <w:shd w:val="clear" w:color="auto" w:fill="auto"/>
            <w:noWrap/>
            <w:vAlign w:val="center"/>
          </w:tcPr>
          <w:p w14:paraId="7FE018C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0.09</w:t>
            </w:r>
          </w:p>
        </w:tc>
        <w:tc>
          <w:tcPr>
            <w:tcW w:w="487" w:type="dxa"/>
            <w:shd w:val="clear" w:color="auto" w:fill="auto"/>
            <w:noWrap/>
            <w:vAlign w:val="center"/>
          </w:tcPr>
          <w:p w14:paraId="7FE018C6"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8" w:type="dxa"/>
            <w:shd w:val="clear" w:color="auto" w:fill="auto"/>
            <w:noWrap/>
            <w:vAlign w:val="center"/>
          </w:tcPr>
          <w:p w14:paraId="7FE018C7"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7" w:type="dxa"/>
            <w:shd w:val="clear" w:color="auto" w:fill="auto"/>
            <w:noWrap/>
            <w:vAlign w:val="center"/>
          </w:tcPr>
          <w:p w14:paraId="7FE018C8"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8" w:type="dxa"/>
            <w:shd w:val="clear" w:color="auto" w:fill="auto"/>
            <w:noWrap/>
            <w:vAlign w:val="center"/>
          </w:tcPr>
          <w:p w14:paraId="7FE018C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r>
      <w:tr w:rsidR="00C95BB2" w:rsidRPr="0063355C" w14:paraId="7FE018D6" w14:textId="77777777" w:rsidTr="00A02740">
        <w:trPr>
          <w:trHeight w:val="240"/>
        </w:trPr>
        <w:tc>
          <w:tcPr>
            <w:tcW w:w="571" w:type="dxa"/>
            <w:shd w:val="clear" w:color="auto" w:fill="auto"/>
            <w:noWrap/>
            <w:hideMark/>
          </w:tcPr>
          <w:p w14:paraId="7FE018CB"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7FE018CC"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7FE018C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0.05</w:t>
            </w:r>
          </w:p>
        </w:tc>
        <w:tc>
          <w:tcPr>
            <w:tcW w:w="487" w:type="dxa"/>
            <w:shd w:val="clear" w:color="auto" w:fill="auto"/>
            <w:noWrap/>
            <w:vAlign w:val="center"/>
          </w:tcPr>
          <w:p w14:paraId="7FE018CE"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0.04</w:t>
            </w:r>
          </w:p>
        </w:tc>
        <w:tc>
          <w:tcPr>
            <w:tcW w:w="487" w:type="dxa"/>
            <w:shd w:val="clear" w:color="auto" w:fill="auto"/>
            <w:noWrap/>
            <w:vAlign w:val="center"/>
          </w:tcPr>
          <w:p w14:paraId="7FE018CF"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8" w:type="dxa"/>
            <w:shd w:val="clear" w:color="auto" w:fill="auto"/>
            <w:noWrap/>
            <w:vAlign w:val="center"/>
          </w:tcPr>
          <w:p w14:paraId="7FE018D0"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7" w:type="dxa"/>
            <w:shd w:val="clear" w:color="auto" w:fill="auto"/>
            <w:noWrap/>
            <w:vAlign w:val="center"/>
          </w:tcPr>
          <w:p w14:paraId="7FE018D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7" w:type="dxa"/>
            <w:shd w:val="clear" w:color="auto" w:fill="auto"/>
            <w:noWrap/>
            <w:vAlign w:val="center"/>
          </w:tcPr>
          <w:p w14:paraId="7FE018D2"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8D3"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7" w:type="dxa"/>
            <w:shd w:val="clear" w:color="auto" w:fill="auto"/>
            <w:noWrap/>
            <w:vAlign w:val="center"/>
          </w:tcPr>
          <w:p w14:paraId="7FE018D4"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8D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r>
      <w:tr w:rsidR="00C95BB2" w:rsidRPr="0063355C" w14:paraId="7FE018E2" w14:textId="77777777" w:rsidTr="00A02740">
        <w:trPr>
          <w:trHeight w:val="240"/>
        </w:trPr>
        <w:tc>
          <w:tcPr>
            <w:tcW w:w="571" w:type="dxa"/>
            <w:shd w:val="clear" w:color="auto" w:fill="auto"/>
            <w:noWrap/>
            <w:hideMark/>
          </w:tcPr>
          <w:p w14:paraId="7FE018D7"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7FE018D8"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7FE018D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0.04</w:t>
            </w:r>
          </w:p>
        </w:tc>
        <w:tc>
          <w:tcPr>
            <w:tcW w:w="487" w:type="dxa"/>
            <w:shd w:val="clear" w:color="auto" w:fill="auto"/>
            <w:noWrap/>
            <w:vAlign w:val="center"/>
          </w:tcPr>
          <w:p w14:paraId="7FE018DA"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c>
          <w:tcPr>
            <w:tcW w:w="487" w:type="dxa"/>
            <w:shd w:val="clear" w:color="auto" w:fill="auto"/>
            <w:noWrap/>
            <w:vAlign w:val="center"/>
          </w:tcPr>
          <w:p w14:paraId="7FE018DB"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0.14</w:t>
            </w:r>
          </w:p>
        </w:tc>
        <w:tc>
          <w:tcPr>
            <w:tcW w:w="488" w:type="dxa"/>
            <w:shd w:val="clear" w:color="auto" w:fill="auto"/>
            <w:noWrap/>
            <w:vAlign w:val="center"/>
          </w:tcPr>
          <w:p w14:paraId="7FE018DC"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0.08</w:t>
            </w:r>
          </w:p>
        </w:tc>
        <w:tc>
          <w:tcPr>
            <w:tcW w:w="487" w:type="dxa"/>
            <w:shd w:val="clear" w:color="auto" w:fill="auto"/>
            <w:noWrap/>
            <w:vAlign w:val="center"/>
          </w:tcPr>
          <w:p w14:paraId="7FE018D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0.08</w:t>
            </w:r>
          </w:p>
        </w:tc>
        <w:tc>
          <w:tcPr>
            <w:tcW w:w="487" w:type="dxa"/>
            <w:shd w:val="clear" w:color="auto" w:fill="auto"/>
            <w:noWrap/>
            <w:vAlign w:val="center"/>
          </w:tcPr>
          <w:p w14:paraId="7FE018DE"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8" w:type="dxa"/>
            <w:shd w:val="clear" w:color="auto" w:fill="auto"/>
            <w:noWrap/>
            <w:vAlign w:val="center"/>
          </w:tcPr>
          <w:p w14:paraId="7FE018DF"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7" w:type="dxa"/>
            <w:shd w:val="clear" w:color="auto" w:fill="auto"/>
            <w:noWrap/>
            <w:vAlign w:val="center"/>
          </w:tcPr>
          <w:p w14:paraId="7FE018E0"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8" w:type="dxa"/>
            <w:shd w:val="clear" w:color="auto" w:fill="auto"/>
            <w:noWrap/>
            <w:vAlign w:val="center"/>
          </w:tcPr>
          <w:p w14:paraId="7FE018E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r>
      <w:tr w:rsidR="00C95BB2" w:rsidRPr="0063355C" w14:paraId="7FE018EE" w14:textId="77777777" w:rsidTr="00A02740">
        <w:trPr>
          <w:trHeight w:val="240"/>
        </w:trPr>
        <w:tc>
          <w:tcPr>
            <w:tcW w:w="571" w:type="dxa"/>
            <w:shd w:val="clear" w:color="auto" w:fill="auto"/>
            <w:noWrap/>
            <w:hideMark/>
          </w:tcPr>
          <w:p w14:paraId="7FE018E3"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7FE018E4"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7FE018E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0.10</w:t>
            </w:r>
          </w:p>
        </w:tc>
        <w:tc>
          <w:tcPr>
            <w:tcW w:w="487" w:type="dxa"/>
            <w:shd w:val="clear" w:color="auto" w:fill="auto"/>
            <w:noWrap/>
            <w:vAlign w:val="center"/>
          </w:tcPr>
          <w:p w14:paraId="7FE018E6"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0.42</w:t>
            </w:r>
          </w:p>
        </w:tc>
        <w:tc>
          <w:tcPr>
            <w:tcW w:w="487" w:type="dxa"/>
            <w:shd w:val="clear" w:color="auto" w:fill="auto"/>
            <w:noWrap/>
            <w:vAlign w:val="center"/>
          </w:tcPr>
          <w:p w14:paraId="7FE018E7"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0.70</w:t>
            </w:r>
          </w:p>
        </w:tc>
        <w:tc>
          <w:tcPr>
            <w:tcW w:w="488" w:type="dxa"/>
            <w:shd w:val="clear" w:color="auto" w:fill="auto"/>
            <w:noWrap/>
            <w:vAlign w:val="center"/>
          </w:tcPr>
          <w:p w14:paraId="7FE018E8"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0.46</w:t>
            </w:r>
          </w:p>
        </w:tc>
        <w:tc>
          <w:tcPr>
            <w:tcW w:w="487" w:type="dxa"/>
            <w:shd w:val="clear" w:color="auto" w:fill="auto"/>
            <w:noWrap/>
            <w:vAlign w:val="center"/>
          </w:tcPr>
          <w:p w14:paraId="7FE018E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0.09</w:t>
            </w:r>
          </w:p>
        </w:tc>
        <w:tc>
          <w:tcPr>
            <w:tcW w:w="487" w:type="dxa"/>
            <w:shd w:val="clear" w:color="auto" w:fill="auto"/>
            <w:noWrap/>
            <w:vAlign w:val="center"/>
          </w:tcPr>
          <w:p w14:paraId="7FE018EA"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0.04</w:t>
            </w:r>
          </w:p>
        </w:tc>
        <w:tc>
          <w:tcPr>
            <w:tcW w:w="488" w:type="dxa"/>
            <w:shd w:val="clear" w:color="auto" w:fill="auto"/>
            <w:noWrap/>
            <w:vAlign w:val="center"/>
          </w:tcPr>
          <w:p w14:paraId="7FE018EB"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0.12</w:t>
            </w:r>
          </w:p>
        </w:tc>
        <w:tc>
          <w:tcPr>
            <w:tcW w:w="487" w:type="dxa"/>
            <w:shd w:val="clear" w:color="auto" w:fill="auto"/>
            <w:noWrap/>
            <w:vAlign w:val="center"/>
          </w:tcPr>
          <w:p w14:paraId="7FE018EC"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0.11</w:t>
            </w:r>
          </w:p>
        </w:tc>
        <w:tc>
          <w:tcPr>
            <w:tcW w:w="488" w:type="dxa"/>
            <w:shd w:val="clear" w:color="auto" w:fill="auto"/>
            <w:noWrap/>
            <w:vAlign w:val="center"/>
          </w:tcPr>
          <w:p w14:paraId="7FE018E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0.21</w:t>
            </w:r>
          </w:p>
        </w:tc>
      </w:tr>
      <w:tr w:rsidR="00C95BB2" w:rsidRPr="0063355C" w14:paraId="7FE018FA" w14:textId="77777777" w:rsidTr="00A02740">
        <w:trPr>
          <w:trHeight w:val="240"/>
        </w:trPr>
        <w:tc>
          <w:tcPr>
            <w:tcW w:w="571" w:type="dxa"/>
            <w:shd w:val="clear" w:color="auto" w:fill="auto"/>
            <w:noWrap/>
            <w:hideMark/>
          </w:tcPr>
          <w:p w14:paraId="7FE018EF"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7FE018F0"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7FE018F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7.51</w:t>
            </w:r>
          </w:p>
        </w:tc>
        <w:tc>
          <w:tcPr>
            <w:tcW w:w="487" w:type="dxa"/>
            <w:shd w:val="clear" w:color="auto" w:fill="auto"/>
            <w:noWrap/>
            <w:vAlign w:val="center"/>
          </w:tcPr>
          <w:p w14:paraId="7FE018F2"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10.71</w:t>
            </w:r>
          </w:p>
        </w:tc>
        <w:tc>
          <w:tcPr>
            <w:tcW w:w="487" w:type="dxa"/>
            <w:shd w:val="clear" w:color="auto" w:fill="auto"/>
            <w:noWrap/>
            <w:vAlign w:val="center"/>
          </w:tcPr>
          <w:p w14:paraId="7FE018F3"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8.85</w:t>
            </w:r>
          </w:p>
        </w:tc>
        <w:tc>
          <w:tcPr>
            <w:tcW w:w="488" w:type="dxa"/>
            <w:shd w:val="clear" w:color="auto" w:fill="auto"/>
            <w:noWrap/>
            <w:vAlign w:val="center"/>
          </w:tcPr>
          <w:p w14:paraId="7FE018F4"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16.25</w:t>
            </w:r>
          </w:p>
        </w:tc>
        <w:tc>
          <w:tcPr>
            <w:tcW w:w="487" w:type="dxa"/>
            <w:shd w:val="clear" w:color="auto" w:fill="auto"/>
            <w:noWrap/>
            <w:vAlign w:val="center"/>
          </w:tcPr>
          <w:p w14:paraId="7FE018F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7.11</w:t>
            </w:r>
          </w:p>
        </w:tc>
        <w:tc>
          <w:tcPr>
            <w:tcW w:w="487" w:type="dxa"/>
            <w:shd w:val="clear" w:color="auto" w:fill="auto"/>
            <w:noWrap/>
            <w:vAlign w:val="center"/>
          </w:tcPr>
          <w:p w14:paraId="7FE018F6"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5.74</w:t>
            </w:r>
          </w:p>
        </w:tc>
        <w:tc>
          <w:tcPr>
            <w:tcW w:w="488" w:type="dxa"/>
            <w:shd w:val="clear" w:color="auto" w:fill="auto"/>
            <w:noWrap/>
            <w:vAlign w:val="center"/>
          </w:tcPr>
          <w:p w14:paraId="7FE018F7"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8.09</w:t>
            </w:r>
          </w:p>
        </w:tc>
        <w:tc>
          <w:tcPr>
            <w:tcW w:w="487" w:type="dxa"/>
            <w:shd w:val="clear" w:color="auto" w:fill="auto"/>
            <w:noWrap/>
            <w:vAlign w:val="center"/>
          </w:tcPr>
          <w:p w14:paraId="7FE018F8"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5.93</w:t>
            </w:r>
          </w:p>
        </w:tc>
        <w:tc>
          <w:tcPr>
            <w:tcW w:w="488" w:type="dxa"/>
            <w:shd w:val="clear" w:color="auto" w:fill="auto"/>
            <w:noWrap/>
            <w:vAlign w:val="center"/>
          </w:tcPr>
          <w:p w14:paraId="7FE018F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2.60</w:t>
            </w:r>
          </w:p>
        </w:tc>
      </w:tr>
      <w:tr w:rsidR="00C95BB2" w:rsidRPr="0063355C" w14:paraId="7FE01906" w14:textId="77777777" w:rsidTr="00A02740">
        <w:trPr>
          <w:trHeight w:val="240"/>
        </w:trPr>
        <w:tc>
          <w:tcPr>
            <w:tcW w:w="571" w:type="dxa"/>
            <w:shd w:val="clear" w:color="auto" w:fill="auto"/>
            <w:noWrap/>
            <w:hideMark/>
          </w:tcPr>
          <w:p w14:paraId="7FE018FB"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7FE018FC"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487" w:type="dxa"/>
            <w:vAlign w:val="center"/>
          </w:tcPr>
          <w:p w14:paraId="7FE018F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6.93</w:t>
            </w:r>
          </w:p>
        </w:tc>
        <w:tc>
          <w:tcPr>
            <w:tcW w:w="487" w:type="dxa"/>
            <w:shd w:val="clear" w:color="auto" w:fill="auto"/>
            <w:noWrap/>
            <w:vAlign w:val="center"/>
          </w:tcPr>
          <w:p w14:paraId="7FE018FE"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13.79</w:t>
            </w:r>
          </w:p>
        </w:tc>
        <w:tc>
          <w:tcPr>
            <w:tcW w:w="487" w:type="dxa"/>
            <w:shd w:val="clear" w:color="auto" w:fill="auto"/>
            <w:noWrap/>
            <w:vAlign w:val="center"/>
          </w:tcPr>
          <w:p w14:paraId="7FE018FF"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9.30</w:t>
            </w:r>
          </w:p>
        </w:tc>
        <w:tc>
          <w:tcPr>
            <w:tcW w:w="488" w:type="dxa"/>
            <w:shd w:val="clear" w:color="auto" w:fill="auto"/>
            <w:noWrap/>
            <w:vAlign w:val="center"/>
          </w:tcPr>
          <w:p w14:paraId="7FE01900"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17.97</w:t>
            </w:r>
          </w:p>
        </w:tc>
        <w:tc>
          <w:tcPr>
            <w:tcW w:w="487" w:type="dxa"/>
            <w:shd w:val="clear" w:color="auto" w:fill="auto"/>
            <w:noWrap/>
            <w:vAlign w:val="center"/>
          </w:tcPr>
          <w:p w14:paraId="7FE0190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13.12</w:t>
            </w:r>
          </w:p>
        </w:tc>
        <w:tc>
          <w:tcPr>
            <w:tcW w:w="487" w:type="dxa"/>
            <w:shd w:val="clear" w:color="auto" w:fill="auto"/>
            <w:noWrap/>
            <w:vAlign w:val="center"/>
          </w:tcPr>
          <w:p w14:paraId="7FE01902"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7.95</w:t>
            </w:r>
          </w:p>
        </w:tc>
        <w:tc>
          <w:tcPr>
            <w:tcW w:w="488" w:type="dxa"/>
            <w:shd w:val="clear" w:color="auto" w:fill="auto"/>
            <w:noWrap/>
            <w:vAlign w:val="center"/>
          </w:tcPr>
          <w:p w14:paraId="7FE01903"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8.66</w:t>
            </w:r>
          </w:p>
        </w:tc>
        <w:tc>
          <w:tcPr>
            <w:tcW w:w="487" w:type="dxa"/>
            <w:shd w:val="clear" w:color="auto" w:fill="auto"/>
            <w:noWrap/>
            <w:vAlign w:val="center"/>
          </w:tcPr>
          <w:p w14:paraId="7FE01904"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8.19</w:t>
            </w:r>
          </w:p>
        </w:tc>
        <w:tc>
          <w:tcPr>
            <w:tcW w:w="488" w:type="dxa"/>
            <w:shd w:val="clear" w:color="auto" w:fill="auto"/>
            <w:noWrap/>
            <w:vAlign w:val="center"/>
          </w:tcPr>
          <w:p w14:paraId="7FE0190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0.20</w:t>
            </w:r>
          </w:p>
        </w:tc>
      </w:tr>
      <w:tr w:rsidR="00C95BB2" w:rsidRPr="0063355C" w14:paraId="7FE01912" w14:textId="77777777" w:rsidTr="00A02740">
        <w:trPr>
          <w:trHeight w:val="240"/>
        </w:trPr>
        <w:tc>
          <w:tcPr>
            <w:tcW w:w="571" w:type="dxa"/>
            <w:shd w:val="clear" w:color="auto" w:fill="auto"/>
            <w:noWrap/>
            <w:hideMark/>
          </w:tcPr>
          <w:p w14:paraId="7FE01907"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7FE01908"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7FE0190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7" w:type="dxa"/>
            <w:shd w:val="clear" w:color="auto" w:fill="auto"/>
            <w:noWrap/>
            <w:vAlign w:val="center"/>
          </w:tcPr>
          <w:p w14:paraId="7FE0190A"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7" w:type="dxa"/>
            <w:shd w:val="clear" w:color="auto" w:fill="auto"/>
            <w:noWrap/>
            <w:vAlign w:val="center"/>
          </w:tcPr>
          <w:p w14:paraId="7FE0190B"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0.07</w:t>
            </w:r>
          </w:p>
        </w:tc>
        <w:tc>
          <w:tcPr>
            <w:tcW w:w="488" w:type="dxa"/>
            <w:shd w:val="clear" w:color="auto" w:fill="auto"/>
            <w:noWrap/>
            <w:vAlign w:val="center"/>
          </w:tcPr>
          <w:p w14:paraId="7FE0190C"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7" w:type="dxa"/>
            <w:shd w:val="clear" w:color="auto" w:fill="auto"/>
            <w:noWrap/>
            <w:vAlign w:val="center"/>
          </w:tcPr>
          <w:p w14:paraId="7FE0190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0.06</w:t>
            </w:r>
          </w:p>
        </w:tc>
        <w:tc>
          <w:tcPr>
            <w:tcW w:w="487" w:type="dxa"/>
            <w:shd w:val="clear" w:color="auto" w:fill="auto"/>
            <w:noWrap/>
            <w:vAlign w:val="center"/>
          </w:tcPr>
          <w:p w14:paraId="7FE0190E"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90F"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7" w:type="dxa"/>
            <w:shd w:val="clear" w:color="auto" w:fill="auto"/>
            <w:noWrap/>
            <w:vAlign w:val="center"/>
          </w:tcPr>
          <w:p w14:paraId="7FE01910"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91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r>
      <w:tr w:rsidR="00C95BB2" w:rsidRPr="0063355C" w14:paraId="7FE0191E" w14:textId="77777777" w:rsidTr="00A02740">
        <w:trPr>
          <w:trHeight w:val="240"/>
        </w:trPr>
        <w:tc>
          <w:tcPr>
            <w:tcW w:w="571" w:type="dxa"/>
            <w:shd w:val="clear" w:color="auto" w:fill="auto"/>
            <w:noWrap/>
            <w:hideMark/>
          </w:tcPr>
          <w:p w14:paraId="7FE01913"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7FE01914"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7FE0191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c>
          <w:tcPr>
            <w:tcW w:w="487" w:type="dxa"/>
            <w:shd w:val="clear" w:color="auto" w:fill="auto"/>
            <w:noWrap/>
            <w:vAlign w:val="center"/>
          </w:tcPr>
          <w:p w14:paraId="7FE01916"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c>
          <w:tcPr>
            <w:tcW w:w="487" w:type="dxa"/>
            <w:shd w:val="clear" w:color="auto" w:fill="auto"/>
            <w:noWrap/>
            <w:vAlign w:val="center"/>
          </w:tcPr>
          <w:p w14:paraId="7FE01917"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0.10</w:t>
            </w:r>
          </w:p>
        </w:tc>
        <w:tc>
          <w:tcPr>
            <w:tcW w:w="488" w:type="dxa"/>
            <w:shd w:val="clear" w:color="auto" w:fill="auto"/>
            <w:noWrap/>
            <w:vAlign w:val="center"/>
          </w:tcPr>
          <w:p w14:paraId="7FE01918"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c>
          <w:tcPr>
            <w:tcW w:w="487" w:type="dxa"/>
            <w:shd w:val="clear" w:color="auto" w:fill="auto"/>
            <w:noWrap/>
            <w:vAlign w:val="center"/>
          </w:tcPr>
          <w:p w14:paraId="7FE0191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7" w:type="dxa"/>
            <w:shd w:val="clear" w:color="auto" w:fill="auto"/>
            <w:noWrap/>
            <w:vAlign w:val="center"/>
          </w:tcPr>
          <w:p w14:paraId="7FE0191A"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8" w:type="dxa"/>
            <w:shd w:val="clear" w:color="auto" w:fill="auto"/>
            <w:noWrap/>
            <w:vAlign w:val="center"/>
          </w:tcPr>
          <w:p w14:paraId="7FE0191B"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7" w:type="dxa"/>
            <w:shd w:val="clear" w:color="auto" w:fill="auto"/>
            <w:noWrap/>
            <w:vAlign w:val="center"/>
          </w:tcPr>
          <w:p w14:paraId="7FE0191C"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91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r>
      <w:tr w:rsidR="00C95BB2" w:rsidRPr="0063355C" w14:paraId="7FE0192A" w14:textId="77777777" w:rsidTr="00A02740">
        <w:trPr>
          <w:trHeight w:val="240"/>
        </w:trPr>
        <w:tc>
          <w:tcPr>
            <w:tcW w:w="571" w:type="dxa"/>
            <w:shd w:val="clear" w:color="auto" w:fill="auto"/>
            <w:noWrap/>
            <w:hideMark/>
          </w:tcPr>
          <w:p w14:paraId="7FE0191F"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7FE01920"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7FE0192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7" w:type="dxa"/>
            <w:shd w:val="clear" w:color="auto" w:fill="auto"/>
            <w:noWrap/>
            <w:vAlign w:val="center"/>
          </w:tcPr>
          <w:p w14:paraId="7FE01922"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7" w:type="dxa"/>
            <w:shd w:val="clear" w:color="auto" w:fill="auto"/>
            <w:noWrap/>
            <w:vAlign w:val="center"/>
          </w:tcPr>
          <w:p w14:paraId="7FE01923"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0.07</w:t>
            </w:r>
          </w:p>
        </w:tc>
        <w:tc>
          <w:tcPr>
            <w:tcW w:w="488" w:type="dxa"/>
            <w:shd w:val="clear" w:color="auto" w:fill="auto"/>
            <w:noWrap/>
            <w:vAlign w:val="center"/>
          </w:tcPr>
          <w:p w14:paraId="7FE01924"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0.08</w:t>
            </w:r>
          </w:p>
        </w:tc>
        <w:tc>
          <w:tcPr>
            <w:tcW w:w="487" w:type="dxa"/>
            <w:shd w:val="clear" w:color="auto" w:fill="auto"/>
            <w:noWrap/>
            <w:vAlign w:val="center"/>
          </w:tcPr>
          <w:p w14:paraId="7FE0192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0.18</w:t>
            </w:r>
          </w:p>
        </w:tc>
        <w:tc>
          <w:tcPr>
            <w:tcW w:w="487" w:type="dxa"/>
            <w:shd w:val="clear" w:color="auto" w:fill="auto"/>
            <w:noWrap/>
            <w:vAlign w:val="center"/>
          </w:tcPr>
          <w:p w14:paraId="7FE01926"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8" w:type="dxa"/>
            <w:shd w:val="clear" w:color="auto" w:fill="auto"/>
            <w:noWrap/>
            <w:vAlign w:val="center"/>
          </w:tcPr>
          <w:p w14:paraId="7FE01927"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7" w:type="dxa"/>
            <w:shd w:val="clear" w:color="auto" w:fill="auto"/>
            <w:noWrap/>
            <w:vAlign w:val="center"/>
          </w:tcPr>
          <w:p w14:paraId="7FE01928"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w:t>
            </w:r>
          </w:p>
        </w:tc>
        <w:tc>
          <w:tcPr>
            <w:tcW w:w="488" w:type="dxa"/>
            <w:shd w:val="clear" w:color="auto" w:fill="auto"/>
            <w:noWrap/>
            <w:vAlign w:val="center"/>
          </w:tcPr>
          <w:p w14:paraId="7FE0192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r>
      <w:tr w:rsidR="00C95BB2" w:rsidRPr="0063355C" w14:paraId="7FE01936" w14:textId="77777777" w:rsidTr="00A02740">
        <w:trPr>
          <w:trHeight w:val="240"/>
        </w:trPr>
        <w:tc>
          <w:tcPr>
            <w:tcW w:w="571" w:type="dxa"/>
            <w:shd w:val="clear" w:color="auto" w:fill="auto"/>
            <w:noWrap/>
            <w:hideMark/>
          </w:tcPr>
          <w:p w14:paraId="7FE0192B"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7FE0192C"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7FE0192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7" w:type="dxa"/>
            <w:shd w:val="clear" w:color="auto" w:fill="auto"/>
            <w:noWrap/>
            <w:vAlign w:val="center"/>
          </w:tcPr>
          <w:p w14:paraId="7FE0192E"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7" w:type="dxa"/>
            <w:shd w:val="clear" w:color="auto" w:fill="auto"/>
            <w:noWrap/>
            <w:vAlign w:val="center"/>
          </w:tcPr>
          <w:p w14:paraId="7FE0192F"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0.17</w:t>
            </w:r>
          </w:p>
        </w:tc>
        <w:tc>
          <w:tcPr>
            <w:tcW w:w="488" w:type="dxa"/>
            <w:shd w:val="clear" w:color="auto" w:fill="auto"/>
            <w:noWrap/>
            <w:vAlign w:val="center"/>
          </w:tcPr>
          <w:p w14:paraId="7FE01930"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0.08</w:t>
            </w:r>
          </w:p>
        </w:tc>
        <w:tc>
          <w:tcPr>
            <w:tcW w:w="487" w:type="dxa"/>
            <w:shd w:val="clear" w:color="auto" w:fill="auto"/>
            <w:noWrap/>
            <w:vAlign w:val="center"/>
          </w:tcPr>
          <w:p w14:paraId="7FE0193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0.07</w:t>
            </w:r>
          </w:p>
        </w:tc>
        <w:tc>
          <w:tcPr>
            <w:tcW w:w="487" w:type="dxa"/>
            <w:shd w:val="clear" w:color="auto" w:fill="auto"/>
            <w:noWrap/>
            <w:vAlign w:val="center"/>
          </w:tcPr>
          <w:p w14:paraId="7FE01932"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933"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7" w:type="dxa"/>
            <w:shd w:val="clear" w:color="auto" w:fill="auto"/>
            <w:noWrap/>
            <w:vAlign w:val="center"/>
          </w:tcPr>
          <w:p w14:paraId="7FE01934"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93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r>
      <w:tr w:rsidR="00C95BB2" w:rsidRPr="0063355C" w14:paraId="7FE01942" w14:textId="77777777" w:rsidTr="00A02740">
        <w:trPr>
          <w:trHeight w:val="240"/>
        </w:trPr>
        <w:tc>
          <w:tcPr>
            <w:tcW w:w="571" w:type="dxa"/>
            <w:shd w:val="clear" w:color="auto" w:fill="auto"/>
            <w:noWrap/>
            <w:hideMark/>
          </w:tcPr>
          <w:p w14:paraId="7FE01937"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7FE01938"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7FE0193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1.05</w:t>
            </w:r>
          </w:p>
        </w:tc>
        <w:tc>
          <w:tcPr>
            <w:tcW w:w="487" w:type="dxa"/>
            <w:shd w:val="clear" w:color="auto" w:fill="auto"/>
            <w:noWrap/>
            <w:vAlign w:val="center"/>
          </w:tcPr>
          <w:p w14:paraId="7FE0193A"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3.37</w:t>
            </w:r>
          </w:p>
        </w:tc>
        <w:tc>
          <w:tcPr>
            <w:tcW w:w="487" w:type="dxa"/>
            <w:shd w:val="clear" w:color="auto" w:fill="auto"/>
            <w:noWrap/>
            <w:vAlign w:val="center"/>
          </w:tcPr>
          <w:p w14:paraId="7FE0193B"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5.89</w:t>
            </w:r>
          </w:p>
        </w:tc>
        <w:tc>
          <w:tcPr>
            <w:tcW w:w="488" w:type="dxa"/>
            <w:shd w:val="clear" w:color="auto" w:fill="auto"/>
            <w:noWrap/>
            <w:vAlign w:val="center"/>
          </w:tcPr>
          <w:p w14:paraId="7FE0193C"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8.19</w:t>
            </w:r>
          </w:p>
        </w:tc>
        <w:tc>
          <w:tcPr>
            <w:tcW w:w="487" w:type="dxa"/>
            <w:shd w:val="clear" w:color="auto" w:fill="auto"/>
            <w:noWrap/>
            <w:vAlign w:val="center"/>
          </w:tcPr>
          <w:p w14:paraId="7FE0193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7" w:type="dxa"/>
            <w:shd w:val="clear" w:color="auto" w:fill="auto"/>
            <w:noWrap/>
            <w:vAlign w:val="center"/>
          </w:tcPr>
          <w:p w14:paraId="7FE0193E"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93F"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7" w:type="dxa"/>
            <w:shd w:val="clear" w:color="auto" w:fill="auto"/>
            <w:noWrap/>
            <w:vAlign w:val="center"/>
          </w:tcPr>
          <w:p w14:paraId="7FE01940"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94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r>
      <w:tr w:rsidR="00C95BB2" w:rsidRPr="0063355C" w14:paraId="7FE0194E" w14:textId="77777777" w:rsidTr="00A02740">
        <w:trPr>
          <w:trHeight w:val="240"/>
        </w:trPr>
        <w:tc>
          <w:tcPr>
            <w:tcW w:w="571" w:type="dxa"/>
            <w:shd w:val="clear" w:color="auto" w:fill="auto"/>
            <w:noWrap/>
            <w:hideMark/>
          </w:tcPr>
          <w:p w14:paraId="7FE01943"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7FE01944"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7FE0194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0.50</w:t>
            </w:r>
          </w:p>
        </w:tc>
        <w:tc>
          <w:tcPr>
            <w:tcW w:w="487" w:type="dxa"/>
            <w:shd w:val="clear" w:color="auto" w:fill="auto"/>
            <w:noWrap/>
            <w:vAlign w:val="center"/>
          </w:tcPr>
          <w:p w14:paraId="7FE01946"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0.40</w:t>
            </w:r>
          </w:p>
        </w:tc>
        <w:tc>
          <w:tcPr>
            <w:tcW w:w="487" w:type="dxa"/>
            <w:shd w:val="clear" w:color="auto" w:fill="auto"/>
            <w:noWrap/>
            <w:vAlign w:val="center"/>
          </w:tcPr>
          <w:p w14:paraId="7FE01947"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0.28</w:t>
            </w:r>
          </w:p>
        </w:tc>
        <w:tc>
          <w:tcPr>
            <w:tcW w:w="488" w:type="dxa"/>
            <w:shd w:val="clear" w:color="auto" w:fill="auto"/>
            <w:noWrap/>
            <w:vAlign w:val="center"/>
          </w:tcPr>
          <w:p w14:paraId="7FE01948"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c>
          <w:tcPr>
            <w:tcW w:w="487" w:type="dxa"/>
            <w:shd w:val="clear" w:color="auto" w:fill="auto"/>
            <w:noWrap/>
            <w:vAlign w:val="center"/>
          </w:tcPr>
          <w:p w14:paraId="7FE0194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c>
          <w:tcPr>
            <w:tcW w:w="487" w:type="dxa"/>
            <w:shd w:val="clear" w:color="auto" w:fill="auto"/>
            <w:noWrap/>
            <w:vAlign w:val="center"/>
          </w:tcPr>
          <w:p w14:paraId="7FE0194A"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94B"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7" w:type="dxa"/>
            <w:shd w:val="clear" w:color="auto" w:fill="auto"/>
            <w:noWrap/>
            <w:vAlign w:val="center"/>
          </w:tcPr>
          <w:p w14:paraId="7FE0194C"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8" w:type="dxa"/>
            <w:shd w:val="clear" w:color="auto" w:fill="auto"/>
            <w:noWrap/>
            <w:vAlign w:val="center"/>
          </w:tcPr>
          <w:p w14:paraId="7FE0194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r>
      <w:tr w:rsidR="00C95BB2" w:rsidRPr="0063355C" w14:paraId="7FE0195A" w14:textId="77777777" w:rsidTr="00A02740">
        <w:trPr>
          <w:trHeight w:val="240"/>
        </w:trPr>
        <w:tc>
          <w:tcPr>
            <w:tcW w:w="571" w:type="dxa"/>
            <w:shd w:val="clear" w:color="auto" w:fill="auto"/>
            <w:noWrap/>
            <w:hideMark/>
          </w:tcPr>
          <w:p w14:paraId="7FE0194F"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7FE01950"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7FE0195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0.04</w:t>
            </w:r>
          </w:p>
        </w:tc>
        <w:tc>
          <w:tcPr>
            <w:tcW w:w="487" w:type="dxa"/>
            <w:shd w:val="clear" w:color="auto" w:fill="auto"/>
            <w:noWrap/>
            <w:vAlign w:val="center"/>
          </w:tcPr>
          <w:p w14:paraId="7FE01952"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c>
          <w:tcPr>
            <w:tcW w:w="487" w:type="dxa"/>
            <w:shd w:val="clear" w:color="auto" w:fill="auto"/>
            <w:noWrap/>
            <w:vAlign w:val="center"/>
          </w:tcPr>
          <w:p w14:paraId="7FE01953"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0.56</w:t>
            </w:r>
          </w:p>
        </w:tc>
        <w:tc>
          <w:tcPr>
            <w:tcW w:w="488" w:type="dxa"/>
            <w:shd w:val="clear" w:color="auto" w:fill="auto"/>
            <w:noWrap/>
            <w:vAlign w:val="center"/>
          </w:tcPr>
          <w:p w14:paraId="7FE01954"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c>
          <w:tcPr>
            <w:tcW w:w="487" w:type="dxa"/>
            <w:shd w:val="clear" w:color="auto" w:fill="auto"/>
            <w:noWrap/>
            <w:vAlign w:val="center"/>
          </w:tcPr>
          <w:p w14:paraId="7FE0195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7" w:type="dxa"/>
            <w:shd w:val="clear" w:color="auto" w:fill="auto"/>
            <w:noWrap/>
            <w:vAlign w:val="center"/>
          </w:tcPr>
          <w:p w14:paraId="7FE01956"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8" w:type="dxa"/>
            <w:shd w:val="clear" w:color="auto" w:fill="auto"/>
            <w:noWrap/>
            <w:vAlign w:val="center"/>
          </w:tcPr>
          <w:p w14:paraId="7FE01957"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7" w:type="dxa"/>
            <w:shd w:val="clear" w:color="auto" w:fill="auto"/>
            <w:noWrap/>
            <w:vAlign w:val="center"/>
          </w:tcPr>
          <w:p w14:paraId="7FE01958"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0.05</w:t>
            </w:r>
          </w:p>
        </w:tc>
        <w:tc>
          <w:tcPr>
            <w:tcW w:w="488" w:type="dxa"/>
            <w:shd w:val="clear" w:color="auto" w:fill="auto"/>
            <w:noWrap/>
            <w:vAlign w:val="center"/>
          </w:tcPr>
          <w:p w14:paraId="7FE0195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r>
      <w:tr w:rsidR="00C95BB2" w:rsidRPr="0063355C" w14:paraId="7FE01966" w14:textId="77777777" w:rsidTr="00A02740">
        <w:trPr>
          <w:trHeight w:val="240"/>
        </w:trPr>
        <w:tc>
          <w:tcPr>
            <w:tcW w:w="571" w:type="dxa"/>
            <w:shd w:val="clear" w:color="auto" w:fill="auto"/>
            <w:noWrap/>
            <w:hideMark/>
          </w:tcPr>
          <w:p w14:paraId="7FE0195B"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7FE0195C"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7FE0195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7" w:type="dxa"/>
            <w:shd w:val="clear" w:color="auto" w:fill="auto"/>
            <w:noWrap/>
            <w:vAlign w:val="center"/>
          </w:tcPr>
          <w:p w14:paraId="7FE0195E"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0.16</w:t>
            </w:r>
          </w:p>
        </w:tc>
        <w:tc>
          <w:tcPr>
            <w:tcW w:w="487" w:type="dxa"/>
            <w:shd w:val="clear" w:color="auto" w:fill="auto"/>
            <w:noWrap/>
            <w:vAlign w:val="center"/>
          </w:tcPr>
          <w:p w14:paraId="7FE0195F"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0.05</w:t>
            </w:r>
          </w:p>
        </w:tc>
        <w:tc>
          <w:tcPr>
            <w:tcW w:w="488" w:type="dxa"/>
            <w:shd w:val="clear" w:color="auto" w:fill="auto"/>
            <w:noWrap/>
            <w:vAlign w:val="center"/>
          </w:tcPr>
          <w:p w14:paraId="7FE01960"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7" w:type="dxa"/>
            <w:shd w:val="clear" w:color="auto" w:fill="auto"/>
            <w:noWrap/>
            <w:vAlign w:val="center"/>
          </w:tcPr>
          <w:p w14:paraId="7FE0196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0.04</w:t>
            </w:r>
          </w:p>
        </w:tc>
        <w:tc>
          <w:tcPr>
            <w:tcW w:w="487" w:type="dxa"/>
            <w:shd w:val="clear" w:color="auto" w:fill="auto"/>
            <w:noWrap/>
            <w:vAlign w:val="center"/>
          </w:tcPr>
          <w:p w14:paraId="7FE01962"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8" w:type="dxa"/>
            <w:shd w:val="clear" w:color="auto" w:fill="auto"/>
            <w:noWrap/>
            <w:vAlign w:val="center"/>
          </w:tcPr>
          <w:p w14:paraId="7FE01963"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7" w:type="dxa"/>
            <w:shd w:val="clear" w:color="auto" w:fill="auto"/>
            <w:noWrap/>
            <w:vAlign w:val="center"/>
          </w:tcPr>
          <w:p w14:paraId="7FE01964"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8" w:type="dxa"/>
            <w:shd w:val="clear" w:color="auto" w:fill="auto"/>
            <w:noWrap/>
            <w:vAlign w:val="center"/>
          </w:tcPr>
          <w:p w14:paraId="7FE0196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r>
      <w:tr w:rsidR="00C95BB2" w:rsidRPr="0063355C" w14:paraId="7FE01972" w14:textId="77777777" w:rsidTr="00A02740">
        <w:trPr>
          <w:trHeight w:val="240"/>
        </w:trPr>
        <w:tc>
          <w:tcPr>
            <w:tcW w:w="571" w:type="dxa"/>
            <w:shd w:val="clear" w:color="auto" w:fill="auto"/>
            <w:noWrap/>
            <w:hideMark/>
          </w:tcPr>
          <w:p w14:paraId="7FE01967"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7FE01968"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7FE0196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7" w:type="dxa"/>
            <w:shd w:val="clear" w:color="auto" w:fill="auto"/>
            <w:noWrap/>
            <w:vAlign w:val="center"/>
          </w:tcPr>
          <w:p w14:paraId="7FE0196A"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0.04</w:t>
            </w:r>
          </w:p>
        </w:tc>
        <w:tc>
          <w:tcPr>
            <w:tcW w:w="487" w:type="dxa"/>
            <w:shd w:val="clear" w:color="auto" w:fill="auto"/>
            <w:noWrap/>
            <w:vAlign w:val="center"/>
          </w:tcPr>
          <w:p w14:paraId="7FE0196B"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c>
          <w:tcPr>
            <w:tcW w:w="488" w:type="dxa"/>
            <w:shd w:val="clear" w:color="auto" w:fill="auto"/>
            <w:noWrap/>
            <w:vAlign w:val="center"/>
          </w:tcPr>
          <w:p w14:paraId="7FE0196C"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0.15</w:t>
            </w:r>
          </w:p>
        </w:tc>
        <w:tc>
          <w:tcPr>
            <w:tcW w:w="487" w:type="dxa"/>
            <w:shd w:val="clear" w:color="auto" w:fill="auto"/>
            <w:noWrap/>
            <w:vAlign w:val="center"/>
          </w:tcPr>
          <w:p w14:paraId="7FE0196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7" w:type="dxa"/>
            <w:shd w:val="clear" w:color="auto" w:fill="auto"/>
            <w:noWrap/>
            <w:vAlign w:val="center"/>
          </w:tcPr>
          <w:p w14:paraId="7FE0196E"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8" w:type="dxa"/>
            <w:shd w:val="clear" w:color="auto" w:fill="auto"/>
            <w:noWrap/>
            <w:vAlign w:val="center"/>
          </w:tcPr>
          <w:p w14:paraId="7FE0196F"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7" w:type="dxa"/>
            <w:shd w:val="clear" w:color="auto" w:fill="auto"/>
            <w:noWrap/>
            <w:vAlign w:val="center"/>
          </w:tcPr>
          <w:p w14:paraId="7FE01970"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97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r>
      <w:tr w:rsidR="00C95BB2" w:rsidRPr="0063355C" w14:paraId="7FE0197E" w14:textId="77777777" w:rsidTr="00A02740">
        <w:trPr>
          <w:trHeight w:val="240"/>
        </w:trPr>
        <w:tc>
          <w:tcPr>
            <w:tcW w:w="571" w:type="dxa"/>
            <w:shd w:val="clear" w:color="auto" w:fill="auto"/>
            <w:noWrap/>
            <w:hideMark/>
          </w:tcPr>
          <w:p w14:paraId="7FE01973"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7FE01974"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7FE0197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w:t>
            </w:r>
          </w:p>
        </w:tc>
        <w:tc>
          <w:tcPr>
            <w:tcW w:w="487" w:type="dxa"/>
            <w:shd w:val="clear" w:color="auto" w:fill="auto"/>
            <w:noWrap/>
            <w:vAlign w:val="center"/>
          </w:tcPr>
          <w:p w14:paraId="7FE01976"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w:t>
            </w:r>
          </w:p>
        </w:tc>
        <w:tc>
          <w:tcPr>
            <w:tcW w:w="487" w:type="dxa"/>
            <w:shd w:val="clear" w:color="auto" w:fill="auto"/>
            <w:noWrap/>
            <w:vAlign w:val="center"/>
          </w:tcPr>
          <w:p w14:paraId="7FE01977"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w:t>
            </w:r>
          </w:p>
        </w:tc>
        <w:tc>
          <w:tcPr>
            <w:tcW w:w="488" w:type="dxa"/>
            <w:shd w:val="clear" w:color="auto" w:fill="auto"/>
            <w:noWrap/>
            <w:vAlign w:val="center"/>
          </w:tcPr>
          <w:p w14:paraId="7FE01978"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w:t>
            </w:r>
          </w:p>
        </w:tc>
        <w:tc>
          <w:tcPr>
            <w:tcW w:w="487" w:type="dxa"/>
            <w:shd w:val="clear" w:color="auto" w:fill="auto"/>
            <w:noWrap/>
            <w:vAlign w:val="center"/>
          </w:tcPr>
          <w:p w14:paraId="7FE0197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w:t>
            </w:r>
          </w:p>
        </w:tc>
        <w:tc>
          <w:tcPr>
            <w:tcW w:w="487" w:type="dxa"/>
            <w:shd w:val="clear" w:color="auto" w:fill="auto"/>
            <w:noWrap/>
            <w:vAlign w:val="center"/>
          </w:tcPr>
          <w:p w14:paraId="7FE0197A"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w:t>
            </w:r>
          </w:p>
        </w:tc>
        <w:tc>
          <w:tcPr>
            <w:tcW w:w="488" w:type="dxa"/>
            <w:shd w:val="clear" w:color="auto" w:fill="auto"/>
            <w:noWrap/>
            <w:vAlign w:val="center"/>
          </w:tcPr>
          <w:p w14:paraId="7FE0197B"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w:t>
            </w:r>
          </w:p>
        </w:tc>
        <w:tc>
          <w:tcPr>
            <w:tcW w:w="487" w:type="dxa"/>
            <w:shd w:val="clear" w:color="auto" w:fill="auto"/>
            <w:noWrap/>
            <w:vAlign w:val="center"/>
          </w:tcPr>
          <w:p w14:paraId="7FE0197C"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w:t>
            </w:r>
          </w:p>
        </w:tc>
        <w:tc>
          <w:tcPr>
            <w:tcW w:w="488" w:type="dxa"/>
            <w:shd w:val="clear" w:color="auto" w:fill="auto"/>
            <w:noWrap/>
            <w:vAlign w:val="center"/>
          </w:tcPr>
          <w:p w14:paraId="7FE0197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w:t>
            </w:r>
          </w:p>
        </w:tc>
      </w:tr>
      <w:tr w:rsidR="00C95BB2" w:rsidRPr="0063355C" w14:paraId="7FE0198A" w14:textId="77777777" w:rsidTr="00A02740">
        <w:trPr>
          <w:trHeight w:val="240"/>
        </w:trPr>
        <w:tc>
          <w:tcPr>
            <w:tcW w:w="571" w:type="dxa"/>
            <w:shd w:val="clear" w:color="auto" w:fill="auto"/>
            <w:noWrap/>
            <w:hideMark/>
          </w:tcPr>
          <w:p w14:paraId="7FE0197F"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7FE01980"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7FE0198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0.06</w:t>
            </w:r>
          </w:p>
        </w:tc>
        <w:tc>
          <w:tcPr>
            <w:tcW w:w="487" w:type="dxa"/>
            <w:shd w:val="clear" w:color="auto" w:fill="auto"/>
            <w:noWrap/>
            <w:vAlign w:val="center"/>
          </w:tcPr>
          <w:p w14:paraId="7FE01982"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7" w:type="dxa"/>
            <w:shd w:val="clear" w:color="auto" w:fill="auto"/>
            <w:noWrap/>
            <w:vAlign w:val="center"/>
          </w:tcPr>
          <w:p w14:paraId="7FE01983"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0.07</w:t>
            </w:r>
          </w:p>
        </w:tc>
        <w:tc>
          <w:tcPr>
            <w:tcW w:w="488" w:type="dxa"/>
            <w:shd w:val="clear" w:color="auto" w:fill="auto"/>
            <w:noWrap/>
            <w:vAlign w:val="center"/>
          </w:tcPr>
          <w:p w14:paraId="7FE01984"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7" w:type="dxa"/>
            <w:shd w:val="clear" w:color="auto" w:fill="auto"/>
            <w:noWrap/>
            <w:vAlign w:val="center"/>
          </w:tcPr>
          <w:p w14:paraId="7FE0198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0.05</w:t>
            </w:r>
          </w:p>
        </w:tc>
        <w:tc>
          <w:tcPr>
            <w:tcW w:w="487" w:type="dxa"/>
            <w:shd w:val="clear" w:color="auto" w:fill="auto"/>
            <w:noWrap/>
            <w:vAlign w:val="center"/>
          </w:tcPr>
          <w:p w14:paraId="7FE01986"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c>
          <w:tcPr>
            <w:tcW w:w="488" w:type="dxa"/>
            <w:shd w:val="clear" w:color="auto" w:fill="auto"/>
            <w:noWrap/>
            <w:vAlign w:val="center"/>
          </w:tcPr>
          <w:p w14:paraId="7FE01987"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0.03</w:t>
            </w:r>
          </w:p>
        </w:tc>
        <w:tc>
          <w:tcPr>
            <w:tcW w:w="487" w:type="dxa"/>
            <w:shd w:val="clear" w:color="auto" w:fill="auto"/>
            <w:noWrap/>
            <w:vAlign w:val="center"/>
          </w:tcPr>
          <w:p w14:paraId="7FE01988"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989"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r>
      <w:tr w:rsidR="00C95BB2" w:rsidRPr="0063355C" w14:paraId="7FE01996" w14:textId="77777777" w:rsidTr="00A02740">
        <w:trPr>
          <w:trHeight w:val="240"/>
        </w:trPr>
        <w:tc>
          <w:tcPr>
            <w:tcW w:w="571" w:type="dxa"/>
            <w:shd w:val="clear" w:color="auto" w:fill="auto"/>
            <w:noWrap/>
            <w:hideMark/>
          </w:tcPr>
          <w:p w14:paraId="7FE0198B" w14:textId="77777777" w:rsidR="00C95BB2" w:rsidRPr="0063355C" w:rsidRDefault="00C95BB2" w:rsidP="00C95BB2">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7FE0198C" w14:textId="77777777" w:rsidR="00C95BB2" w:rsidRPr="0063355C" w:rsidRDefault="00C95BB2" w:rsidP="00C95BB2">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7FE0198D"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w:t>
            </w:r>
          </w:p>
        </w:tc>
        <w:tc>
          <w:tcPr>
            <w:tcW w:w="487" w:type="dxa"/>
            <w:shd w:val="clear" w:color="auto" w:fill="auto"/>
            <w:noWrap/>
            <w:vAlign w:val="center"/>
          </w:tcPr>
          <w:p w14:paraId="7FE0198E"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w:t>
            </w:r>
          </w:p>
        </w:tc>
        <w:tc>
          <w:tcPr>
            <w:tcW w:w="487" w:type="dxa"/>
            <w:shd w:val="clear" w:color="auto" w:fill="auto"/>
            <w:noWrap/>
            <w:vAlign w:val="center"/>
          </w:tcPr>
          <w:p w14:paraId="7FE0198F"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0.02</w:t>
            </w:r>
          </w:p>
        </w:tc>
        <w:tc>
          <w:tcPr>
            <w:tcW w:w="488" w:type="dxa"/>
            <w:shd w:val="clear" w:color="auto" w:fill="auto"/>
            <w:noWrap/>
            <w:vAlign w:val="center"/>
          </w:tcPr>
          <w:p w14:paraId="7FE01990"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0.01</w:t>
            </w:r>
          </w:p>
        </w:tc>
        <w:tc>
          <w:tcPr>
            <w:tcW w:w="487" w:type="dxa"/>
            <w:shd w:val="clear" w:color="auto" w:fill="auto"/>
            <w:noWrap/>
            <w:vAlign w:val="center"/>
          </w:tcPr>
          <w:p w14:paraId="7FE01991"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0.31</w:t>
            </w:r>
          </w:p>
        </w:tc>
        <w:tc>
          <w:tcPr>
            <w:tcW w:w="487" w:type="dxa"/>
            <w:shd w:val="clear" w:color="auto" w:fill="auto"/>
            <w:noWrap/>
            <w:vAlign w:val="center"/>
          </w:tcPr>
          <w:p w14:paraId="7FE01992"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0.00</w:t>
            </w:r>
          </w:p>
        </w:tc>
        <w:tc>
          <w:tcPr>
            <w:tcW w:w="488" w:type="dxa"/>
            <w:shd w:val="clear" w:color="auto" w:fill="auto"/>
            <w:noWrap/>
            <w:vAlign w:val="center"/>
          </w:tcPr>
          <w:p w14:paraId="7FE01993"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0.04</w:t>
            </w:r>
          </w:p>
        </w:tc>
        <w:tc>
          <w:tcPr>
            <w:tcW w:w="487" w:type="dxa"/>
            <w:shd w:val="clear" w:color="auto" w:fill="auto"/>
            <w:noWrap/>
            <w:vAlign w:val="center"/>
          </w:tcPr>
          <w:p w14:paraId="7FE01994"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0.14</w:t>
            </w:r>
          </w:p>
        </w:tc>
        <w:tc>
          <w:tcPr>
            <w:tcW w:w="488" w:type="dxa"/>
            <w:shd w:val="clear" w:color="auto" w:fill="auto"/>
            <w:noWrap/>
            <w:vAlign w:val="center"/>
          </w:tcPr>
          <w:p w14:paraId="7FE01995" w14:textId="77777777" w:rsidR="00C95BB2" w:rsidRPr="00C95BB2" w:rsidRDefault="00C95BB2" w:rsidP="00C95BB2">
            <w:pPr>
              <w:spacing w:line="200" w:lineRule="atLeast"/>
              <w:jc w:val="center"/>
              <w:rPr>
                <w:rFonts w:ascii="Arial" w:eastAsia="Times New Roman" w:hAnsi="Arial" w:cs="Arial"/>
                <w:color w:val="000000"/>
                <w:sz w:val="16"/>
                <w:szCs w:val="18"/>
                <w:lang w:eastAsia="en-GB"/>
              </w:rPr>
            </w:pPr>
            <w:r w:rsidRPr="00C95BB2">
              <w:rPr>
                <w:rFonts w:ascii="Arial" w:eastAsia="Times New Roman" w:hAnsi="Arial" w:cs="Arial"/>
                <w:color w:val="000000"/>
                <w:sz w:val="16"/>
                <w:szCs w:val="18"/>
                <w:lang w:eastAsia="en-GB"/>
              </w:rPr>
              <w:t>0.53</w:t>
            </w:r>
          </w:p>
        </w:tc>
      </w:tr>
    </w:tbl>
    <w:p w14:paraId="7FE01997" w14:textId="77777777" w:rsidR="00C95BB2" w:rsidRDefault="00C95BB2" w:rsidP="00C95BB2">
      <w:pPr>
        <w:pStyle w:val="Source"/>
      </w:pPr>
      <w:r>
        <w:t xml:space="preserve">Note: Share of country’s exports in each HS Section in country’s total exports (based on mirror data)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7FE01998" w14:textId="77777777" w:rsidR="00C95BB2" w:rsidRDefault="00C95BB2" w:rsidP="00C95BB2">
      <w:pPr>
        <w:pStyle w:val="Source"/>
      </w:pPr>
    </w:p>
    <w:p w14:paraId="7FE01999" w14:textId="77777777" w:rsidR="001E72B4" w:rsidRDefault="001E72B4" w:rsidP="001E72B4">
      <w:pPr>
        <w:pStyle w:val="Heading2"/>
      </w:pPr>
      <w:bookmarkStart w:id="78" w:name="_Toc427923469"/>
      <w:r>
        <w:t>Trade in value added</w:t>
      </w:r>
      <w:bookmarkEnd w:id="69"/>
      <w:bookmarkEnd w:id="78"/>
    </w:p>
    <w:p w14:paraId="7FE0199A" w14:textId="77777777" w:rsidR="00740C55" w:rsidRPr="007831E9" w:rsidRDefault="00740C55" w:rsidP="00740C55">
      <w:pPr>
        <w:pStyle w:val="FigureHeading"/>
      </w:pPr>
      <w:bookmarkStart w:id="79" w:name="_Toc427923470"/>
      <w:r w:rsidRPr="007831E9">
        <w:t>Compound annual growth rate of domestic value added, foreign value added and exports, 1996-2011 and 2006-11</w:t>
      </w:r>
      <w:r w:rsidR="00A02740">
        <w:t>, Somalia</w:t>
      </w:r>
      <w:bookmarkEnd w:id="79"/>
    </w:p>
    <w:p w14:paraId="7FE0199B" w14:textId="77777777" w:rsidR="00740C55" w:rsidRDefault="00740C55" w:rsidP="00740C55">
      <w:r>
        <w:rPr>
          <w:noProof/>
          <w:lang w:eastAsia="en-GB"/>
        </w:rPr>
        <w:drawing>
          <wp:inline distT="0" distB="0" distL="0" distR="0" wp14:anchorId="7FE019EF" wp14:editId="7FE019F0">
            <wp:extent cx="4114800" cy="1828800"/>
            <wp:effectExtent l="0" t="0" r="0"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FE0199C" w14:textId="77777777" w:rsidR="00740C55" w:rsidRPr="00B67D98" w:rsidRDefault="00740C55" w:rsidP="00A02740">
      <w:pPr>
        <w:pStyle w:val="Source"/>
      </w:pPr>
      <w:r w:rsidRPr="00B67D98">
        <w:t xml:space="preserve">Source: Own </w:t>
      </w:r>
      <w:r>
        <w:t xml:space="preserve">computations using </w:t>
      </w:r>
      <w:proofErr w:type="spellStart"/>
      <w:r>
        <w:t>Eora26</w:t>
      </w:r>
      <w:proofErr w:type="spellEnd"/>
      <w:r>
        <w:t xml:space="preserve"> database</w:t>
      </w:r>
    </w:p>
    <w:p w14:paraId="7FE0199D" w14:textId="77777777" w:rsidR="00740C55" w:rsidRDefault="00740C55" w:rsidP="00740C55"/>
    <w:p w14:paraId="7FE0199E" w14:textId="77777777" w:rsidR="00740C55" w:rsidRDefault="00740C55" w:rsidP="00740C55">
      <w:pPr>
        <w:pStyle w:val="FigureHeading"/>
      </w:pPr>
      <w:bookmarkStart w:id="80" w:name="_Toc427923471"/>
      <w:r>
        <w:rPr>
          <w:rFonts w:cs="Arial"/>
        </w:rPr>
        <w:t>Domestic and foreign value added content of gross exports as share of gross exports, 1996, 2000, 2006 and 2011</w:t>
      </w:r>
      <w:r w:rsidR="00A02740">
        <w:t>, Somalia</w:t>
      </w:r>
      <w:bookmarkEnd w:id="80"/>
    </w:p>
    <w:p w14:paraId="68429F87" w14:textId="28AF2A33" w:rsidR="00175B50" w:rsidRPr="00175B50" w:rsidRDefault="00175B50" w:rsidP="00175B50">
      <w:pPr>
        <w:pStyle w:val="BodyText"/>
        <w:spacing w:before="39" w:after="0" w:line="240" w:lineRule="auto"/>
        <w:jc w:val="left"/>
      </w:pPr>
      <w:r>
        <w:rPr>
          <w:noProof/>
          <w:lang w:eastAsia="en-GB"/>
        </w:rPr>
        <w:drawing>
          <wp:inline distT="0" distB="0" distL="0" distR="0" wp14:anchorId="62F2AC6F" wp14:editId="5DA6737C">
            <wp:extent cx="4114800" cy="18288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FE019A0" w14:textId="77777777" w:rsidR="00740C55" w:rsidRPr="00B67D98" w:rsidRDefault="00740C55" w:rsidP="00A02740">
      <w:pPr>
        <w:pStyle w:val="Source"/>
      </w:pPr>
      <w:r w:rsidRPr="00B67D98">
        <w:t xml:space="preserve">Source: Own </w:t>
      </w:r>
      <w:r>
        <w:t xml:space="preserve">computations using </w:t>
      </w:r>
      <w:proofErr w:type="spellStart"/>
      <w:r>
        <w:t>Eora26</w:t>
      </w:r>
      <w:proofErr w:type="spellEnd"/>
      <w:r>
        <w:t xml:space="preserve"> database</w:t>
      </w:r>
    </w:p>
    <w:p w14:paraId="7FE019A1" w14:textId="77777777" w:rsidR="00740C55" w:rsidRDefault="00740C55" w:rsidP="00740C55">
      <w:pPr>
        <w:pStyle w:val="BodyText"/>
      </w:pPr>
    </w:p>
    <w:p w14:paraId="7FE019A2" w14:textId="77777777" w:rsidR="00740C55" w:rsidRPr="00623027" w:rsidRDefault="00740C55" w:rsidP="00740C55">
      <w:pPr>
        <w:pStyle w:val="FigureHeading"/>
        <w:rPr>
          <w:rFonts w:cs="Arial"/>
        </w:rPr>
      </w:pPr>
      <w:bookmarkStart w:id="81" w:name="_Toc427923472"/>
      <w:r>
        <w:rPr>
          <w:rFonts w:cs="Arial"/>
        </w:rPr>
        <w:t>Overall value of domestic and foreign value added, 1996, 2000, 2006 and 2011 (in USD 1,000)</w:t>
      </w:r>
      <w:r w:rsidR="00A02740" w:rsidRPr="00A02740">
        <w:t xml:space="preserve"> </w:t>
      </w:r>
      <w:r w:rsidR="00A02740">
        <w:t>, Somalia</w:t>
      </w:r>
      <w:bookmarkEnd w:id="81"/>
    </w:p>
    <w:p w14:paraId="7FE019A3" w14:textId="77777777" w:rsidR="00740C55" w:rsidRDefault="00740C55" w:rsidP="00740C55">
      <w:pPr>
        <w:pStyle w:val="BodyText"/>
      </w:pPr>
      <w:r>
        <w:rPr>
          <w:noProof/>
          <w:lang w:eastAsia="en-GB"/>
        </w:rPr>
        <w:drawing>
          <wp:inline distT="0" distB="0" distL="0" distR="0" wp14:anchorId="7FE019F3" wp14:editId="7FE019F4">
            <wp:extent cx="4114800" cy="1828800"/>
            <wp:effectExtent l="0" t="0" r="0" b="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E019A4" w14:textId="77777777" w:rsidR="00740C55" w:rsidRPr="00B67D98" w:rsidRDefault="00740C55" w:rsidP="00A02740">
      <w:pPr>
        <w:pStyle w:val="Source"/>
      </w:pPr>
      <w:r w:rsidRPr="00B67D98">
        <w:t xml:space="preserve">Source: Own </w:t>
      </w:r>
      <w:r>
        <w:t xml:space="preserve">computations using </w:t>
      </w:r>
      <w:proofErr w:type="spellStart"/>
      <w:r>
        <w:t>Eora26</w:t>
      </w:r>
      <w:proofErr w:type="spellEnd"/>
      <w:r>
        <w:t xml:space="preserve"> database</w:t>
      </w:r>
    </w:p>
    <w:p w14:paraId="7FE019A5" w14:textId="77777777" w:rsidR="00740C55" w:rsidRPr="007831E9" w:rsidRDefault="00740C55" w:rsidP="00740C55">
      <w:pPr>
        <w:pStyle w:val="BodyText"/>
      </w:pPr>
    </w:p>
    <w:p w14:paraId="7FE019A6" w14:textId="77777777" w:rsidR="00740C55" w:rsidRPr="00623027" w:rsidRDefault="00740C55" w:rsidP="00740C55">
      <w:pPr>
        <w:pStyle w:val="FigureHeading"/>
        <w:rPr>
          <w:rFonts w:cs="Arial"/>
        </w:rPr>
      </w:pPr>
      <w:bookmarkStart w:id="82" w:name="_Toc427923473"/>
      <w:r>
        <w:rPr>
          <w:rFonts w:cs="Arial"/>
        </w:rPr>
        <w:t>C</w:t>
      </w:r>
      <w:r w:rsidRPr="007831E9">
        <w:rPr>
          <w:rFonts w:cs="Arial"/>
        </w:rPr>
        <w:t xml:space="preserve">ompound annual growth rate of </w:t>
      </w:r>
      <w:proofErr w:type="spellStart"/>
      <w:r w:rsidRPr="007831E9">
        <w:rPr>
          <w:rFonts w:cs="Arial"/>
        </w:rPr>
        <w:t>DVA</w:t>
      </w:r>
      <w:proofErr w:type="spellEnd"/>
      <w:r w:rsidRPr="007831E9">
        <w:rPr>
          <w:rFonts w:cs="Arial"/>
        </w:rPr>
        <w:t xml:space="preserve"> embodied in gross exports by sector, 1996-2011 and 2006-2011</w:t>
      </w:r>
      <w:r w:rsidR="00A02740">
        <w:t>, Somalia</w:t>
      </w:r>
      <w:bookmarkEnd w:id="82"/>
    </w:p>
    <w:p w14:paraId="7FE019A7" w14:textId="77777777" w:rsidR="00740C55" w:rsidRDefault="00740C55" w:rsidP="00740C55">
      <w:r>
        <w:rPr>
          <w:noProof/>
          <w:lang w:eastAsia="en-GB"/>
        </w:rPr>
        <w:drawing>
          <wp:inline distT="0" distB="0" distL="0" distR="0" wp14:anchorId="7FE019F5" wp14:editId="7FE019F6">
            <wp:extent cx="4572000" cy="2743200"/>
            <wp:effectExtent l="0" t="0" r="0"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FE019A8" w14:textId="77777777" w:rsidR="00740C55" w:rsidRPr="00B67D98" w:rsidRDefault="00740C55" w:rsidP="00A02740">
      <w:pPr>
        <w:pStyle w:val="Source"/>
      </w:pPr>
      <w:r w:rsidRPr="00B67D98">
        <w:t xml:space="preserve">Source: Own </w:t>
      </w:r>
      <w:r>
        <w:t xml:space="preserve">computations using </w:t>
      </w:r>
      <w:proofErr w:type="spellStart"/>
      <w:r>
        <w:t>Eora26</w:t>
      </w:r>
      <w:proofErr w:type="spellEnd"/>
      <w:r>
        <w:t xml:space="preserve"> database</w:t>
      </w:r>
    </w:p>
    <w:p w14:paraId="7FE019A9" w14:textId="77777777" w:rsidR="00740C55" w:rsidRDefault="00740C55" w:rsidP="00740C55"/>
    <w:p w14:paraId="7FE019AA" w14:textId="77777777" w:rsidR="00740C55" w:rsidRDefault="00740C55" w:rsidP="00740C55">
      <w:pPr>
        <w:pStyle w:val="FigureHeading"/>
      </w:pPr>
      <w:bookmarkStart w:id="83" w:name="_Toc427923474"/>
      <w:r w:rsidRPr="007831E9">
        <w:rPr>
          <w:rFonts w:cs="Arial"/>
        </w:rPr>
        <w:t xml:space="preserve">Sectoral </w:t>
      </w:r>
      <w:proofErr w:type="spellStart"/>
      <w:r w:rsidRPr="007831E9">
        <w:rPr>
          <w:rFonts w:cs="Arial"/>
        </w:rPr>
        <w:t>DVA</w:t>
      </w:r>
      <w:proofErr w:type="spellEnd"/>
      <w:r w:rsidRPr="007831E9">
        <w:rPr>
          <w:rFonts w:cs="Arial"/>
        </w:rPr>
        <w:t xml:space="preserve"> embodied in exports as a share of sectoral gross exports, 2000 and 2011</w:t>
      </w:r>
      <w:r w:rsidR="00A02740">
        <w:t>, Somalia</w:t>
      </w:r>
      <w:bookmarkEnd w:id="83"/>
    </w:p>
    <w:p w14:paraId="51189216" w14:textId="73879BA1" w:rsidR="00175B50" w:rsidRPr="00175B50" w:rsidRDefault="00175B50" w:rsidP="00175B50">
      <w:pPr>
        <w:pStyle w:val="BodyText"/>
        <w:spacing w:before="39" w:after="0" w:line="240" w:lineRule="auto"/>
        <w:jc w:val="left"/>
      </w:pPr>
      <w:r>
        <w:rPr>
          <w:noProof/>
          <w:lang w:eastAsia="en-GB"/>
        </w:rPr>
        <w:drawing>
          <wp:inline distT="0" distB="0" distL="0" distR="0" wp14:anchorId="346A7803" wp14:editId="6916B3EF">
            <wp:extent cx="4572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FE019AC" w14:textId="77777777" w:rsidR="00740C55" w:rsidRPr="00B67D98" w:rsidRDefault="00740C55" w:rsidP="00A02740">
      <w:pPr>
        <w:pStyle w:val="Source"/>
      </w:pPr>
      <w:r w:rsidRPr="00B67D98">
        <w:t xml:space="preserve">Source: Own </w:t>
      </w:r>
      <w:r>
        <w:t xml:space="preserve">computations using </w:t>
      </w:r>
      <w:proofErr w:type="spellStart"/>
      <w:r>
        <w:t>Eora26</w:t>
      </w:r>
      <w:proofErr w:type="spellEnd"/>
      <w:r>
        <w:t xml:space="preserve"> database</w:t>
      </w:r>
    </w:p>
    <w:p w14:paraId="7FE019AD" w14:textId="77777777" w:rsidR="00740C55" w:rsidRDefault="00740C55" w:rsidP="00740C55"/>
    <w:p w14:paraId="7FE019AE" w14:textId="77777777" w:rsidR="00A02740" w:rsidRDefault="00A02740">
      <w:pPr>
        <w:rPr>
          <w:rFonts w:ascii="Arial" w:hAnsi="Arial" w:cs="Arial"/>
          <w:b/>
          <w:color w:val="006C67" w:themeColor="accent1"/>
          <w:sz w:val="24"/>
        </w:rPr>
      </w:pPr>
      <w:r>
        <w:rPr>
          <w:rFonts w:cs="Arial"/>
        </w:rPr>
        <w:br w:type="page"/>
      </w:r>
    </w:p>
    <w:p w14:paraId="7FE019AF" w14:textId="77777777" w:rsidR="00740C55" w:rsidRDefault="00740C55" w:rsidP="00740C55">
      <w:pPr>
        <w:pStyle w:val="FigureHeading"/>
      </w:pPr>
      <w:bookmarkStart w:id="84" w:name="_Toc427923475"/>
      <w:r w:rsidRPr="007831E9">
        <w:rPr>
          <w:rFonts w:cs="Arial"/>
        </w:rPr>
        <w:t xml:space="preserve">Sectoral </w:t>
      </w:r>
      <w:proofErr w:type="spellStart"/>
      <w:r w:rsidRPr="007831E9">
        <w:rPr>
          <w:rFonts w:cs="Arial"/>
        </w:rPr>
        <w:t>DVA</w:t>
      </w:r>
      <w:proofErr w:type="spellEnd"/>
      <w:r w:rsidRPr="007831E9">
        <w:rPr>
          <w:rFonts w:cs="Arial"/>
        </w:rPr>
        <w:t xml:space="preserve"> as a share of total </w:t>
      </w:r>
      <w:proofErr w:type="spellStart"/>
      <w:r w:rsidRPr="007831E9">
        <w:rPr>
          <w:rFonts w:cs="Arial"/>
        </w:rPr>
        <w:t>DVA</w:t>
      </w:r>
      <w:proofErr w:type="spellEnd"/>
      <w:r w:rsidRPr="007831E9">
        <w:rPr>
          <w:rFonts w:cs="Arial"/>
        </w:rPr>
        <w:t>, 2000 and 2011</w:t>
      </w:r>
      <w:r w:rsidR="00A02740">
        <w:t>, Somalia</w:t>
      </w:r>
      <w:bookmarkEnd w:id="84"/>
    </w:p>
    <w:p w14:paraId="7FE019B0" w14:textId="77777777" w:rsidR="00A02740" w:rsidRDefault="00A02740" w:rsidP="00A02740">
      <w:pPr>
        <w:pStyle w:val="BodyText"/>
      </w:pPr>
      <w:r>
        <w:rPr>
          <w:noProof/>
          <w:lang w:eastAsia="en-GB"/>
        </w:rPr>
        <w:drawing>
          <wp:inline distT="0" distB="0" distL="0" distR="0" wp14:anchorId="7FE019F9" wp14:editId="7FE019FA">
            <wp:extent cx="4680966" cy="2800800"/>
            <wp:effectExtent l="0" t="0" r="571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FE019B1" w14:textId="77777777" w:rsidR="00A02740" w:rsidRPr="00A02740" w:rsidRDefault="00A02740" w:rsidP="00A02740">
      <w:pPr>
        <w:pStyle w:val="BodyText"/>
      </w:pPr>
      <w:r>
        <w:rPr>
          <w:noProof/>
          <w:lang w:eastAsia="en-GB"/>
        </w:rPr>
        <w:drawing>
          <wp:inline distT="0" distB="0" distL="0" distR="0" wp14:anchorId="7FE019FB" wp14:editId="7FE019FC">
            <wp:extent cx="4680000" cy="2800800"/>
            <wp:effectExtent l="0" t="0" r="63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FE019B2" w14:textId="77777777" w:rsidR="00740C55" w:rsidRPr="00B67D98" w:rsidRDefault="00740C55" w:rsidP="00A02740">
      <w:pPr>
        <w:pStyle w:val="Source"/>
      </w:pPr>
      <w:r w:rsidRPr="00B67D98">
        <w:t xml:space="preserve">Source: Own </w:t>
      </w:r>
      <w:r>
        <w:t xml:space="preserve">computations using </w:t>
      </w:r>
      <w:proofErr w:type="spellStart"/>
      <w:r>
        <w:t>Eora26</w:t>
      </w:r>
      <w:proofErr w:type="spellEnd"/>
      <w:r>
        <w:t xml:space="preserve"> database</w:t>
      </w:r>
    </w:p>
    <w:p w14:paraId="7FE019B3" w14:textId="77777777" w:rsidR="00740C55" w:rsidRDefault="00740C55" w:rsidP="00740C55"/>
    <w:p w14:paraId="7FE019B4" w14:textId="77777777" w:rsidR="00A02740" w:rsidRDefault="00A02740">
      <w:pPr>
        <w:rPr>
          <w:rFonts w:ascii="Arial" w:hAnsi="Arial" w:cs="Arial"/>
          <w:b/>
          <w:color w:val="006C67" w:themeColor="accent1"/>
          <w:sz w:val="24"/>
        </w:rPr>
      </w:pPr>
      <w:r>
        <w:rPr>
          <w:rFonts w:cs="Arial"/>
        </w:rPr>
        <w:br w:type="page"/>
      </w:r>
    </w:p>
    <w:p w14:paraId="7FE019B5" w14:textId="77777777" w:rsidR="00740C55" w:rsidRPr="00623027" w:rsidRDefault="00740C55" w:rsidP="00740C55">
      <w:pPr>
        <w:pStyle w:val="FigureHeading"/>
        <w:rPr>
          <w:rFonts w:cs="Arial"/>
        </w:rPr>
      </w:pPr>
      <w:bookmarkStart w:id="85" w:name="_Toc427923476"/>
      <w:r w:rsidRPr="007831E9">
        <w:rPr>
          <w:rFonts w:cs="Arial"/>
        </w:rPr>
        <w:t xml:space="preserve">Compound annual growth rate of </w:t>
      </w:r>
      <w:proofErr w:type="spellStart"/>
      <w:r w:rsidRPr="007831E9">
        <w:rPr>
          <w:rFonts w:cs="Arial"/>
        </w:rPr>
        <w:t>FVA</w:t>
      </w:r>
      <w:proofErr w:type="spellEnd"/>
      <w:r w:rsidRPr="007831E9">
        <w:rPr>
          <w:rFonts w:cs="Arial"/>
        </w:rPr>
        <w:t xml:space="preserve"> embodied in gross exports by sector, 1996-2011 and 2006-2011</w:t>
      </w:r>
      <w:r w:rsidR="00A02740">
        <w:t>, Somalia</w:t>
      </w:r>
      <w:bookmarkEnd w:id="85"/>
    </w:p>
    <w:p w14:paraId="7FE019B6" w14:textId="77777777" w:rsidR="00740C55" w:rsidRDefault="00740C55" w:rsidP="00740C55">
      <w:r>
        <w:rPr>
          <w:noProof/>
          <w:lang w:eastAsia="en-GB"/>
        </w:rPr>
        <w:drawing>
          <wp:inline distT="0" distB="0" distL="0" distR="0" wp14:anchorId="7FE019FD" wp14:editId="7FE019FE">
            <wp:extent cx="4572000" cy="2743200"/>
            <wp:effectExtent l="0" t="0" r="0" b="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FE019B7" w14:textId="77777777" w:rsidR="00740C55" w:rsidRPr="00B67D98" w:rsidRDefault="00740C55" w:rsidP="00875A98">
      <w:pPr>
        <w:pStyle w:val="Source"/>
      </w:pPr>
      <w:r w:rsidRPr="00B67D98">
        <w:t xml:space="preserve">Source: Own </w:t>
      </w:r>
      <w:r>
        <w:t xml:space="preserve">computations using </w:t>
      </w:r>
      <w:proofErr w:type="spellStart"/>
      <w:r>
        <w:t>Eora26</w:t>
      </w:r>
      <w:proofErr w:type="spellEnd"/>
      <w:r>
        <w:t xml:space="preserve"> database</w:t>
      </w:r>
    </w:p>
    <w:p w14:paraId="7FE019B8" w14:textId="77777777" w:rsidR="00740C55" w:rsidRDefault="00740C55" w:rsidP="00740C55"/>
    <w:p w14:paraId="7FE019B9" w14:textId="77777777" w:rsidR="00740C55" w:rsidRDefault="00740C55" w:rsidP="00740C55">
      <w:pPr>
        <w:pStyle w:val="FigureHeading"/>
      </w:pPr>
      <w:bookmarkStart w:id="86" w:name="_Toc427923477"/>
      <w:r w:rsidRPr="007831E9">
        <w:rPr>
          <w:rFonts w:cs="Arial"/>
        </w:rPr>
        <w:t xml:space="preserve">Sectoral </w:t>
      </w:r>
      <w:proofErr w:type="spellStart"/>
      <w:r w:rsidRPr="007831E9">
        <w:rPr>
          <w:rFonts w:cs="Arial"/>
        </w:rPr>
        <w:t>FVA</w:t>
      </w:r>
      <w:proofErr w:type="spellEnd"/>
      <w:r w:rsidRPr="007831E9">
        <w:rPr>
          <w:rFonts w:cs="Arial"/>
        </w:rPr>
        <w:t xml:space="preserve"> embodied in exports as a share of sectoral gross exports, 2000 and 2011</w:t>
      </w:r>
      <w:r w:rsidR="00A02740">
        <w:t>, Somalia</w:t>
      </w:r>
      <w:bookmarkEnd w:id="86"/>
    </w:p>
    <w:p w14:paraId="6CA04C9D" w14:textId="126D220D" w:rsidR="00175B50" w:rsidRPr="00175B50" w:rsidRDefault="00175B50" w:rsidP="00175B50">
      <w:pPr>
        <w:pStyle w:val="BodyText"/>
        <w:spacing w:before="39" w:after="0" w:line="240" w:lineRule="auto"/>
        <w:jc w:val="left"/>
      </w:pPr>
      <w:r>
        <w:rPr>
          <w:noProof/>
          <w:lang w:eastAsia="en-GB"/>
        </w:rPr>
        <w:drawing>
          <wp:inline distT="0" distB="0" distL="0" distR="0" wp14:anchorId="7FBFF70E" wp14:editId="05EA3CF4">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FE019BB" w14:textId="77777777" w:rsidR="00740C55" w:rsidRPr="00B67D98" w:rsidRDefault="00740C55" w:rsidP="00875A98">
      <w:pPr>
        <w:pStyle w:val="Source"/>
      </w:pPr>
      <w:r w:rsidRPr="00B67D98">
        <w:t xml:space="preserve">Source: Own </w:t>
      </w:r>
      <w:r>
        <w:t xml:space="preserve">computations using </w:t>
      </w:r>
      <w:proofErr w:type="spellStart"/>
      <w:r>
        <w:t>Eora26</w:t>
      </w:r>
      <w:proofErr w:type="spellEnd"/>
      <w:r>
        <w:t xml:space="preserve"> database</w:t>
      </w:r>
    </w:p>
    <w:p w14:paraId="7FE019BC" w14:textId="77777777" w:rsidR="00740C55" w:rsidRDefault="00740C55" w:rsidP="00740C55">
      <w:pPr>
        <w:pStyle w:val="BodyText"/>
      </w:pPr>
    </w:p>
    <w:p w14:paraId="7FE019BD" w14:textId="77777777" w:rsidR="00875A98" w:rsidRDefault="00875A98">
      <w:pPr>
        <w:rPr>
          <w:rFonts w:ascii="Arial" w:hAnsi="Arial" w:cs="Arial"/>
          <w:b/>
          <w:color w:val="006C67" w:themeColor="accent1"/>
          <w:sz w:val="24"/>
        </w:rPr>
      </w:pPr>
      <w:r>
        <w:rPr>
          <w:rFonts w:cs="Arial"/>
        </w:rPr>
        <w:br w:type="page"/>
      </w:r>
    </w:p>
    <w:p w14:paraId="7FE019BE" w14:textId="77777777" w:rsidR="00740C55" w:rsidRDefault="00740C55" w:rsidP="00740C55">
      <w:pPr>
        <w:pStyle w:val="FigureHeading"/>
      </w:pPr>
      <w:bookmarkStart w:id="87" w:name="_Toc427923478"/>
      <w:r w:rsidRPr="007831E9">
        <w:rPr>
          <w:rFonts w:cs="Arial"/>
        </w:rPr>
        <w:t xml:space="preserve">Sectoral </w:t>
      </w:r>
      <w:proofErr w:type="spellStart"/>
      <w:r w:rsidRPr="007831E9">
        <w:rPr>
          <w:rFonts w:cs="Arial"/>
        </w:rPr>
        <w:t>FVA</w:t>
      </w:r>
      <w:proofErr w:type="spellEnd"/>
      <w:r w:rsidRPr="007831E9">
        <w:rPr>
          <w:rFonts w:cs="Arial"/>
        </w:rPr>
        <w:t xml:space="preserve"> as a share of total </w:t>
      </w:r>
      <w:proofErr w:type="spellStart"/>
      <w:r w:rsidRPr="007831E9">
        <w:rPr>
          <w:rFonts w:cs="Arial"/>
        </w:rPr>
        <w:t>FVA</w:t>
      </w:r>
      <w:proofErr w:type="spellEnd"/>
      <w:r w:rsidRPr="007831E9">
        <w:rPr>
          <w:rFonts w:cs="Arial"/>
        </w:rPr>
        <w:t>, 2000 and 2011</w:t>
      </w:r>
      <w:r w:rsidR="00A02740">
        <w:t>, Somalia</w:t>
      </w:r>
      <w:bookmarkEnd w:id="87"/>
    </w:p>
    <w:p w14:paraId="7FE019BF" w14:textId="77777777" w:rsidR="00875A98" w:rsidRPr="00875A98" w:rsidRDefault="00875A98" w:rsidP="00875A98">
      <w:pPr>
        <w:pStyle w:val="BodyText"/>
      </w:pPr>
      <w:r>
        <w:rPr>
          <w:noProof/>
          <w:lang w:eastAsia="en-GB"/>
        </w:rPr>
        <w:drawing>
          <wp:inline distT="0" distB="0" distL="0" distR="0" wp14:anchorId="7FE01A01" wp14:editId="7FE01A02">
            <wp:extent cx="4680966" cy="2799806"/>
            <wp:effectExtent l="0" t="0" r="5715" b="63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FE019C0" w14:textId="77777777" w:rsidR="00740C55" w:rsidRDefault="00875A98" w:rsidP="00740C55">
      <w:pPr>
        <w:pStyle w:val="BodyText"/>
      </w:pPr>
      <w:r>
        <w:rPr>
          <w:noProof/>
          <w:lang w:eastAsia="en-GB"/>
        </w:rPr>
        <w:drawing>
          <wp:inline distT="0" distB="0" distL="0" distR="0" wp14:anchorId="7FE01A03" wp14:editId="7FE01A04">
            <wp:extent cx="4684014" cy="2799806"/>
            <wp:effectExtent l="0" t="0" r="2540" b="6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FE019C1" w14:textId="77777777" w:rsidR="00740C55" w:rsidRPr="00B67D98" w:rsidRDefault="00875A98" w:rsidP="00875A98">
      <w:pPr>
        <w:pStyle w:val="Source"/>
      </w:pPr>
      <w:r>
        <w:t>S</w:t>
      </w:r>
      <w:r w:rsidR="00740C55" w:rsidRPr="00B67D98">
        <w:t xml:space="preserve">ource: Own </w:t>
      </w:r>
      <w:r w:rsidR="00740C55">
        <w:t xml:space="preserve">computations using </w:t>
      </w:r>
      <w:proofErr w:type="spellStart"/>
      <w:r w:rsidR="00740C55">
        <w:t>Eora26</w:t>
      </w:r>
      <w:proofErr w:type="spellEnd"/>
      <w:r w:rsidR="00740C55">
        <w:t xml:space="preserve"> database</w:t>
      </w:r>
    </w:p>
    <w:p w14:paraId="7FE019C2" w14:textId="77777777" w:rsidR="00740C55" w:rsidRPr="007831E9" w:rsidRDefault="00740C55" w:rsidP="00740C55">
      <w:pPr>
        <w:pStyle w:val="BodyText"/>
      </w:pPr>
    </w:p>
    <w:p w14:paraId="7FE019C3" w14:textId="77777777" w:rsidR="00740C55" w:rsidRPr="00740C55" w:rsidRDefault="00740C55" w:rsidP="00740C55">
      <w:pPr>
        <w:pStyle w:val="BodyText"/>
      </w:pPr>
    </w:p>
    <w:p w14:paraId="7FE019C4" w14:textId="77777777" w:rsidR="001E72B4" w:rsidRPr="001E72B4" w:rsidRDefault="001E72B4" w:rsidP="0021498B"/>
    <w:sectPr w:rsidR="001E72B4" w:rsidRPr="001E72B4" w:rsidSect="001228CD">
      <w:headerReference w:type="default" r:id="rId65"/>
      <w:footerReference w:type="default" r:id="rId66"/>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01A09" w14:textId="77777777" w:rsidR="0011341B" w:rsidRDefault="0011341B" w:rsidP="00664562">
      <w:r>
        <w:separator/>
      </w:r>
    </w:p>
  </w:endnote>
  <w:endnote w:type="continuationSeparator" w:id="0">
    <w:p w14:paraId="7FE01A0A" w14:textId="77777777" w:rsidR="0011341B" w:rsidRDefault="0011341B"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01A0C" w14:textId="77777777" w:rsidR="00A02740" w:rsidRDefault="00A02740">
    <w:pPr>
      <w:pStyle w:val="Footer"/>
    </w:pPr>
    <w:r>
      <w:fldChar w:fldCharType="begin"/>
    </w:r>
    <w:r>
      <w:instrText xml:space="preserve"> page </w:instrText>
    </w:r>
    <w:r>
      <w:fldChar w:fldCharType="separate"/>
    </w:r>
    <w:r w:rsidR="00474F86">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A02740" w14:paraId="7FE01A1E" w14:textId="77777777" w:rsidTr="00401C72">
      <w:tc>
        <w:tcPr>
          <w:tcW w:w="3800" w:type="dxa"/>
        </w:tcPr>
        <w:p w14:paraId="7FE01A1C" w14:textId="77777777" w:rsidR="00A02740" w:rsidRDefault="00A02740" w:rsidP="00401C72">
          <w:pPr>
            <w:pStyle w:val="Strapline"/>
          </w:pPr>
          <w:r>
            <w:t>Shaping policy for development</w:t>
          </w:r>
        </w:p>
      </w:tc>
      <w:tc>
        <w:tcPr>
          <w:tcW w:w="6406" w:type="dxa"/>
        </w:tcPr>
        <w:p w14:paraId="7FE01A1D" w14:textId="77777777" w:rsidR="00A02740" w:rsidRPr="00346BDD" w:rsidRDefault="00A02740" w:rsidP="00401C72">
          <w:pPr>
            <w:pStyle w:val="Strapline"/>
            <w:jc w:val="right"/>
            <w:rPr>
              <w:b/>
            </w:rPr>
          </w:pPr>
          <w:r w:rsidRPr="00346BDD">
            <w:rPr>
              <w:b/>
            </w:rPr>
            <w:t>odi.org</w:t>
          </w:r>
        </w:p>
      </w:tc>
    </w:tr>
  </w:tbl>
  <w:p w14:paraId="7FE01A1F" w14:textId="77777777" w:rsidR="00A02740" w:rsidRDefault="00A02740">
    <w:pPr>
      <w:pStyle w:val="Footer"/>
    </w:pPr>
  </w:p>
  <w:p w14:paraId="7FE01A20" w14:textId="77777777" w:rsidR="00A02740" w:rsidRDefault="00A02740">
    <w:pPr>
      <w:pStyle w:val="Footer"/>
    </w:pPr>
  </w:p>
  <w:p w14:paraId="7FE01A21" w14:textId="77777777" w:rsidR="00A02740" w:rsidRDefault="00A02740">
    <w:pPr>
      <w:pStyle w:val="Footer"/>
    </w:pPr>
  </w:p>
  <w:p w14:paraId="7FE01A22" w14:textId="77777777" w:rsidR="00A02740" w:rsidRDefault="00A02740">
    <w:pPr>
      <w:pStyle w:val="Footer"/>
    </w:pPr>
  </w:p>
  <w:p w14:paraId="7FE01A23" w14:textId="77777777" w:rsidR="00A02740" w:rsidRDefault="00A027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7FE01A25" w14:textId="77777777" w:rsidR="00A02740" w:rsidRPr="001228CD" w:rsidRDefault="00A02740"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474F86" w:rsidRPr="00474F86">
          <w:rPr>
            <w:rFonts w:asciiTheme="majorHAnsi" w:eastAsiaTheme="majorEastAsia" w:hAnsiTheme="majorHAnsi" w:cstheme="majorHAnsi"/>
            <w:noProof/>
            <w:sz w:val="18"/>
            <w:szCs w:val="18"/>
          </w:rPr>
          <w:t>3</w:t>
        </w:r>
        <w:r w:rsidRPr="001228CD">
          <w:rPr>
            <w:rFonts w:asciiTheme="majorHAnsi" w:eastAsiaTheme="majorEastAsia" w:hAnsiTheme="majorHAnsi" w:cstheme="majorHAnsi"/>
            <w:noProof/>
            <w:sz w:val="18"/>
            <w:szCs w:val="18"/>
          </w:rPr>
          <w:fldChar w:fldCharType="end"/>
        </w:r>
      </w:p>
    </w:sdtContent>
  </w:sdt>
  <w:p w14:paraId="7FE01A26" w14:textId="77777777" w:rsidR="00A02740" w:rsidRDefault="00A027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11341B" w14:paraId="7FE01A06" w14:textId="77777777" w:rsidTr="00F676A1">
        <w:trPr>
          <w:trHeight w:hRule="exact" w:val="227"/>
        </w:trPr>
        <w:tc>
          <w:tcPr>
            <w:tcW w:w="9855" w:type="dxa"/>
          </w:tcPr>
          <w:p w14:paraId="7FE01A05" w14:textId="77777777" w:rsidR="0011341B" w:rsidRDefault="0011341B" w:rsidP="0073462B">
            <w:pPr>
              <w:pStyle w:val="Footer"/>
            </w:pPr>
          </w:p>
        </w:tc>
      </w:tr>
    </w:tbl>
    <w:p w14:paraId="7FE01A07" w14:textId="77777777" w:rsidR="0011341B" w:rsidRPr="0073462B" w:rsidRDefault="0011341B" w:rsidP="0073462B">
      <w:pPr>
        <w:pStyle w:val="Footer"/>
        <w:rPr>
          <w:sz w:val="2"/>
          <w:szCs w:val="2"/>
        </w:rPr>
      </w:pPr>
    </w:p>
  </w:footnote>
  <w:footnote w:type="continuationSeparator" w:id="0">
    <w:p w14:paraId="7FE01A08" w14:textId="77777777" w:rsidR="0011341B" w:rsidRDefault="0011341B"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01A0B" w14:textId="77777777" w:rsidR="00A02740" w:rsidRDefault="00A02740">
    <w:pPr>
      <w:pStyle w:val="Header"/>
    </w:pPr>
    <w:r>
      <w:rPr>
        <w:noProof/>
        <w:lang w:eastAsia="en-GB"/>
      </w:rPr>
      <mc:AlternateContent>
        <mc:Choice Requires="wps">
          <w:drawing>
            <wp:anchor distT="0" distB="0" distL="114300" distR="114300" simplePos="0" relativeHeight="251659264" behindDoc="1" locked="0" layoutInCell="1" allowOverlap="1" wp14:anchorId="7FE01A27" wp14:editId="7FE01A28">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01A0D" w14:textId="4D5118A7" w:rsidR="00A02740" w:rsidRPr="00BF6D57" w:rsidRDefault="00BF6D57" w:rsidP="00401C72">
    <w:pPr>
      <w:pStyle w:val="Header"/>
      <w:rPr>
        <w:sz w:val="20"/>
        <w:szCs w:val="20"/>
      </w:rPr>
    </w:pPr>
    <w:r w:rsidRPr="00BF6D57">
      <w:rPr>
        <w:sz w:val="20"/>
        <w:szCs w:val="20"/>
      </w:rPr>
      <w:t>Last updated:</w:t>
    </w:r>
    <w:r w:rsidR="00175B50">
      <w:rPr>
        <w:sz w:val="20"/>
        <w:szCs w:val="20"/>
      </w:rPr>
      <w:t xml:space="preserve"> </w:t>
    </w:r>
    <w:r w:rsidR="009170CE">
      <w:rPr>
        <w:sz w:val="20"/>
        <w:szCs w:val="20"/>
      </w:rPr>
      <w:t>2</w:t>
    </w:r>
    <w:r w:rsidR="00DB648A">
      <w:rPr>
        <w:sz w:val="20"/>
        <w:szCs w:val="20"/>
      </w:rPr>
      <w:t>6</w:t>
    </w:r>
    <w:r w:rsidR="009170CE">
      <w:rPr>
        <w:sz w:val="20"/>
        <w:szCs w:val="20"/>
      </w:rPr>
      <w:t xml:space="preserve"> August</w:t>
    </w:r>
    <w:r w:rsidR="00DB648A">
      <w:rPr>
        <w:sz w:val="20"/>
        <w:szCs w:val="20"/>
      </w:rPr>
      <w:t xml:space="preserve"> 2015</w:t>
    </w:r>
  </w:p>
  <w:p w14:paraId="7FE01A0E" w14:textId="77777777" w:rsidR="00A02740" w:rsidRDefault="00A02740" w:rsidP="00401C72">
    <w:pPr>
      <w:pStyle w:val="Header"/>
    </w:pPr>
  </w:p>
  <w:p w14:paraId="7FE01A0F" w14:textId="77777777" w:rsidR="00A02740" w:rsidRDefault="00A02740" w:rsidP="00401C72">
    <w:pPr>
      <w:pStyle w:val="Header"/>
    </w:pPr>
  </w:p>
  <w:p w14:paraId="7FE01A10" w14:textId="77777777" w:rsidR="00A02740" w:rsidRDefault="00A02740" w:rsidP="00401C72">
    <w:pPr>
      <w:pStyle w:val="Header"/>
    </w:pPr>
  </w:p>
  <w:p w14:paraId="7FE01A11" w14:textId="77777777" w:rsidR="00A02740" w:rsidRDefault="00A02740" w:rsidP="00401C72">
    <w:pPr>
      <w:pStyle w:val="Header"/>
    </w:pPr>
  </w:p>
  <w:p w14:paraId="7FE01A12" w14:textId="77777777" w:rsidR="00A02740" w:rsidRDefault="00A02740" w:rsidP="00401C72">
    <w:pPr>
      <w:pStyle w:val="Header"/>
    </w:pPr>
  </w:p>
  <w:p w14:paraId="7FE01A13" w14:textId="77777777" w:rsidR="00A02740" w:rsidRDefault="00A02740" w:rsidP="00401C72">
    <w:pPr>
      <w:pStyle w:val="Header"/>
    </w:pPr>
  </w:p>
  <w:p w14:paraId="7FE01A14" w14:textId="77777777" w:rsidR="00A02740" w:rsidRDefault="00A02740" w:rsidP="00401C72">
    <w:pPr>
      <w:pStyle w:val="Header"/>
    </w:pPr>
  </w:p>
  <w:p w14:paraId="7FE01A15" w14:textId="77777777" w:rsidR="00A02740" w:rsidRDefault="00A02740" w:rsidP="00401C72">
    <w:pPr>
      <w:pStyle w:val="Header"/>
    </w:pPr>
  </w:p>
  <w:p w14:paraId="7FE01A16" w14:textId="77777777" w:rsidR="00A02740" w:rsidRDefault="00A02740" w:rsidP="00401C72">
    <w:pPr>
      <w:pStyle w:val="Header"/>
    </w:pPr>
  </w:p>
  <w:p w14:paraId="7FE01A17" w14:textId="77777777" w:rsidR="00A02740" w:rsidRDefault="00A02740" w:rsidP="00401C72">
    <w:pPr>
      <w:pStyle w:val="Header"/>
    </w:pPr>
  </w:p>
  <w:p w14:paraId="7FE01A18" w14:textId="77777777" w:rsidR="00A02740" w:rsidRDefault="00A02740" w:rsidP="00401C72">
    <w:pPr>
      <w:pStyle w:val="Header"/>
    </w:pPr>
  </w:p>
  <w:p w14:paraId="7FE01A19" w14:textId="77777777" w:rsidR="00A02740" w:rsidRDefault="00A02740" w:rsidP="00401C72">
    <w:pPr>
      <w:pStyle w:val="Header"/>
    </w:pPr>
  </w:p>
  <w:p w14:paraId="7FE01A1A" w14:textId="77777777" w:rsidR="00A02740" w:rsidRDefault="00A02740" w:rsidP="00401C72">
    <w:pPr>
      <w:pStyle w:val="Header"/>
    </w:pPr>
  </w:p>
  <w:p w14:paraId="7FE01A1B" w14:textId="77777777" w:rsidR="00A02740" w:rsidRDefault="00A02740" w:rsidP="00401C72">
    <w:pPr>
      <w:pStyle w:val="Header"/>
    </w:pPr>
    <w:r>
      <w:rPr>
        <w:noProof/>
        <w:lang w:eastAsia="en-GB"/>
      </w:rPr>
      <w:drawing>
        <wp:anchor distT="0" distB="0" distL="114300" distR="114300" simplePos="0" relativeHeight="251664384" behindDoc="1" locked="0" layoutInCell="1" allowOverlap="1" wp14:anchorId="7FE01A29" wp14:editId="7FE01A2A">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7FE01A2B" wp14:editId="7FE01A2C">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01A24" w14:textId="77777777" w:rsidR="00A02740" w:rsidRDefault="00A027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3"/>
  </w:num>
  <w:num w:numId="2">
    <w:abstractNumId w:val="5"/>
  </w:num>
  <w:num w:numId="3">
    <w:abstractNumId w:val="10"/>
  </w:num>
  <w:num w:numId="4">
    <w:abstractNumId w:val="4"/>
  </w:num>
  <w:num w:numId="5">
    <w:abstractNumId w:val="2"/>
  </w:num>
  <w:num w:numId="6">
    <w:abstractNumId w:val="11"/>
  </w:num>
  <w:num w:numId="7">
    <w:abstractNumId w:val="9"/>
  </w:num>
  <w:num w:numId="8">
    <w:abstractNumId w:val="7"/>
  </w:num>
  <w:num w:numId="9">
    <w:abstractNumId w:val="0"/>
  </w:num>
  <w:num w:numId="10">
    <w:abstractNumId w:val="8"/>
  </w:num>
  <w:num w:numId="11">
    <w:abstractNumId w:val="1"/>
  </w:num>
  <w:num w:numId="12">
    <w:abstractNumId w:val="8"/>
  </w:num>
  <w:num w:numId="13">
    <w:abstractNumId w:val="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255"/>
    <w:rsid w:val="0000652C"/>
    <w:rsid w:val="000076D8"/>
    <w:rsid w:val="00007F99"/>
    <w:rsid w:val="00011EA8"/>
    <w:rsid w:val="00012753"/>
    <w:rsid w:val="00012BBD"/>
    <w:rsid w:val="0001514C"/>
    <w:rsid w:val="000260C6"/>
    <w:rsid w:val="00031CCD"/>
    <w:rsid w:val="0004771B"/>
    <w:rsid w:val="0005222E"/>
    <w:rsid w:val="00053D3C"/>
    <w:rsid w:val="00062C4C"/>
    <w:rsid w:val="0007293C"/>
    <w:rsid w:val="00082FAD"/>
    <w:rsid w:val="00092E42"/>
    <w:rsid w:val="000968BB"/>
    <w:rsid w:val="000A169E"/>
    <w:rsid w:val="000A2821"/>
    <w:rsid w:val="000A45B1"/>
    <w:rsid w:val="000A5D4E"/>
    <w:rsid w:val="000A6828"/>
    <w:rsid w:val="000B6991"/>
    <w:rsid w:val="000C193D"/>
    <w:rsid w:val="000D1433"/>
    <w:rsid w:val="000D3120"/>
    <w:rsid w:val="000D6D0D"/>
    <w:rsid w:val="000D7881"/>
    <w:rsid w:val="000F6EF5"/>
    <w:rsid w:val="001032B7"/>
    <w:rsid w:val="0010754B"/>
    <w:rsid w:val="0011341B"/>
    <w:rsid w:val="00120AF6"/>
    <w:rsid w:val="001228CD"/>
    <w:rsid w:val="00122DDC"/>
    <w:rsid w:val="00127793"/>
    <w:rsid w:val="00133231"/>
    <w:rsid w:val="0013568E"/>
    <w:rsid w:val="0016258F"/>
    <w:rsid w:val="00171B3C"/>
    <w:rsid w:val="001721C5"/>
    <w:rsid w:val="00174E09"/>
    <w:rsid w:val="00175B50"/>
    <w:rsid w:val="00183515"/>
    <w:rsid w:val="001879E3"/>
    <w:rsid w:val="001A761C"/>
    <w:rsid w:val="001B167F"/>
    <w:rsid w:val="001B4EE1"/>
    <w:rsid w:val="001C4654"/>
    <w:rsid w:val="001C4EF9"/>
    <w:rsid w:val="001D36AE"/>
    <w:rsid w:val="001D49A0"/>
    <w:rsid w:val="001D49E8"/>
    <w:rsid w:val="001E32EE"/>
    <w:rsid w:val="001E4A81"/>
    <w:rsid w:val="001E6C72"/>
    <w:rsid w:val="001E72B4"/>
    <w:rsid w:val="001F4E55"/>
    <w:rsid w:val="0021269B"/>
    <w:rsid w:val="0021498B"/>
    <w:rsid w:val="00230AAA"/>
    <w:rsid w:val="00232565"/>
    <w:rsid w:val="002370C9"/>
    <w:rsid w:val="0024174D"/>
    <w:rsid w:val="002463BE"/>
    <w:rsid w:val="002506FB"/>
    <w:rsid w:val="00253523"/>
    <w:rsid w:val="00254E99"/>
    <w:rsid w:val="00255B93"/>
    <w:rsid w:val="0026761A"/>
    <w:rsid w:val="00270D22"/>
    <w:rsid w:val="00272C14"/>
    <w:rsid w:val="002731D3"/>
    <w:rsid w:val="002751F9"/>
    <w:rsid w:val="002944B4"/>
    <w:rsid w:val="002B354B"/>
    <w:rsid w:val="002B58F7"/>
    <w:rsid w:val="002B7CBB"/>
    <w:rsid w:val="002C3051"/>
    <w:rsid w:val="002C3212"/>
    <w:rsid w:val="002D227E"/>
    <w:rsid w:val="002D2734"/>
    <w:rsid w:val="002D3E1B"/>
    <w:rsid w:val="002D65F8"/>
    <w:rsid w:val="0030081A"/>
    <w:rsid w:val="00303E52"/>
    <w:rsid w:val="00305FA5"/>
    <w:rsid w:val="0030797E"/>
    <w:rsid w:val="00307F06"/>
    <w:rsid w:val="00310652"/>
    <w:rsid w:val="003137F8"/>
    <w:rsid w:val="00332F91"/>
    <w:rsid w:val="00333E0C"/>
    <w:rsid w:val="003353EE"/>
    <w:rsid w:val="0033758D"/>
    <w:rsid w:val="0034397C"/>
    <w:rsid w:val="00346BDD"/>
    <w:rsid w:val="00346D13"/>
    <w:rsid w:val="00347AA3"/>
    <w:rsid w:val="00371218"/>
    <w:rsid w:val="003749D4"/>
    <w:rsid w:val="003912BC"/>
    <w:rsid w:val="00392938"/>
    <w:rsid w:val="00394688"/>
    <w:rsid w:val="00394BB8"/>
    <w:rsid w:val="003C306C"/>
    <w:rsid w:val="003C4053"/>
    <w:rsid w:val="003D06DA"/>
    <w:rsid w:val="003E012B"/>
    <w:rsid w:val="003E1A4A"/>
    <w:rsid w:val="003E616C"/>
    <w:rsid w:val="003E79AF"/>
    <w:rsid w:val="003F14F4"/>
    <w:rsid w:val="003F5500"/>
    <w:rsid w:val="00400DDA"/>
    <w:rsid w:val="00401A43"/>
    <w:rsid w:val="00401C72"/>
    <w:rsid w:val="00403ED6"/>
    <w:rsid w:val="00412E5E"/>
    <w:rsid w:val="00436F99"/>
    <w:rsid w:val="00440C46"/>
    <w:rsid w:val="00455C2A"/>
    <w:rsid w:val="004565AC"/>
    <w:rsid w:val="00457F88"/>
    <w:rsid w:val="00462DDC"/>
    <w:rsid w:val="0046453F"/>
    <w:rsid w:val="00470867"/>
    <w:rsid w:val="00472D81"/>
    <w:rsid w:val="00474F86"/>
    <w:rsid w:val="00484325"/>
    <w:rsid w:val="0048459F"/>
    <w:rsid w:val="00485EC0"/>
    <w:rsid w:val="00486495"/>
    <w:rsid w:val="00494281"/>
    <w:rsid w:val="004B0FE9"/>
    <w:rsid w:val="004B51DA"/>
    <w:rsid w:val="004C56B6"/>
    <w:rsid w:val="004E73F1"/>
    <w:rsid w:val="004F060B"/>
    <w:rsid w:val="00507122"/>
    <w:rsid w:val="00517C36"/>
    <w:rsid w:val="00520318"/>
    <w:rsid w:val="005217FF"/>
    <w:rsid w:val="00525CC1"/>
    <w:rsid w:val="005304D0"/>
    <w:rsid w:val="00543D1D"/>
    <w:rsid w:val="00545BC5"/>
    <w:rsid w:val="00551EA2"/>
    <w:rsid w:val="00563320"/>
    <w:rsid w:val="00564A7A"/>
    <w:rsid w:val="00564F0B"/>
    <w:rsid w:val="00567544"/>
    <w:rsid w:val="00575F70"/>
    <w:rsid w:val="00590C4A"/>
    <w:rsid w:val="005A1BA7"/>
    <w:rsid w:val="005A58F4"/>
    <w:rsid w:val="005A6FA7"/>
    <w:rsid w:val="005B0344"/>
    <w:rsid w:val="005B4E8C"/>
    <w:rsid w:val="005C2CD5"/>
    <w:rsid w:val="005C6F94"/>
    <w:rsid w:val="005C75EB"/>
    <w:rsid w:val="005D2D85"/>
    <w:rsid w:val="005D512E"/>
    <w:rsid w:val="005E037A"/>
    <w:rsid w:val="005E4DBE"/>
    <w:rsid w:val="005F1B76"/>
    <w:rsid w:val="005F2BFA"/>
    <w:rsid w:val="005F4244"/>
    <w:rsid w:val="006029DA"/>
    <w:rsid w:val="00617000"/>
    <w:rsid w:val="00623544"/>
    <w:rsid w:val="00640456"/>
    <w:rsid w:val="00644703"/>
    <w:rsid w:val="00646F4F"/>
    <w:rsid w:val="0065174D"/>
    <w:rsid w:val="006572EF"/>
    <w:rsid w:val="00664562"/>
    <w:rsid w:val="00666E17"/>
    <w:rsid w:val="006724AE"/>
    <w:rsid w:val="0067252C"/>
    <w:rsid w:val="0067593F"/>
    <w:rsid w:val="0068259C"/>
    <w:rsid w:val="00684AF0"/>
    <w:rsid w:val="00684FE5"/>
    <w:rsid w:val="006875E9"/>
    <w:rsid w:val="00696ABC"/>
    <w:rsid w:val="006977AE"/>
    <w:rsid w:val="006B1675"/>
    <w:rsid w:val="006B2F9B"/>
    <w:rsid w:val="006B31C2"/>
    <w:rsid w:val="006B4CF4"/>
    <w:rsid w:val="006C1FA8"/>
    <w:rsid w:val="006C513A"/>
    <w:rsid w:val="006C7729"/>
    <w:rsid w:val="006D0BDA"/>
    <w:rsid w:val="006E46CD"/>
    <w:rsid w:val="006F2898"/>
    <w:rsid w:val="006F684D"/>
    <w:rsid w:val="00705562"/>
    <w:rsid w:val="007111EA"/>
    <w:rsid w:val="00712DB9"/>
    <w:rsid w:val="00714EDC"/>
    <w:rsid w:val="007165E2"/>
    <w:rsid w:val="007177E3"/>
    <w:rsid w:val="0073462B"/>
    <w:rsid w:val="00740C55"/>
    <w:rsid w:val="00745293"/>
    <w:rsid w:val="0075133B"/>
    <w:rsid w:val="007529EE"/>
    <w:rsid w:val="00757B0B"/>
    <w:rsid w:val="007645F6"/>
    <w:rsid w:val="007662F3"/>
    <w:rsid w:val="0079184A"/>
    <w:rsid w:val="007A3E19"/>
    <w:rsid w:val="007A45AB"/>
    <w:rsid w:val="007B1A68"/>
    <w:rsid w:val="007B3D02"/>
    <w:rsid w:val="007B403C"/>
    <w:rsid w:val="007C0CF7"/>
    <w:rsid w:val="007D1DB2"/>
    <w:rsid w:val="007E19B2"/>
    <w:rsid w:val="007E30E8"/>
    <w:rsid w:val="007E38A7"/>
    <w:rsid w:val="007E6C16"/>
    <w:rsid w:val="007F3E73"/>
    <w:rsid w:val="007F6828"/>
    <w:rsid w:val="008010A2"/>
    <w:rsid w:val="0082000A"/>
    <w:rsid w:val="0082160C"/>
    <w:rsid w:val="00831464"/>
    <w:rsid w:val="00835040"/>
    <w:rsid w:val="00836B03"/>
    <w:rsid w:val="0084519B"/>
    <w:rsid w:val="008649F8"/>
    <w:rsid w:val="00865754"/>
    <w:rsid w:val="0086796E"/>
    <w:rsid w:val="00875A98"/>
    <w:rsid w:val="0088042D"/>
    <w:rsid w:val="0088574D"/>
    <w:rsid w:val="008A1ACA"/>
    <w:rsid w:val="008A430A"/>
    <w:rsid w:val="008B225E"/>
    <w:rsid w:val="008D4154"/>
    <w:rsid w:val="008E2FCE"/>
    <w:rsid w:val="008E3900"/>
    <w:rsid w:val="008F0DE4"/>
    <w:rsid w:val="008F4CE5"/>
    <w:rsid w:val="00902A0F"/>
    <w:rsid w:val="009170CE"/>
    <w:rsid w:val="00926356"/>
    <w:rsid w:val="00927476"/>
    <w:rsid w:val="00932113"/>
    <w:rsid w:val="00933493"/>
    <w:rsid w:val="0093607A"/>
    <w:rsid w:val="00941049"/>
    <w:rsid w:val="00946728"/>
    <w:rsid w:val="009620BC"/>
    <w:rsid w:val="00962BC0"/>
    <w:rsid w:val="00994F8F"/>
    <w:rsid w:val="00996663"/>
    <w:rsid w:val="009A08FB"/>
    <w:rsid w:val="009A2FC4"/>
    <w:rsid w:val="009A47D7"/>
    <w:rsid w:val="009B1AF6"/>
    <w:rsid w:val="009C3C78"/>
    <w:rsid w:val="009D26F6"/>
    <w:rsid w:val="009D51C0"/>
    <w:rsid w:val="009D72A8"/>
    <w:rsid w:val="009F1A46"/>
    <w:rsid w:val="009F3201"/>
    <w:rsid w:val="00A02740"/>
    <w:rsid w:val="00A251B5"/>
    <w:rsid w:val="00A257BE"/>
    <w:rsid w:val="00A34431"/>
    <w:rsid w:val="00A364CB"/>
    <w:rsid w:val="00A375FF"/>
    <w:rsid w:val="00A40DEA"/>
    <w:rsid w:val="00A44F79"/>
    <w:rsid w:val="00A55623"/>
    <w:rsid w:val="00A55E26"/>
    <w:rsid w:val="00A63EF0"/>
    <w:rsid w:val="00A8569F"/>
    <w:rsid w:val="00A85F57"/>
    <w:rsid w:val="00A86B25"/>
    <w:rsid w:val="00A90359"/>
    <w:rsid w:val="00AB1E7E"/>
    <w:rsid w:val="00AB58C9"/>
    <w:rsid w:val="00AD0B21"/>
    <w:rsid w:val="00AD51AB"/>
    <w:rsid w:val="00AD7A53"/>
    <w:rsid w:val="00AE002E"/>
    <w:rsid w:val="00AE5156"/>
    <w:rsid w:val="00AE567E"/>
    <w:rsid w:val="00AE752E"/>
    <w:rsid w:val="00AF5CFE"/>
    <w:rsid w:val="00B0147A"/>
    <w:rsid w:val="00B12AEC"/>
    <w:rsid w:val="00B1497C"/>
    <w:rsid w:val="00B251E9"/>
    <w:rsid w:val="00B36F67"/>
    <w:rsid w:val="00B407A0"/>
    <w:rsid w:val="00B40B3F"/>
    <w:rsid w:val="00B43E10"/>
    <w:rsid w:val="00B43EA2"/>
    <w:rsid w:val="00B44747"/>
    <w:rsid w:val="00B50876"/>
    <w:rsid w:val="00B5437B"/>
    <w:rsid w:val="00B755ED"/>
    <w:rsid w:val="00B76800"/>
    <w:rsid w:val="00B76AAE"/>
    <w:rsid w:val="00B77BAD"/>
    <w:rsid w:val="00B808C2"/>
    <w:rsid w:val="00B81FB2"/>
    <w:rsid w:val="00B833F0"/>
    <w:rsid w:val="00B851CA"/>
    <w:rsid w:val="00B85EE6"/>
    <w:rsid w:val="00B96C41"/>
    <w:rsid w:val="00B96F8F"/>
    <w:rsid w:val="00B970EA"/>
    <w:rsid w:val="00BA441A"/>
    <w:rsid w:val="00BA5FA0"/>
    <w:rsid w:val="00BA639F"/>
    <w:rsid w:val="00BB2A9C"/>
    <w:rsid w:val="00BB5F06"/>
    <w:rsid w:val="00BB675E"/>
    <w:rsid w:val="00BC1A2F"/>
    <w:rsid w:val="00BC486C"/>
    <w:rsid w:val="00BD3901"/>
    <w:rsid w:val="00BD7D08"/>
    <w:rsid w:val="00BE010C"/>
    <w:rsid w:val="00BE7D5A"/>
    <w:rsid w:val="00BF137D"/>
    <w:rsid w:val="00BF6D57"/>
    <w:rsid w:val="00C001CF"/>
    <w:rsid w:val="00C00A3D"/>
    <w:rsid w:val="00C05475"/>
    <w:rsid w:val="00C06538"/>
    <w:rsid w:val="00C12C19"/>
    <w:rsid w:val="00C141A3"/>
    <w:rsid w:val="00C16D5D"/>
    <w:rsid w:val="00C22116"/>
    <w:rsid w:val="00C2422C"/>
    <w:rsid w:val="00C325B7"/>
    <w:rsid w:val="00C34342"/>
    <w:rsid w:val="00C34B1C"/>
    <w:rsid w:val="00C34FB8"/>
    <w:rsid w:val="00C41384"/>
    <w:rsid w:val="00C41769"/>
    <w:rsid w:val="00C51D05"/>
    <w:rsid w:val="00C52918"/>
    <w:rsid w:val="00C53D15"/>
    <w:rsid w:val="00C560EE"/>
    <w:rsid w:val="00C562F1"/>
    <w:rsid w:val="00C6750C"/>
    <w:rsid w:val="00C7167F"/>
    <w:rsid w:val="00C87F58"/>
    <w:rsid w:val="00C91C87"/>
    <w:rsid w:val="00C94B90"/>
    <w:rsid w:val="00C95BB2"/>
    <w:rsid w:val="00CA7558"/>
    <w:rsid w:val="00CB2389"/>
    <w:rsid w:val="00CB41DF"/>
    <w:rsid w:val="00CC2458"/>
    <w:rsid w:val="00CC2F0A"/>
    <w:rsid w:val="00CC7325"/>
    <w:rsid w:val="00CC7B99"/>
    <w:rsid w:val="00CD153A"/>
    <w:rsid w:val="00CD4953"/>
    <w:rsid w:val="00CD6E26"/>
    <w:rsid w:val="00D004A5"/>
    <w:rsid w:val="00D042AF"/>
    <w:rsid w:val="00D10D73"/>
    <w:rsid w:val="00D2707D"/>
    <w:rsid w:val="00D315D7"/>
    <w:rsid w:val="00D40056"/>
    <w:rsid w:val="00D4065B"/>
    <w:rsid w:val="00D4548D"/>
    <w:rsid w:val="00D522AF"/>
    <w:rsid w:val="00D54624"/>
    <w:rsid w:val="00D63019"/>
    <w:rsid w:val="00D65A90"/>
    <w:rsid w:val="00D7098B"/>
    <w:rsid w:val="00D80511"/>
    <w:rsid w:val="00D836B6"/>
    <w:rsid w:val="00D851C0"/>
    <w:rsid w:val="00D9040C"/>
    <w:rsid w:val="00D94502"/>
    <w:rsid w:val="00DA00FD"/>
    <w:rsid w:val="00DA1B71"/>
    <w:rsid w:val="00DA68ED"/>
    <w:rsid w:val="00DB648A"/>
    <w:rsid w:val="00DC1A9F"/>
    <w:rsid w:val="00DD4551"/>
    <w:rsid w:val="00DE6F6D"/>
    <w:rsid w:val="00DF040A"/>
    <w:rsid w:val="00DF5522"/>
    <w:rsid w:val="00E16D2C"/>
    <w:rsid w:val="00E27196"/>
    <w:rsid w:val="00E43561"/>
    <w:rsid w:val="00E44849"/>
    <w:rsid w:val="00E50793"/>
    <w:rsid w:val="00E6137E"/>
    <w:rsid w:val="00E628F5"/>
    <w:rsid w:val="00E65B70"/>
    <w:rsid w:val="00E71649"/>
    <w:rsid w:val="00E72539"/>
    <w:rsid w:val="00E74E32"/>
    <w:rsid w:val="00E76EF9"/>
    <w:rsid w:val="00E8041F"/>
    <w:rsid w:val="00E81E7D"/>
    <w:rsid w:val="00E83DC2"/>
    <w:rsid w:val="00EA21D5"/>
    <w:rsid w:val="00EA756A"/>
    <w:rsid w:val="00EB2F5E"/>
    <w:rsid w:val="00EB6630"/>
    <w:rsid w:val="00EC049E"/>
    <w:rsid w:val="00EC45E7"/>
    <w:rsid w:val="00EC498B"/>
    <w:rsid w:val="00ED6C42"/>
    <w:rsid w:val="00EE326C"/>
    <w:rsid w:val="00EE341B"/>
    <w:rsid w:val="00EE45CF"/>
    <w:rsid w:val="00EE4860"/>
    <w:rsid w:val="00F0377C"/>
    <w:rsid w:val="00F05E89"/>
    <w:rsid w:val="00F060FB"/>
    <w:rsid w:val="00F07233"/>
    <w:rsid w:val="00F118A0"/>
    <w:rsid w:val="00F12B6E"/>
    <w:rsid w:val="00F1337E"/>
    <w:rsid w:val="00F14D6C"/>
    <w:rsid w:val="00F16BDE"/>
    <w:rsid w:val="00F223D3"/>
    <w:rsid w:val="00F25D8A"/>
    <w:rsid w:val="00F319A2"/>
    <w:rsid w:val="00F46C14"/>
    <w:rsid w:val="00F50092"/>
    <w:rsid w:val="00F515DA"/>
    <w:rsid w:val="00F5280A"/>
    <w:rsid w:val="00F565AD"/>
    <w:rsid w:val="00F60282"/>
    <w:rsid w:val="00F624DF"/>
    <w:rsid w:val="00F64B41"/>
    <w:rsid w:val="00F6653B"/>
    <w:rsid w:val="00F676A1"/>
    <w:rsid w:val="00F67AC6"/>
    <w:rsid w:val="00F76C68"/>
    <w:rsid w:val="00F8038D"/>
    <w:rsid w:val="00F844B7"/>
    <w:rsid w:val="00F94CB0"/>
    <w:rsid w:val="00F95547"/>
    <w:rsid w:val="00F975F4"/>
    <w:rsid w:val="00FB0BC4"/>
    <w:rsid w:val="00FB382F"/>
    <w:rsid w:val="00FC45D4"/>
    <w:rsid w:val="00FC470D"/>
    <w:rsid w:val="00FC783A"/>
    <w:rsid w:val="00FD1A3A"/>
    <w:rsid w:val="00FD1D37"/>
    <w:rsid w:val="00FD69CD"/>
    <w:rsid w:val="00FE1ED2"/>
    <w:rsid w:val="00FE6293"/>
    <w:rsid w:val="00FE650F"/>
    <w:rsid w:val="00FE7B68"/>
    <w:rsid w:val="00FF0FCB"/>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style="mso-position-horizontal:left;mso-position-horizontal-relative:margin;mso-position-vertical-relative:page">
      <v:stroke weight=".5pt"/>
    </o:shapedefaults>
    <o:shapelayout v:ext="edit">
      <o:idmap v:ext="edit" data="1"/>
    </o:shapelayout>
  </w:shapeDefaults>
  <w:decimalSymbol w:val="."/>
  <w:listSeparator w:val=","/>
  <w14:docId w14:val="7FE01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E72B4"/>
    <w:rPr>
      <w:rFonts w:ascii="Times New Roman" w:hAnsi="Times New Roman"/>
      <w:szCs w:val="22"/>
      <w:lang w:eastAsia="en-US"/>
    </w:rPr>
  </w:style>
  <w:style w:type="paragraph" w:styleId="Heading1">
    <w:name w:val="heading 1"/>
    <w:basedOn w:val="Normal"/>
    <w:next w:val="BodyText"/>
    <w:link w:val="Heading1Char"/>
    <w:uiPriority w:val="9"/>
    <w:qFormat/>
    <w:rsid w:val="001E72B4"/>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1E72B4"/>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1E72B4"/>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1E72B4"/>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1E72B4"/>
    <w:pPr>
      <w:outlineLvl w:val="4"/>
    </w:pPr>
    <w:rPr>
      <w:b w:val="0"/>
      <w:i w:val="0"/>
    </w:rPr>
  </w:style>
  <w:style w:type="paragraph" w:styleId="Heading6">
    <w:name w:val="heading 6"/>
    <w:basedOn w:val="Normal"/>
    <w:next w:val="BodyText"/>
    <w:link w:val="Heading6Char"/>
    <w:uiPriority w:val="9"/>
    <w:semiHidden/>
    <w:qFormat/>
    <w:rsid w:val="001E72B4"/>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1E72B4"/>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E72B4"/>
    <w:pPr>
      <w:spacing w:after="190" w:line="250" w:lineRule="atLeast"/>
      <w:jc w:val="both"/>
    </w:pPr>
  </w:style>
  <w:style w:type="character" w:customStyle="1" w:styleId="BodyTextChar">
    <w:name w:val="Body Text Char"/>
    <w:link w:val="BodyText"/>
    <w:rsid w:val="001E72B4"/>
    <w:rPr>
      <w:rFonts w:ascii="Times New Roman" w:hAnsi="Times New Roman"/>
      <w:szCs w:val="22"/>
      <w:lang w:eastAsia="en-US"/>
    </w:rPr>
  </w:style>
  <w:style w:type="character" w:customStyle="1" w:styleId="Heading1Char">
    <w:name w:val="Heading 1 Char"/>
    <w:link w:val="Heading1"/>
    <w:uiPriority w:val="9"/>
    <w:rsid w:val="001E72B4"/>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1E72B4"/>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1E72B4"/>
    <w:rPr>
      <w:rFonts w:ascii="Arial" w:eastAsia="Times New Roman" w:hAnsi="Arial"/>
      <w:b/>
      <w:bCs/>
      <w:szCs w:val="26"/>
      <w:lang w:eastAsia="en-US"/>
    </w:rPr>
  </w:style>
  <w:style w:type="character" w:customStyle="1" w:styleId="Heading4Char">
    <w:name w:val="Heading 4 Char"/>
    <w:link w:val="Heading4"/>
    <w:uiPriority w:val="9"/>
    <w:rsid w:val="001E72B4"/>
    <w:rPr>
      <w:rFonts w:ascii="Arial" w:eastAsia="Times New Roman" w:hAnsi="Arial"/>
      <w:b/>
      <w:i/>
      <w:iCs/>
      <w:sz w:val="18"/>
      <w:szCs w:val="26"/>
      <w:lang w:eastAsia="en-US"/>
    </w:rPr>
  </w:style>
  <w:style w:type="character" w:customStyle="1" w:styleId="Heading5Char">
    <w:name w:val="Heading 5 Char"/>
    <w:link w:val="Heading5"/>
    <w:uiPriority w:val="9"/>
    <w:semiHidden/>
    <w:rsid w:val="001E72B4"/>
    <w:rPr>
      <w:rFonts w:ascii="Arial" w:eastAsia="Times New Roman" w:hAnsi="Arial"/>
      <w:iCs/>
      <w:sz w:val="18"/>
      <w:szCs w:val="26"/>
      <w:lang w:eastAsia="en-US"/>
    </w:rPr>
  </w:style>
  <w:style w:type="character" w:customStyle="1" w:styleId="Heading6Char">
    <w:name w:val="Heading 6 Char"/>
    <w:link w:val="Heading6"/>
    <w:uiPriority w:val="9"/>
    <w:semiHidden/>
    <w:rsid w:val="001E72B4"/>
    <w:rPr>
      <w:rFonts w:ascii="Times New Roman" w:eastAsia="Times New Roman" w:hAnsi="Times New Roman"/>
      <w:i/>
      <w:iCs/>
      <w:szCs w:val="22"/>
      <w:lang w:eastAsia="en-US"/>
    </w:rPr>
  </w:style>
  <w:style w:type="paragraph" w:styleId="ListNumber">
    <w:name w:val="List Number"/>
    <w:basedOn w:val="Normal"/>
    <w:uiPriority w:val="99"/>
    <w:unhideWhenUsed/>
    <w:qFormat/>
    <w:rsid w:val="001E72B4"/>
    <w:pPr>
      <w:numPr>
        <w:numId w:val="9"/>
      </w:numPr>
      <w:spacing w:line="250" w:lineRule="atLeast"/>
      <w:jc w:val="both"/>
    </w:pPr>
  </w:style>
  <w:style w:type="paragraph" w:styleId="ListNumber2">
    <w:name w:val="List Number 2"/>
    <w:basedOn w:val="ListNumber"/>
    <w:uiPriority w:val="99"/>
    <w:unhideWhenUsed/>
    <w:qFormat/>
    <w:rsid w:val="001E72B4"/>
    <w:pPr>
      <w:numPr>
        <w:ilvl w:val="1"/>
      </w:numPr>
    </w:pPr>
  </w:style>
  <w:style w:type="paragraph" w:styleId="ListNumber3">
    <w:name w:val="List Number 3"/>
    <w:basedOn w:val="ListNumber2"/>
    <w:uiPriority w:val="99"/>
    <w:unhideWhenUsed/>
    <w:qFormat/>
    <w:rsid w:val="001E72B4"/>
    <w:pPr>
      <w:numPr>
        <w:ilvl w:val="2"/>
      </w:numPr>
    </w:pPr>
  </w:style>
  <w:style w:type="paragraph" w:styleId="ListContinue">
    <w:name w:val="List Continue"/>
    <w:basedOn w:val="Normal"/>
    <w:uiPriority w:val="99"/>
    <w:unhideWhenUsed/>
    <w:qFormat/>
    <w:rsid w:val="001E72B4"/>
    <w:pPr>
      <w:spacing w:line="250" w:lineRule="atLeast"/>
      <w:ind w:left="567" w:right="567"/>
      <w:jc w:val="both"/>
    </w:pPr>
  </w:style>
  <w:style w:type="paragraph" w:styleId="ListContinue2">
    <w:name w:val="List Continue 2"/>
    <w:basedOn w:val="Normal"/>
    <w:uiPriority w:val="99"/>
    <w:unhideWhenUsed/>
    <w:qFormat/>
    <w:rsid w:val="001E72B4"/>
    <w:pPr>
      <w:spacing w:line="250" w:lineRule="atLeast"/>
      <w:ind w:left="851" w:right="567"/>
      <w:jc w:val="both"/>
    </w:pPr>
  </w:style>
  <w:style w:type="paragraph" w:styleId="ListContinue3">
    <w:name w:val="List Continue 3"/>
    <w:basedOn w:val="Normal"/>
    <w:uiPriority w:val="99"/>
    <w:unhideWhenUsed/>
    <w:qFormat/>
    <w:rsid w:val="001E72B4"/>
    <w:pPr>
      <w:spacing w:line="250" w:lineRule="atLeast"/>
      <w:ind w:left="1134" w:right="567"/>
      <w:jc w:val="both"/>
    </w:pPr>
  </w:style>
  <w:style w:type="paragraph" w:styleId="ListBullet">
    <w:name w:val="List Bullet"/>
    <w:basedOn w:val="Normal"/>
    <w:uiPriority w:val="99"/>
    <w:unhideWhenUsed/>
    <w:qFormat/>
    <w:rsid w:val="001E72B4"/>
    <w:pPr>
      <w:numPr>
        <w:numId w:val="4"/>
      </w:numPr>
      <w:spacing w:line="250" w:lineRule="atLeast"/>
      <w:ind w:right="567"/>
      <w:jc w:val="both"/>
    </w:pPr>
  </w:style>
  <w:style w:type="paragraph" w:styleId="ListBullet2">
    <w:name w:val="List Bullet 2"/>
    <w:basedOn w:val="ListBullet"/>
    <w:uiPriority w:val="99"/>
    <w:unhideWhenUsed/>
    <w:qFormat/>
    <w:rsid w:val="001E72B4"/>
    <w:pPr>
      <w:numPr>
        <w:ilvl w:val="1"/>
      </w:numPr>
    </w:pPr>
  </w:style>
  <w:style w:type="character" w:customStyle="1" w:styleId="Heading7Char">
    <w:name w:val="Heading 7 Char"/>
    <w:link w:val="Heading7"/>
    <w:uiPriority w:val="9"/>
    <w:semiHidden/>
    <w:rsid w:val="001E72B4"/>
    <w:rPr>
      <w:rFonts w:eastAsia="Times New Roman"/>
      <w:i/>
      <w:iCs/>
      <w:color w:val="404040"/>
      <w:szCs w:val="22"/>
      <w:lang w:eastAsia="en-US"/>
    </w:rPr>
  </w:style>
  <w:style w:type="paragraph" w:styleId="Footer">
    <w:name w:val="footer"/>
    <w:basedOn w:val="Normal"/>
    <w:link w:val="FooterChar"/>
    <w:uiPriority w:val="99"/>
    <w:unhideWhenUsed/>
    <w:rsid w:val="001E72B4"/>
    <w:pPr>
      <w:ind w:right="-2835"/>
      <w:jc w:val="right"/>
    </w:pPr>
    <w:rPr>
      <w:rFonts w:ascii="Arial" w:hAnsi="Arial"/>
      <w:sz w:val="15"/>
    </w:rPr>
  </w:style>
  <w:style w:type="character" w:customStyle="1" w:styleId="FooterChar">
    <w:name w:val="Footer Char"/>
    <w:link w:val="Footer"/>
    <w:uiPriority w:val="99"/>
    <w:rsid w:val="001E72B4"/>
    <w:rPr>
      <w:rFonts w:ascii="Arial" w:hAnsi="Arial"/>
      <w:sz w:val="15"/>
      <w:szCs w:val="22"/>
      <w:lang w:eastAsia="en-US"/>
    </w:rPr>
  </w:style>
  <w:style w:type="paragraph" w:styleId="Header">
    <w:name w:val="header"/>
    <w:basedOn w:val="Normal"/>
    <w:link w:val="HeaderChar"/>
    <w:uiPriority w:val="99"/>
    <w:unhideWhenUsed/>
    <w:rsid w:val="001E72B4"/>
    <w:pPr>
      <w:tabs>
        <w:tab w:val="center" w:pos="4680"/>
        <w:tab w:val="right" w:pos="9360"/>
      </w:tabs>
      <w:jc w:val="right"/>
    </w:pPr>
    <w:rPr>
      <w:rFonts w:ascii="Arial" w:hAnsi="Arial"/>
      <w:sz w:val="16"/>
    </w:rPr>
  </w:style>
  <w:style w:type="character" w:customStyle="1" w:styleId="HeaderChar">
    <w:name w:val="Header Char"/>
    <w:link w:val="Header"/>
    <w:uiPriority w:val="99"/>
    <w:rsid w:val="001E72B4"/>
    <w:rPr>
      <w:rFonts w:ascii="Arial" w:hAnsi="Arial"/>
      <w:sz w:val="16"/>
      <w:szCs w:val="22"/>
      <w:lang w:eastAsia="en-US"/>
    </w:rPr>
  </w:style>
  <w:style w:type="character" w:styleId="PageNumber">
    <w:name w:val="page number"/>
    <w:uiPriority w:val="99"/>
    <w:semiHidden/>
    <w:unhideWhenUsed/>
    <w:rsid w:val="001E72B4"/>
    <w:rPr>
      <w:rFonts w:ascii="Arial" w:hAnsi="Arial"/>
      <w:sz w:val="20"/>
    </w:rPr>
  </w:style>
  <w:style w:type="table" w:customStyle="1" w:styleId="Blank">
    <w:name w:val="Blank"/>
    <w:basedOn w:val="TableNormal"/>
    <w:uiPriority w:val="99"/>
    <w:rsid w:val="001E72B4"/>
    <w:tblPr>
      <w:tblCellMar>
        <w:left w:w="0" w:type="dxa"/>
        <w:right w:w="0" w:type="dxa"/>
      </w:tblCellMar>
    </w:tblPr>
  </w:style>
  <w:style w:type="paragraph" w:styleId="BalloonText">
    <w:name w:val="Balloon Text"/>
    <w:basedOn w:val="Normal"/>
    <w:link w:val="BalloonTextChar"/>
    <w:uiPriority w:val="99"/>
    <w:semiHidden/>
    <w:unhideWhenUsed/>
    <w:rsid w:val="001E72B4"/>
    <w:rPr>
      <w:rFonts w:ascii="Tahoma" w:hAnsi="Tahoma" w:cs="Tahoma"/>
      <w:sz w:val="16"/>
      <w:szCs w:val="16"/>
    </w:rPr>
  </w:style>
  <w:style w:type="character" w:customStyle="1" w:styleId="BalloonTextChar">
    <w:name w:val="Balloon Text Char"/>
    <w:basedOn w:val="DefaultParagraphFont"/>
    <w:link w:val="BalloonText"/>
    <w:uiPriority w:val="99"/>
    <w:semiHidden/>
    <w:rsid w:val="001E72B4"/>
    <w:rPr>
      <w:rFonts w:ascii="Tahoma" w:hAnsi="Tahoma" w:cs="Tahoma"/>
      <w:sz w:val="16"/>
      <w:szCs w:val="16"/>
      <w:lang w:eastAsia="en-US"/>
    </w:rPr>
  </w:style>
  <w:style w:type="table" w:styleId="TableGrid">
    <w:name w:val="Table Grid"/>
    <w:basedOn w:val="TableNormal"/>
    <w:uiPriority w:val="59"/>
    <w:rsid w:val="001E7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72B4"/>
    <w:rPr>
      <w:color w:val="0000FF"/>
      <w:u w:val="single"/>
    </w:rPr>
  </w:style>
  <w:style w:type="character" w:styleId="FollowedHyperlink">
    <w:name w:val="FollowedHyperlink"/>
    <w:basedOn w:val="DefaultParagraphFont"/>
    <w:uiPriority w:val="99"/>
    <w:semiHidden/>
    <w:unhideWhenUsed/>
    <w:rsid w:val="001E72B4"/>
    <w:rPr>
      <w:color w:val="800080"/>
      <w:u w:val="single"/>
    </w:rPr>
  </w:style>
  <w:style w:type="numbering" w:customStyle="1" w:styleId="ODIHeadings">
    <w:name w:val="ODI Headings"/>
    <w:basedOn w:val="NoList"/>
    <w:uiPriority w:val="99"/>
    <w:rsid w:val="001E72B4"/>
    <w:pPr>
      <w:numPr>
        <w:numId w:val="7"/>
      </w:numPr>
    </w:pPr>
  </w:style>
  <w:style w:type="paragraph" w:customStyle="1" w:styleId="Strapline">
    <w:name w:val="Strapline"/>
    <w:basedOn w:val="Normal"/>
    <w:rsid w:val="001E72B4"/>
    <w:pPr>
      <w:spacing w:before="100" w:after="100"/>
    </w:pPr>
    <w:rPr>
      <w:rFonts w:ascii="Arial" w:hAnsi="Arial"/>
      <w:color w:val="006C67" w:themeColor="accent1"/>
      <w:sz w:val="24"/>
    </w:rPr>
  </w:style>
  <w:style w:type="paragraph" w:customStyle="1" w:styleId="TableHeading">
    <w:name w:val="Table Heading"/>
    <w:basedOn w:val="Normal"/>
    <w:next w:val="BodyText"/>
    <w:qFormat/>
    <w:rsid w:val="00BF6D57"/>
    <w:pPr>
      <w:numPr>
        <w:numId w:val="16"/>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1E72B4"/>
    <w:pPr>
      <w:numPr>
        <w:numId w:val="11"/>
      </w:numPr>
    </w:pPr>
  </w:style>
  <w:style w:type="paragraph" w:customStyle="1" w:styleId="FigureHeading">
    <w:name w:val="Figure Heading"/>
    <w:basedOn w:val="Normal"/>
    <w:next w:val="BodyText"/>
    <w:qFormat/>
    <w:rsid w:val="00BF6D57"/>
    <w:pPr>
      <w:numPr>
        <w:numId w:val="15"/>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1E72B4"/>
    <w:pPr>
      <w:numPr>
        <w:numId w:val="6"/>
      </w:numPr>
    </w:pPr>
  </w:style>
  <w:style w:type="paragraph" w:customStyle="1" w:styleId="BoxHeading">
    <w:name w:val="Box Heading"/>
    <w:basedOn w:val="Normal"/>
    <w:next w:val="BoxText"/>
    <w:qFormat/>
    <w:rsid w:val="001E72B4"/>
    <w:pPr>
      <w:spacing w:after="113"/>
    </w:pPr>
    <w:rPr>
      <w:rFonts w:ascii="Arial" w:hAnsi="Arial"/>
      <w:b/>
      <w:color w:val="006C67" w:themeColor="accent1"/>
      <w:sz w:val="22"/>
    </w:rPr>
  </w:style>
  <w:style w:type="numbering" w:customStyle="1" w:styleId="ODIBoxHeadings">
    <w:name w:val="ODI Box Headings"/>
    <w:basedOn w:val="NoList"/>
    <w:uiPriority w:val="99"/>
    <w:rsid w:val="001E72B4"/>
    <w:pPr>
      <w:numPr>
        <w:numId w:val="3"/>
      </w:numPr>
    </w:pPr>
  </w:style>
  <w:style w:type="paragraph" w:customStyle="1" w:styleId="Abbreviation">
    <w:name w:val="Abbreviation"/>
    <w:basedOn w:val="Normal"/>
    <w:qFormat/>
    <w:rsid w:val="001E72B4"/>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1E72B4"/>
    <w:rPr>
      <w:sz w:val="16"/>
      <w:szCs w:val="20"/>
    </w:rPr>
  </w:style>
  <w:style w:type="character" w:customStyle="1" w:styleId="FootnoteTextChar">
    <w:name w:val="Footnote Text Char"/>
    <w:basedOn w:val="DefaultParagraphFont"/>
    <w:link w:val="FootnoteText"/>
    <w:uiPriority w:val="99"/>
    <w:rsid w:val="001E72B4"/>
    <w:rPr>
      <w:rFonts w:ascii="Times New Roman" w:hAnsi="Times New Roman"/>
      <w:sz w:val="16"/>
      <w:lang w:eastAsia="en-US"/>
    </w:rPr>
  </w:style>
  <w:style w:type="character" w:styleId="FootnoteReference">
    <w:name w:val="footnote reference"/>
    <w:basedOn w:val="DefaultParagraphFont"/>
    <w:uiPriority w:val="99"/>
    <w:qFormat/>
    <w:rsid w:val="001E72B4"/>
    <w:rPr>
      <w:rFonts w:asciiTheme="minorHAnsi" w:hAnsiTheme="minorHAnsi"/>
      <w:sz w:val="19"/>
      <w:vertAlign w:val="superscript"/>
    </w:rPr>
  </w:style>
  <w:style w:type="numbering" w:customStyle="1" w:styleId="ODIBullets">
    <w:name w:val="ODI Bullets"/>
    <w:basedOn w:val="NoList"/>
    <w:uiPriority w:val="99"/>
    <w:rsid w:val="001E72B4"/>
    <w:pPr>
      <w:numPr>
        <w:numId w:val="4"/>
      </w:numPr>
    </w:pPr>
  </w:style>
  <w:style w:type="paragraph" w:customStyle="1" w:styleId="LastBullet">
    <w:name w:val="Last Bullet"/>
    <w:basedOn w:val="ListBullet"/>
    <w:next w:val="BodyText"/>
    <w:qFormat/>
    <w:rsid w:val="001E72B4"/>
    <w:pPr>
      <w:numPr>
        <w:numId w:val="8"/>
      </w:numPr>
      <w:spacing w:after="190"/>
    </w:pPr>
  </w:style>
  <w:style w:type="numbering" w:customStyle="1" w:styleId="ODILastBullet">
    <w:name w:val="ODI Last Bullet"/>
    <w:basedOn w:val="ODIBullets"/>
    <w:uiPriority w:val="99"/>
    <w:rsid w:val="001E72B4"/>
    <w:pPr>
      <w:numPr>
        <w:numId w:val="8"/>
      </w:numPr>
    </w:pPr>
  </w:style>
  <w:style w:type="table" w:customStyle="1" w:styleId="ODITable">
    <w:name w:val="ODI Table"/>
    <w:basedOn w:val="TableNormal"/>
    <w:uiPriority w:val="99"/>
    <w:rsid w:val="001E72B4"/>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1E72B4"/>
    <w:pPr>
      <w:spacing w:line="220" w:lineRule="atLeast"/>
    </w:pPr>
    <w:rPr>
      <w:rFonts w:ascii="Arial" w:hAnsi="Arial"/>
      <w:sz w:val="17"/>
    </w:rPr>
  </w:style>
  <w:style w:type="paragraph" w:customStyle="1" w:styleId="ColumnHeading">
    <w:name w:val="Column Heading"/>
    <w:basedOn w:val="Normal"/>
    <w:next w:val="TableText"/>
    <w:qFormat/>
    <w:rsid w:val="001E72B4"/>
    <w:rPr>
      <w:rFonts w:ascii="Arial" w:hAnsi="Arial"/>
      <w:b/>
      <w:sz w:val="17"/>
    </w:rPr>
  </w:style>
  <w:style w:type="paragraph" w:customStyle="1" w:styleId="TableBullet">
    <w:name w:val="Table Bullet"/>
    <w:basedOn w:val="TableText"/>
    <w:qFormat/>
    <w:rsid w:val="001E72B4"/>
    <w:pPr>
      <w:numPr>
        <w:numId w:val="12"/>
      </w:numPr>
    </w:pPr>
  </w:style>
  <w:style w:type="numbering" w:customStyle="1" w:styleId="ODITableBullet">
    <w:name w:val="ODI Table Bullet"/>
    <w:basedOn w:val="NoList"/>
    <w:uiPriority w:val="99"/>
    <w:rsid w:val="001E72B4"/>
    <w:pPr>
      <w:numPr>
        <w:numId w:val="10"/>
      </w:numPr>
    </w:pPr>
  </w:style>
  <w:style w:type="paragraph" w:customStyle="1" w:styleId="Source">
    <w:name w:val="Source"/>
    <w:basedOn w:val="Normal"/>
    <w:qFormat/>
    <w:rsid w:val="001E72B4"/>
    <w:pPr>
      <w:spacing w:before="39" w:after="250"/>
    </w:pPr>
    <w:rPr>
      <w:rFonts w:ascii="Arial" w:hAnsi="Arial"/>
      <w:i/>
      <w:sz w:val="16"/>
    </w:rPr>
  </w:style>
  <w:style w:type="paragraph" w:customStyle="1" w:styleId="BoxText">
    <w:name w:val="Box Text"/>
    <w:basedOn w:val="Normal"/>
    <w:qFormat/>
    <w:rsid w:val="001E72B4"/>
    <w:pPr>
      <w:spacing w:after="135"/>
      <w:jc w:val="both"/>
    </w:pPr>
    <w:rPr>
      <w:rFonts w:ascii="Arial" w:hAnsi="Arial"/>
      <w:sz w:val="18"/>
    </w:rPr>
  </w:style>
  <w:style w:type="table" w:customStyle="1" w:styleId="ODIBox">
    <w:name w:val="ODI Box"/>
    <w:basedOn w:val="TableNormal"/>
    <w:uiPriority w:val="99"/>
    <w:rsid w:val="001E72B4"/>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1E72B4"/>
    <w:pPr>
      <w:numPr>
        <w:numId w:val="2"/>
      </w:numPr>
      <w:spacing w:after="0"/>
      <w:ind w:right="284"/>
    </w:pPr>
  </w:style>
  <w:style w:type="numbering" w:customStyle="1" w:styleId="ODIBoxBullet">
    <w:name w:val="ODI Box Bullet"/>
    <w:basedOn w:val="NoList"/>
    <w:uiPriority w:val="99"/>
    <w:rsid w:val="001E72B4"/>
    <w:pPr>
      <w:numPr>
        <w:numId w:val="2"/>
      </w:numPr>
    </w:pPr>
  </w:style>
  <w:style w:type="numbering" w:customStyle="1" w:styleId="ODINumberedList">
    <w:name w:val="ODI Numbered List"/>
    <w:basedOn w:val="NoList"/>
    <w:uiPriority w:val="99"/>
    <w:rsid w:val="001E72B4"/>
    <w:pPr>
      <w:numPr>
        <w:numId w:val="9"/>
      </w:numPr>
    </w:pPr>
  </w:style>
  <w:style w:type="numbering" w:customStyle="1" w:styleId="ODICoverBullets">
    <w:name w:val="ODI Cover Bullets"/>
    <w:basedOn w:val="NoList"/>
    <w:uiPriority w:val="99"/>
    <w:rsid w:val="001E72B4"/>
    <w:pPr>
      <w:numPr>
        <w:numId w:val="5"/>
      </w:numPr>
    </w:pPr>
  </w:style>
  <w:style w:type="paragraph" w:styleId="Quote">
    <w:name w:val="Quote"/>
    <w:basedOn w:val="Normal"/>
    <w:next w:val="Normal"/>
    <w:link w:val="QuoteChar"/>
    <w:uiPriority w:val="29"/>
    <w:rsid w:val="001E72B4"/>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1E72B4"/>
    <w:rPr>
      <w:rFonts w:ascii="Times New Roman" w:hAnsi="Times New Roman"/>
      <w:i/>
      <w:iCs/>
      <w:szCs w:val="22"/>
      <w:lang w:eastAsia="en-US"/>
    </w:rPr>
  </w:style>
  <w:style w:type="paragraph" w:customStyle="1" w:styleId="BodyTextNoSpacing">
    <w:name w:val="Body Text No Spacing"/>
    <w:basedOn w:val="BodyText"/>
    <w:qFormat/>
    <w:rsid w:val="001E72B4"/>
    <w:pPr>
      <w:spacing w:after="0"/>
    </w:pPr>
  </w:style>
  <w:style w:type="paragraph" w:customStyle="1" w:styleId="SourceNoSpace">
    <w:name w:val="Source No Space"/>
    <w:basedOn w:val="Source"/>
    <w:next w:val="Normal"/>
    <w:qFormat/>
    <w:rsid w:val="001E72B4"/>
    <w:pPr>
      <w:spacing w:after="0"/>
    </w:pPr>
  </w:style>
  <w:style w:type="paragraph" w:customStyle="1" w:styleId="AbbreviationDescription">
    <w:name w:val="Abbreviation Description"/>
    <w:basedOn w:val="Normal"/>
    <w:qFormat/>
    <w:rsid w:val="001E72B4"/>
    <w:pPr>
      <w:spacing w:line="480" w:lineRule="exact"/>
    </w:pPr>
  </w:style>
  <w:style w:type="paragraph" w:styleId="Caption">
    <w:name w:val="caption"/>
    <w:basedOn w:val="Normal"/>
    <w:next w:val="Normal"/>
    <w:uiPriority w:val="35"/>
    <w:qFormat/>
    <w:rsid w:val="001E72B4"/>
    <w:pPr>
      <w:spacing w:after="40"/>
    </w:pPr>
    <w:rPr>
      <w:rFonts w:ascii="Arial" w:hAnsi="Arial"/>
      <w:b/>
      <w:iCs/>
      <w:color w:val="006C67" w:themeColor="accent1"/>
      <w:sz w:val="24"/>
      <w:szCs w:val="18"/>
    </w:rPr>
  </w:style>
  <w:style w:type="paragraph" w:customStyle="1" w:styleId="font5">
    <w:name w:val="font5"/>
    <w:basedOn w:val="Normal"/>
    <w:rsid w:val="001E72B4"/>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1E72B4"/>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1E72B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1E72B4"/>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1E72B4"/>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1E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1E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1E72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1E72B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1E72B4"/>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1E72B4"/>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1E72B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1E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1E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1E72B4"/>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1E72B4"/>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1E72B4"/>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1E72B4"/>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1E72B4"/>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1E72B4"/>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1E72B4"/>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1E72B4"/>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1E72B4"/>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1E72B4"/>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1E72B4"/>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1E72B4"/>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1E72B4"/>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1E72B4"/>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1E72B4"/>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1E72B4"/>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1E72B4"/>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1E72B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1E72B4"/>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1E72B4"/>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1E72B4"/>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1E72B4"/>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1E72B4"/>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1E72B4"/>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1E72B4"/>
    <w:rPr>
      <w:sz w:val="16"/>
      <w:szCs w:val="16"/>
    </w:rPr>
  </w:style>
  <w:style w:type="paragraph" w:styleId="CommentText">
    <w:name w:val="annotation text"/>
    <w:basedOn w:val="Normal"/>
    <w:link w:val="CommentTextChar"/>
    <w:uiPriority w:val="99"/>
    <w:semiHidden/>
    <w:unhideWhenUsed/>
    <w:rsid w:val="001E72B4"/>
    <w:rPr>
      <w:szCs w:val="20"/>
    </w:rPr>
  </w:style>
  <w:style w:type="character" w:customStyle="1" w:styleId="CommentTextChar">
    <w:name w:val="Comment Text Char"/>
    <w:basedOn w:val="DefaultParagraphFont"/>
    <w:link w:val="CommentText"/>
    <w:uiPriority w:val="99"/>
    <w:semiHidden/>
    <w:rsid w:val="001E72B4"/>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1E72B4"/>
    <w:rPr>
      <w:b/>
      <w:bCs/>
    </w:rPr>
  </w:style>
  <w:style w:type="character" w:customStyle="1" w:styleId="CommentSubjectChar">
    <w:name w:val="Comment Subject Char"/>
    <w:basedOn w:val="CommentTextChar"/>
    <w:link w:val="CommentSubject"/>
    <w:uiPriority w:val="99"/>
    <w:semiHidden/>
    <w:rsid w:val="001E72B4"/>
    <w:rPr>
      <w:rFonts w:ascii="Times New Roman" w:hAnsi="Times New Roman"/>
      <w:b/>
      <w:bCs/>
      <w:lang w:eastAsia="en-US"/>
    </w:rPr>
  </w:style>
  <w:style w:type="paragraph" w:styleId="TableofFigures">
    <w:name w:val="table of figures"/>
    <w:basedOn w:val="Normal"/>
    <w:next w:val="Normal"/>
    <w:uiPriority w:val="99"/>
    <w:unhideWhenUsed/>
    <w:rsid w:val="001E72B4"/>
    <w:pPr>
      <w:spacing w:after="60"/>
    </w:pPr>
    <w:rPr>
      <w:rFonts w:ascii="Arial" w:hAnsi="Arial"/>
    </w:rPr>
  </w:style>
  <w:style w:type="paragraph" w:styleId="TOC2">
    <w:name w:val="toc 2"/>
    <w:basedOn w:val="Normal"/>
    <w:next w:val="Normal"/>
    <w:autoRedefine/>
    <w:uiPriority w:val="39"/>
    <w:unhideWhenUsed/>
    <w:rsid w:val="001E72B4"/>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1E72B4"/>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9170CE"/>
    <w:pPr>
      <w:tabs>
        <w:tab w:val="right" w:pos="88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E72B4"/>
    <w:rPr>
      <w:rFonts w:ascii="Times New Roman" w:hAnsi="Times New Roman"/>
      <w:szCs w:val="22"/>
      <w:lang w:eastAsia="en-US"/>
    </w:rPr>
  </w:style>
  <w:style w:type="paragraph" w:styleId="Heading1">
    <w:name w:val="heading 1"/>
    <w:basedOn w:val="Normal"/>
    <w:next w:val="BodyText"/>
    <w:link w:val="Heading1Char"/>
    <w:uiPriority w:val="9"/>
    <w:qFormat/>
    <w:rsid w:val="001E72B4"/>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1E72B4"/>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1E72B4"/>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1E72B4"/>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1E72B4"/>
    <w:pPr>
      <w:outlineLvl w:val="4"/>
    </w:pPr>
    <w:rPr>
      <w:b w:val="0"/>
      <w:i w:val="0"/>
    </w:rPr>
  </w:style>
  <w:style w:type="paragraph" w:styleId="Heading6">
    <w:name w:val="heading 6"/>
    <w:basedOn w:val="Normal"/>
    <w:next w:val="BodyText"/>
    <w:link w:val="Heading6Char"/>
    <w:uiPriority w:val="9"/>
    <w:semiHidden/>
    <w:qFormat/>
    <w:rsid w:val="001E72B4"/>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1E72B4"/>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E72B4"/>
    <w:pPr>
      <w:spacing w:after="190" w:line="250" w:lineRule="atLeast"/>
      <w:jc w:val="both"/>
    </w:pPr>
  </w:style>
  <w:style w:type="character" w:customStyle="1" w:styleId="BodyTextChar">
    <w:name w:val="Body Text Char"/>
    <w:link w:val="BodyText"/>
    <w:rsid w:val="001E72B4"/>
    <w:rPr>
      <w:rFonts w:ascii="Times New Roman" w:hAnsi="Times New Roman"/>
      <w:szCs w:val="22"/>
      <w:lang w:eastAsia="en-US"/>
    </w:rPr>
  </w:style>
  <w:style w:type="character" w:customStyle="1" w:styleId="Heading1Char">
    <w:name w:val="Heading 1 Char"/>
    <w:link w:val="Heading1"/>
    <w:uiPriority w:val="9"/>
    <w:rsid w:val="001E72B4"/>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1E72B4"/>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1E72B4"/>
    <w:rPr>
      <w:rFonts w:ascii="Arial" w:eastAsia="Times New Roman" w:hAnsi="Arial"/>
      <w:b/>
      <w:bCs/>
      <w:szCs w:val="26"/>
      <w:lang w:eastAsia="en-US"/>
    </w:rPr>
  </w:style>
  <w:style w:type="character" w:customStyle="1" w:styleId="Heading4Char">
    <w:name w:val="Heading 4 Char"/>
    <w:link w:val="Heading4"/>
    <w:uiPriority w:val="9"/>
    <w:rsid w:val="001E72B4"/>
    <w:rPr>
      <w:rFonts w:ascii="Arial" w:eastAsia="Times New Roman" w:hAnsi="Arial"/>
      <w:b/>
      <w:i/>
      <w:iCs/>
      <w:sz w:val="18"/>
      <w:szCs w:val="26"/>
      <w:lang w:eastAsia="en-US"/>
    </w:rPr>
  </w:style>
  <w:style w:type="character" w:customStyle="1" w:styleId="Heading5Char">
    <w:name w:val="Heading 5 Char"/>
    <w:link w:val="Heading5"/>
    <w:uiPriority w:val="9"/>
    <w:semiHidden/>
    <w:rsid w:val="001E72B4"/>
    <w:rPr>
      <w:rFonts w:ascii="Arial" w:eastAsia="Times New Roman" w:hAnsi="Arial"/>
      <w:iCs/>
      <w:sz w:val="18"/>
      <w:szCs w:val="26"/>
      <w:lang w:eastAsia="en-US"/>
    </w:rPr>
  </w:style>
  <w:style w:type="character" w:customStyle="1" w:styleId="Heading6Char">
    <w:name w:val="Heading 6 Char"/>
    <w:link w:val="Heading6"/>
    <w:uiPriority w:val="9"/>
    <w:semiHidden/>
    <w:rsid w:val="001E72B4"/>
    <w:rPr>
      <w:rFonts w:ascii="Times New Roman" w:eastAsia="Times New Roman" w:hAnsi="Times New Roman"/>
      <w:i/>
      <w:iCs/>
      <w:szCs w:val="22"/>
      <w:lang w:eastAsia="en-US"/>
    </w:rPr>
  </w:style>
  <w:style w:type="paragraph" w:styleId="ListNumber">
    <w:name w:val="List Number"/>
    <w:basedOn w:val="Normal"/>
    <w:uiPriority w:val="99"/>
    <w:unhideWhenUsed/>
    <w:qFormat/>
    <w:rsid w:val="001E72B4"/>
    <w:pPr>
      <w:numPr>
        <w:numId w:val="9"/>
      </w:numPr>
      <w:spacing w:line="250" w:lineRule="atLeast"/>
      <w:jc w:val="both"/>
    </w:pPr>
  </w:style>
  <w:style w:type="paragraph" w:styleId="ListNumber2">
    <w:name w:val="List Number 2"/>
    <w:basedOn w:val="ListNumber"/>
    <w:uiPriority w:val="99"/>
    <w:unhideWhenUsed/>
    <w:qFormat/>
    <w:rsid w:val="001E72B4"/>
    <w:pPr>
      <w:numPr>
        <w:ilvl w:val="1"/>
      </w:numPr>
    </w:pPr>
  </w:style>
  <w:style w:type="paragraph" w:styleId="ListNumber3">
    <w:name w:val="List Number 3"/>
    <w:basedOn w:val="ListNumber2"/>
    <w:uiPriority w:val="99"/>
    <w:unhideWhenUsed/>
    <w:qFormat/>
    <w:rsid w:val="001E72B4"/>
    <w:pPr>
      <w:numPr>
        <w:ilvl w:val="2"/>
      </w:numPr>
    </w:pPr>
  </w:style>
  <w:style w:type="paragraph" w:styleId="ListContinue">
    <w:name w:val="List Continue"/>
    <w:basedOn w:val="Normal"/>
    <w:uiPriority w:val="99"/>
    <w:unhideWhenUsed/>
    <w:qFormat/>
    <w:rsid w:val="001E72B4"/>
    <w:pPr>
      <w:spacing w:line="250" w:lineRule="atLeast"/>
      <w:ind w:left="567" w:right="567"/>
      <w:jc w:val="both"/>
    </w:pPr>
  </w:style>
  <w:style w:type="paragraph" w:styleId="ListContinue2">
    <w:name w:val="List Continue 2"/>
    <w:basedOn w:val="Normal"/>
    <w:uiPriority w:val="99"/>
    <w:unhideWhenUsed/>
    <w:qFormat/>
    <w:rsid w:val="001E72B4"/>
    <w:pPr>
      <w:spacing w:line="250" w:lineRule="atLeast"/>
      <w:ind w:left="851" w:right="567"/>
      <w:jc w:val="both"/>
    </w:pPr>
  </w:style>
  <w:style w:type="paragraph" w:styleId="ListContinue3">
    <w:name w:val="List Continue 3"/>
    <w:basedOn w:val="Normal"/>
    <w:uiPriority w:val="99"/>
    <w:unhideWhenUsed/>
    <w:qFormat/>
    <w:rsid w:val="001E72B4"/>
    <w:pPr>
      <w:spacing w:line="250" w:lineRule="atLeast"/>
      <w:ind w:left="1134" w:right="567"/>
      <w:jc w:val="both"/>
    </w:pPr>
  </w:style>
  <w:style w:type="paragraph" w:styleId="ListBullet">
    <w:name w:val="List Bullet"/>
    <w:basedOn w:val="Normal"/>
    <w:uiPriority w:val="99"/>
    <w:unhideWhenUsed/>
    <w:qFormat/>
    <w:rsid w:val="001E72B4"/>
    <w:pPr>
      <w:numPr>
        <w:numId w:val="4"/>
      </w:numPr>
      <w:spacing w:line="250" w:lineRule="atLeast"/>
      <w:ind w:right="567"/>
      <w:jc w:val="both"/>
    </w:pPr>
  </w:style>
  <w:style w:type="paragraph" w:styleId="ListBullet2">
    <w:name w:val="List Bullet 2"/>
    <w:basedOn w:val="ListBullet"/>
    <w:uiPriority w:val="99"/>
    <w:unhideWhenUsed/>
    <w:qFormat/>
    <w:rsid w:val="001E72B4"/>
    <w:pPr>
      <w:numPr>
        <w:ilvl w:val="1"/>
      </w:numPr>
    </w:pPr>
  </w:style>
  <w:style w:type="character" w:customStyle="1" w:styleId="Heading7Char">
    <w:name w:val="Heading 7 Char"/>
    <w:link w:val="Heading7"/>
    <w:uiPriority w:val="9"/>
    <w:semiHidden/>
    <w:rsid w:val="001E72B4"/>
    <w:rPr>
      <w:rFonts w:eastAsia="Times New Roman"/>
      <w:i/>
      <w:iCs/>
      <w:color w:val="404040"/>
      <w:szCs w:val="22"/>
      <w:lang w:eastAsia="en-US"/>
    </w:rPr>
  </w:style>
  <w:style w:type="paragraph" w:styleId="Footer">
    <w:name w:val="footer"/>
    <w:basedOn w:val="Normal"/>
    <w:link w:val="FooterChar"/>
    <w:uiPriority w:val="99"/>
    <w:unhideWhenUsed/>
    <w:rsid w:val="001E72B4"/>
    <w:pPr>
      <w:ind w:right="-2835"/>
      <w:jc w:val="right"/>
    </w:pPr>
    <w:rPr>
      <w:rFonts w:ascii="Arial" w:hAnsi="Arial"/>
      <w:sz w:val="15"/>
    </w:rPr>
  </w:style>
  <w:style w:type="character" w:customStyle="1" w:styleId="FooterChar">
    <w:name w:val="Footer Char"/>
    <w:link w:val="Footer"/>
    <w:uiPriority w:val="99"/>
    <w:rsid w:val="001E72B4"/>
    <w:rPr>
      <w:rFonts w:ascii="Arial" w:hAnsi="Arial"/>
      <w:sz w:val="15"/>
      <w:szCs w:val="22"/>
      <w:lang w:eastAsia="en-US"/>
    </w:rPr>
  </w:style>
  <w:style w:type="paragraph" w:styleId="Header">
    <w:name w:val="header"/>
    <w:basedOn w:val="Normal"/>
    <w:link w:val="HeaderChar"/>
    <w:uiPriority w:val="99"/>
    <w:unhideWhenUsed/>
    <w:rsid w:val="001E72B4"/>
    <w:pPr>
      <w:tabs>
        <w:tab w:val="center" w:pos="4680"/>
        <w:tab w:val="right" w:pos="9360"/>
      </w:tabs>
      <w:jc w:val="right"/>
    </w:pPr>
    <w:rPr>
      <w:rFonts w:ascii="Arial" w:hAnsi="Arial"/>
      <w:sz w:val="16"/>
    </w:rPr>
  </w:style>
  <w:style w:type="character" w:customStyle="1" w:styleId="HeaderChar">
    <w:name w:val="Header Char"/>
    <w:link w:val="Header"/>
    <w:uiPriority w:val="99"/>
    <w:rsid w:val="001E72B4"/>
    <w:rPr>
      <w:rFonts w:ascii="Arial" w:hAnsi="Arial"/>
      <w:sz w:val="16"/>
      <w:szCs w:val="22"/>
      <w:lang w:eastAsia="en-US"/>
    </w:rPr>
  </w:style>
  <w:style w:type="character" w:styleId="PageNumber">
    <w:name w:val="page number"/>
    <w:uiPriority w:val="99"/>
    <w:semiHidden/>
    <w:unhideWhenUsed/>
    <w:rsid w:val="001E72B4"/>
    <w:rPr>
      <w:rFonts w:ascii="Arial" w:hAnsi="Arial"/>
      <w:sz w:val="20"/>
    </w:rPr>
  </w:style>
  <w:style w:type="table" w:customStyle="1" w:styleId="Blank">
    <w:name w:val="Blank"/>
    <w:basedOn w:val="TableNormal"/>
    <w:uiPriority w:val="99"/>
    <w:rsid w:val="001E72B4"/>
    <w:tblPr>
      <w:tblCellMar>
        <w:left w:w="0" w:type="dxa"/>
        <w:right w:w="0" w:type="dxa"/>
      </w:tblCellMar>
    </w:tblPr>
  </w:style>
  <w:style w:type="paragraph" w:styleId="BalloonText">
    <w:name w:val="Balloon Text"/>
    <w:basedOn w:val="Normal"/>
    <w:link w:val="BalloonTextChar"/>
    <w:uiPriority w:val="99"/>
    <w:semiHidden/>
    <w:unhideWhenUsed/>
    <w:rsid w:val="001E72B4"/>
    <w:rPr>
      <w:rFonts w:ascii="Tahoma" w:hAnsi="Tahoma" w:cs="Tahoma"/>
      <w:sz w:val="16"/>
      <w:szCs w:val="16"/>
    </w:rPr>
  </w:style>
  <w:style w:type="character" w:customStyle="1" w:styleId="BalloonTextChar">
    <w:name w:val="Balloon Text Char"/>
    <w:basedOn w:val="DefaultParagraphFont"/>
    <w:link w:val="BalloonText"/>
    <w:uiPriority w:val="99"/>
    <w:semiHidden/>
    <w:rsid w:val="001E72B4"/>
    <w:rPr>
      <w:rFonts w:ascii="Tahoma" w:hAnsi="Tahoma" w:cs="Tahoma"/>
      <w:sz w:val="16"/>
      <w:szCs w:val="16"/>
      <w:lang w:eastAsia="en-US"/>
    </w:rPr>
  </w:style>
  <w:style w:type="table" w:styleId="TableGrid">
    <w:name w:val="Table Grid"/>
    <w:basedOn w:val="TableNormal"/>
    <w:uiPriority w:val="59"/>
    <w:rsid w:val="001E7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72B4"/>
    <w:rPr>
      <w:color w:val="0000FF"/>
      <w:u w:val="single"/>
    </w:rPr>
  </w:style>
  <w:style w:type="character" w:styleId="FollowedHyperlink">
    <w:name w:val="FollowedHyperlink"/>
    <w:basedOn w:val="DefaultParagraphFont"/>
    <w:uiPriority w:val="99"/>
    <w:semiHidden/>
    <w:unhideWhenUsed/>
    <w:rsid w:val="001E72B4"/>
    <w:rPr>
      <w:color w:val="800080"/>
      <w:u w:val="single"/>
    </w:rPr>
  </w:style>
  <w:style w:type="numbering" w:customStyle="1" w:styleId="ODIHeadings">
    <w:name w:val="ODI Headings"/>
    <w:basedOn w:val="NoList"/>
    <w:uiPriority w:val="99"/>
    <w:rsid w:val="001E72B4"/>
    <w:pPr>
      <w:numPr>
        <w:numId w:val="7"/>
      </w:numPr>
    </w:pPr>
  </w:style>
  <w:style w:type="paragraph" w:customStyle="1" w:styleId="Strapline">
    <w:name w:val="Strapline"/>
    <w:basedOn w:val="Normal"/>
    <w:rsid w:val="001E72B4"/>
    <w:pPr>
      <w:spacing w:before="100" w:after="100"/>
    </w:pPr>
    <w:rPr>
      <w:rFonts w:ascii="Arial" w:hAnsi="Arial"/>
      <w:color w:val="006C67" w:themeColor="accent1"/>
      <w:sz w:val="24"/>
    </w:rPr>
  </w:style>
  <w:style w:type="paragraph" w:customStyle="1" w:styleId="TableHeading">
    <w:name w:val="Table Heading"/>
    <w:basedOn w:val="Normal"/>
    <w:next w:val="BodyText"/>
    <w:qFormat/>
    <w:rsid w:val="00BF6D57"/>
    <w:pPr>
      <w:numPr>
        <w:numId w:val="16"/>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1E72B4"/>
    <w:pPr>
      <w:numPr>
        <w:numId w:val="11"/>
      </w:numPr>
    </w:pPr>
  </w:style>
  <w:style w:type="paragraph" w:customStyle="1" w:styleId="FigureHeading">
    <w:name w:val="Figure Heading"/>
    <w:basedOn w:val="Normal"/>
    <w:next w:val="BodyText"/>
    <w:qFormat/>
    <w:rsid w:val="00BF6D57"/>
    <w:pPr>
      <w:numPr>
        <w:numId w:val="15"/>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1E72B4"/>
    <w:pPr>
      <w:numPr>
        <w:numId w:val="6"/>
      </w:numPr>
    </w:pPr>
  </w:style>
  <w:style w:type="paragraph" w:customStyle="1" w:styleId="BoxHeading">
    <w:name w:val="Box Heading"/>
    <w:basedOn w:val="Normal"/>
    <w:next w:val="BoxText"/>
    <w:qFormat/>
    <w:rsid w:val="001E72B4"/>
    <w:pPr>
      <w:spacing w:after="113"/>
    </w:pPr>
    <w:rPr>
      <w:rFonts w:ascii="Arial" w:hAnsi="Arial"/>
      <w:b/>
      <w:color w:val="006C67" w:themeColor="accent1"/>
      <w:sz w:val="22"/>
    </w:rPr>
  </w:style>
  <w:style w:type="numbering" w:customStyle="1" w:styleId="ODIBoxHeadings">
    <w:name w:val="ODI Box Headings"/>
    <w:basedOn w:val="NoList"/>
    <w:uiPriority w:val="99"/>
    <w:rsid w:val="001E72B4"/>
    <w:pPr>
      <w:numPr>
        <w:numId w:val="3"/>
      </w:numPr>
    </w:pPr>
  </w:style>
  <w:style w:type="paragraph" w:customStyle="1" w:styleId="Abbreviation">
    <w:name w:val="Abbreviation"/>
    <w:basedOn w:val="Normal"/>
    <w:qFormat/>
    <w:rsid w:val="001E72B4"/>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1E72B4"/>
    <w:rPr>
      <w:sz w:val="16"/>
      <w:szCs w:val="20"/>
    </w:rPr>
  </w:style>
  <w:style w:type="character" w:customStyle="1" w:styleId="FootnoteTextChar">
    <w:name w:val="Footnote Text Char"/>
    <w:basedOn w:val="DefaultParagraphFont"/>
    <w:link w:val="FootnoteText"/>
    <w:uiPriority w:val="99"/>
    <w:rsid w:val="001E72B4"/>
    <w:rPr>
      <w:rFonts w:ascii="Times New Roman" w:hAnsi="Times New Roman"/>
      <w:sz w:val="16"/>
      <w:lang w:eastAsia="en-US"/>
    </w:rPr>
  </w:style>
  <w:style w:type="character" w:styleId="FootnoteReference">
    <w:name w:val="footnote reference"/>
    <w:basedOn w:val="DefaultParagraphFont"/>
    <w:uiPriority w:val="99"/>
    <w:qFormat/>
    <w:rsid w:val="001E72B4"/>
    <w:rPr>
      <w:rFonts w:asciiTheme="minorHAnsi" w:hAnsiTheme="minorHAnsi"/>
      <w:sz w:val="19"/>
      <w:vertAlign w:val="superscript"/>
    </w:rPr>
  </w:style>
  <w:style w:type="numbering" w:customStyle="1" w:styleId="ODIBullets">
    <w:name w:val="ODI Bullets"/>
    <w:basedOn w:val="NoList"/>
    <w:uiPriority w:val="99"/>
    <w:rsid w:val="001E72B4"/>
    <w:pPr>
      <w:numPr>
        <w:numId w:val="4"/>
      </w:numPr>
    </w:pPr>
  </w:style>
  <w:style w:type="paragraph" w:customStyle="1" w:styleId="LastBullet">
    <w:name w:val="Last Bullet"/>
    <w:basedOn w:val="ListBullet"/>
    <w:next w:val="BodyText"/>
    <w:qFormat/>
    <w:rsid w:val="001E72B4"/>
    <w:pPr>
      <w:numPr>
        <w:numId w:val="8"/>
      </w:numPr>
      <w:spacing w:after="190"/>
    </w:pPr>
  </w:style>
  <w:style w:type="numbering" w:customStyle="1" w:styleId="ODILastBullet">
    <w:name w:val="ODI Last Bullet"/>
    <w:basedOn w:val="ODIBullets"/>
    <w:uiPriority w:val="99"/>
    <w:rsid w:val="001E72B4"/>
    <w:pPr>
      <w:numPr>
        <w:numId w:val="8"/>
      </w:numPr>
    </w:pPr>
  </w:style>
  <w:style w:type="table" w:customStyle="1" w:styleId="ODITable">
    <w:name w:val="ODI Table"/>
    <w:basedOn w:val="TableNormal"/>
    <w:uiPriority w:val="99"/>
    <w:rsid w:val="001E72B4"/>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1E72B4"/>
    <w:pPr>
      <w:spacing w:line="220" w:lineRule="atLeast"/>
    </w:pPr>
    <w:rPr>
      <w:rFonts w:ascii="Arial" w:hAnsi="Arial"/>
      <w:sz w:val="17"/>
    </w:rPr>
  </w:style>
  <w:style w:type="paragraph" w:customStyle="1" w:styleId="ColumnHeading">
    <w:name w:val="Column Heading"/>
    <w:basedOn w:val="Normal"/>
    <w:next w:val="TableText"/>
    <w:qFormat/>
    <w:rsid w:val="001E72B4"/>
    <w:rPr>
      <w:rFonts w:ascii="Arial" w:hAnsi="Arial"/>
      <w:b/>
      <w:sz w:val="17"/>
    </w:rPr>
  </w:style>
  <w:style w:type="paragraph" w:customStyle="1" w:styleId="TableBullet">
    <w:name w:val="Table Bullet"/>
    <w:basedOn w:val="TableText"/>
    <w:qFormat/>
    <w:rsid w:val="001E72B4"/>
    <w:pPr>
      <w:numPr>
        <w:numId w:val="12"/>
      </w:numPr>
    </w:pPr>
  </w:style>
  <w:style w:type="numbering" w:customStyle="1" w:styleId="ODITableBullet">
    <w:name w:val="ODI Table Bullet"/>
    <w:basedOn w:val="NoList"/>
    <w:uiPriority w:val="99"/>
    <w:rsid w:val="001E72B4"/>
    <w:pPr>
      <w:numPr>
        <w:numId w:val="10"/>
      </w:numPr>
    </w:pPr>
  </w:style>
  <w:style w:type="paragraph" w:customStyle="1" w:styleId="Source">
    <w:name w:val="Source"/>
    <w:basedOn w:val="Normal"/>
    <w:qFormat/>
    <w:rsid w:val="001E72B4"/>
    <w:pPr>
      <w:spacing w:before="39" w:after="250"/>
    </w:pPr>
    <w:rPr>
      <w:rFonts w:ascii="Arial" w:hAnsi="Arial"/>
      <w:i/>
      <w:sz w:val="16"/>
    </w:rPr>
  </w:style>
  <w:style w:type="paragraph" w:customStyle="1" w:styleId="BoxText">
    <w:name w:val="Box Text"/>
    <w:basedOn w:val="Normal"/>
    <w:qFormat/>
    <w:rsid w:val="001E72B4"/>
    <w:pPr>
      <w:spacing w:after="135"/>
      <w:jc w:val="both"/>
    </w:pPr>
    <w:rPr>
      <w:rFonts w:ascii="Arial" w:hAnsi="Arial"/>
      <w:sz w:val="18"/>
    </w:rPr>
  </w:style>
  <w:style w:type="table" w:customStyle="1" w:styleId="ODIBox">
    <w:name w:val="ODI Box"/>
    <w:basedOn w:val="TableNormal"/>
    <w:uiPriority w:val="99"/>
    <w:rsid w:val="001E72B4"/>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1E72B4"/>
    <w:pPr>
      <w:numPr>
        <w:numId w:val="2"/>
      </w:numPr>
      <w:spacing w:after="0"/>
      <w:ind w:right="284"/>
    </w:pPr>
  </w:style>
  <w:style w:type="numbering" w:customStyle="1" w:styleId="ODIBoxBullet">
    <w:name w:val="ODI Box Bullet"/>
    <w:basedOn w:val="NoList"/>
    <w:uiPriority w:val="99"/>
    <w:rsid w:val="001E72B4"/>
    <w:pPr>
      <w:numPr>
        <w:numId w:val="2"/>
      </w:numPr>
    </w:pPr>
  </w:style>
  <w:style w:type="numbering" w:customStyle="1" w:styleId="ODINumberedList">
    <w:name w:val="ODI Numbered List"/>
    <w:basedOn w:val="NoList"/>
    <w:uiPriority w:val="99"/>
    <w:rsid w:val="001E72B4"/>
    <w:pPr>
      <w:numPr>
        <w:numId w:val="9"/>
      </w:numPr>
    </w:pPr>
  </w:style>
  <w:style w:type="numbering" w:customStyle="1" w:styleId="ODICoverBullets">
    <w:name w:val="ODI Cover Bullets"/>
    <w:basedOn w:val="NoList"/>
    <w:uiPriority w:val="99"/>
    <w:rsid w:val="001E72B4"/>
    <w:pPr>
      <w:numPr>
        <w:numId w:val="5"/>
      </w:numPr>
    </w:pPr>
  </w:style>
  <w:style w:type="paragraph" w:styleId="Quote">
    <w:name w:val="Quote"/>
    <w:basedOn w:val="Normal"/>
    <w:next w:val="Normal"/>
    <w:link w:val="QuoteChar"/>
    <w:uiPriority w:val="29"/>
    <w:rsid w:val="001E72B4"/>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1E72B4"/>
    <w:rPr>
      <w:rFonts w:ascii="Times New Roman" w:hAnsi="Times New Roman"/>
      <w:i/>
      <w:iCs/>
      <w:szCs w:val="22"/>
      <w:lang w:eastAsia="en-US"/>
    </w:rPr>
  </w:style>
  <w:style w:type="paragraph" w:customStyle="1" w:styleId="BodyTextNoSpacing">
    <w:name w:val="Body Text No Spacing"/>
    <w:basedOn w:val="BodyText"/>
    <w:qFormat/>
    <w:rsid w:val="001E72B4"/>
    <w:pPr>
      <w:spacing w:after="0"/>
    </w:pPr>
  </w:style>
  <w:style w:type="paragraph" w:customStyle="1" w:styleId="SourceNoSpace">
    <w:name w:val="Source No Space"/>
    <w:basedOn w:val="Source"/>
    <w:next w:val="Normal"/>
    <w:qFormat/>
    <w:rsid w:val="001E72B4"/>
    <w:pPr>
      <w:spacing w:after="0"/>
    </w:pPr>
  </w:style>
  <w:style w:type="paragraph" w:customStyle="1" w:styleId="AbbreviationDescription">
    <w:name w:val="Abbreviation Description"/>
    <w:basedOn w:val="Normal"/>
    <w:qFormat/>
    <w:rsid w:val="001E72B4"/>
    <w:pPr>
      <w:spacing w:line="480" w:lineRule="exact"/>
    </w:pPr>
  </w:style>
  <w:style w:type="paragraph" w:styleId="Caption">
    <w:name w:val="caption"/>
    <w:basedOn w:val="Normal"/>
    <w:next w:val="Normal"/>
    <w:uiPriority w:val="35"/>
    <w:qFormat/>
    <w:rsid w:val="001E72B4"/>
    <w:pPr>
      <w:spacing w:after="40"/>
    </w:pPr>
    <w:rPr>
      <w:rFonts w:ascii="Arial" w:hAnsi="Arial"/>
      <w:b/>
      <w:iCs/>
      <w:color w:val="006C67" w:themeColor="accent1"/>
      <w:sz w:val="24"/>
      <w:szCs w:val="18"/>
    </w:rPr>
  </w:style>
  <w:style w:type="paragraph" w:customStyle="1" w:styleId="font5">
    <w:name w:val="font5"/>
    <w:basedOn w:val="Normal"/>
    <w:rsid w:val="001E72B4"/>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1E72B4"/>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1E72B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1E72B4"/>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1E72B4"/>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1E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1E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1E72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1E72B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1E72B4"/>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1E72B4"/>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1E72B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1E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1E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1E72B4"/>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1E72B4"/>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1E72B4"/>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1E72B4"/>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1E72B4"/>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1E72B4"/>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1E72B4"/>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1E72B4"/>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1E72B4"/>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1E72B4"/>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1E72B4"/>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1E72B4"/>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1E72B4"/>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1E72B4"/>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1E72B4"/>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1E72B4"/>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1E72B4"/>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1E72B4"/>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1E72B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1E72B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1E72B4"/>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1E72B4"/>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1E72B4"/>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1E72B4"/>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1E72B4"/>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1E72B4"/>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1E72B4"/>
    <w:rPr>
      <w:sz w:val="16"/>
      <w:szCs w:val="16"/>
    </w:rPr>
  </w:style>
  <w:style w:type="paragraph" w:styleId="CommentText">
    <w:name w:val="annotation text"/>
    <w:basedOn w:val="Normal"/>
    <w:link w:val="CommentTextChar"/>
    <w:uiPriority w:val="99"/>
    <w:semiHidden/>
    <w:unhideWhenUsed/>
    <w:rsid w:val="001E72B4"/>
    <w:rPr>
      <w:szCs w:val="20"/>
    </w:rPr>
  </w:style>
  <w:style w:type="character" w:customStyle="1" w:styleId="CommentTextChar">
    <w:name w:val="Comment Text Char"/>
    <w:basedOn w:val="DefaultParagraphFont"/>
    <w:link w:val="CommentText"/>
    <w:uiPriority w:val="99"/>
    <w:semiHidden/>
    <w:rsid w:val="001E72B4"/>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1E72B4"/>
    <w:rPr>
      <w:b/>
      <w:bCs/>
    </w:rPr>
  </w:style>
  <w:style w:type="character" w:customStyle="1" w:styleId="CommentSubjectChar">
    <w:name w:val="Comment Subject Char"/>
    <w:basedOn w:val="CommentTextChar"/>
    <w:link w:val="CommentSubject"/>
    <w:uiPriority w:val="99"/>
    <w:semiHidden/>
    <w:rsid w:val="001E72B4"/>
    <w:rPr>
      <w:rFonts w:ascii="Times New Roman" w:hAnsi="Times New Roman"/>
      <w:b/>
      <w:bCs/>
      <w:lang w:eastAsia="en-US"/>
    </w:rPr>
  </w:style>
  <w:style w:type="paragraph" w:styleId="TableofFigures">
    <w:name w:val="table of figures"/>
    <w:basedOn w:val="Normal"/>
    <w:next w:val="Normal"/>
    <w:uiPriority w:val="99"/>
    <w:unhideWhenUsed/>
    <w:rsid w:val="001E72B4"/>
    <w:pPr>
      <w:spacing w:after="60"/>
    </w:pPr>
    <w:rPr>
      <w:rFonts w:ascii="Arial" w:hAnsi="Arial"/>
    </w:rPr>
  </w:style>
  <w:style w:type="paragraph" w:styleId="TOC2">
    <w:name w:val="toc 2"/>
    <w:basedOn w:val="Normal"/>
    <w:next w:val="Normal"/>
    <w:autoRedefine/>
    <w:uiPriority w:val="39"/>
    <w:unhideWhenUsed/>
    <w:rsid w:val="001E72B4"/>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1E72B4"/>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9170CE"/>
    <w:pPr>
      <w:tabs>
        <w:tab w:val="right" w:pos="88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01556">
      <w:bodyDiv w:val="1"/>
      <w:marLeft w:val="0"/>
      <w:marRight w:val="0"/>
      <w:marTop w:val="0"/>
      <w:marBottom w:val="0"/>
      <w:divBdr>
        <w:top w:val="none" w:sz="0" w:space="0" w:color="auto"/>
        <w:left w:val="none" w:sz="0" w:space="0" w:color="auto"/>
        <w:bottom w:val="none" w:sz="0" w:space="0" w:color="auto"/>
        <w:right w:val="none" w:sz="0" w:space="0" w:color="auto"/>
      </w:divBdr>
    </w:div>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255213478">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image" Target="media/image10.png"/><Relationship Id="rId21" Type="http://schemas.openxmlformats.org/officeDocument/2006/relationships/image" Target="media/image2.png"/><Relationship Id="rId34" Type="http://schemas.openxmlformats.org/officeDocument/2006/relationships/chart" Target="charts/chart9.xml"/><Relationship Id="rId42" Type="http://schemas.openxmlformats.org/officeDocument/2006/relationships/chart" Target="charts/chart12.xml"/><Relationship Id="rId47" Type="http://schemas.openxmlformats.org/officeDocument/2006/relationships/image" Target="media/image14.png"/><Relationship Id="rId50" Type="http://schemas.openxmlformats.org/officeDocument/2006/relationships/chart" Target="charts/chart14.xml"/><Relationship Id="rId55" Type="http://schemas.openxmlformats.org/officeDocument/2006/relationships/chart" Target="charts/chart18.xml"/><Relationship Id="rId63" Type="http://schemas.openxmlformats.org/officeDocument/2006/relationships/chart" Target="charts/chart26.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hyperlink" Target="http://atlas.media.mit.edu/explore/tree_map/hs/export/rwa/all/show/2012/" TargetMode="External"/><Relationship Id="rId40" Type="http://schemas.openxmlformats.org/officeDocument/2006/relationships/chart" Target="charts/chart10.xml"/><Relationship Id="rId45" Type="http://schemas.openxmlformats.org/officeDocument/2006/relationships/hyperlink" Target="http://atlas.media.mit.edu/explore/tree_map/hs/export/rwa/all/show/2012/" TargetMode="External"/><Relationship Id="rId53" Type="http://schemas.openxmlformats.org/officeDocument/2006/relationships/chart" Target="charts/chart16.xml"/><Relationship Id="rId58" Type="http://schemas.openxmlformats.org/officeDocument/2006/relationships/chart" Target="charts/chart21.xml"/><Relationship Id="rId66"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hyperlink" Target="http://www.ilo.org/global/research/global-reports/global-employment-trends/2014/WCMS_234879/lang--en/index.htm" TargetMode="External"/><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hyperlink" Target="http://www.imf.org/external/np/res/dfidimf/diversification.htm" TargetMode="External"/><Relationship Id="rId57" Type="http://schemas.openxmlformats.org/officeDocument/2006/relationships/chart" Target="charts/chart20.xml"/><Relationship Id="rId61" Type="http://schemas.openxmlformats.org/officeDocument/2006/relationships/chart" Target="charts/chart24.xml"/><Relationship Id="rId10" Type="http://schemas.openxmlformats.org/officeDocument/2006/relationships/webSettings" Target="webSettings.xml"/><Relationship Id="rId19" Type="http://schemas.openxmlformats.org/officeDocument/2006/relationships/chart" Target="charts/chart2.xml"/><Relationship Id="rId31" Type="http://schemas.openxmlformats.org/officeDocument/2006/relationships/chart" Target="charts/chart6.xml"/><Relationship Id="rId44" Type="http://schemas.openxmlformats.org/officeDocument/2006/relationships/image" Target="media/image12.png"/><Relationship Id="rId52" Type="http://schemas.openxmlformats.org/officeDocument/2006/relationships/chart" Target="charts/chart15.xml"/><Relationship Id="rId60" Type="http://schemas.openxmlformats.org/officeDocument/2006/relationships/chart" Target="charts/chart23.xml"/><Relationship Id="rId65"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yperlink" Target="http://www.ilo.org/global/research/global-reports/global-employment-trends/2014/WCMS_234879/lang--en/index.htm"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chart" Target="charts/chart13.xml"/><Relationship Id="rId56" Type="http://schemas.openxmlformats.org/officeDocument/2006/relationships/chart" Target="charts/chart19.xml"/><Relationship Id="rId64" Type="http://schemas.openxmlformats.org/officeDocument/2006/relationships/chart" Target="charts/chart27.xml"/><Relationship Id="rId8" Type="http://schemas.microsoft.com/office/2007/relationships/stylesWithEffects" Target="stylesWithEffects.xml"/><Relationship Id="rId51" Type="http://schemas.openxmlformats.org/officeDocument/2006/relationships/hyperlink" Target="http://www.imf.org/external/np/res/dfidimf/diversification.htm"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s://data.un.org/search.aspx?q=gross+value+added+datamart%5bsnaama%5d" TargetMode="External"/><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chart" Target="charts/chart22.xml"/><Relationship Id="rId67" Type="http://schemas.openxmlformats.org/officeDocument/2006/relationships/fontTable" Target="fontTable.xml"/><Relationship Id="rId41" Type="http://schemas.openxmlformats.org/officeDocument/2006/relationships/chart" Target="charts/chart11.xml"/><Relationship Id="rId54" Type="http://schemas.openxmlformats.org/officeDocument/2006/relationships/chart" Target="charts/chart17.xml"/><Relationship Id="rId62" Type="http://schemas.openxmlformats.org/officeDocument/2006/relationships/chart" Target="charts/chart2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omalia%20-%20economic%20struct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omalia%20-%20Trade%20(mirror%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omalia%20-%20Trade%20(mirror%20da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omalia%20-%20Trade%20(mirror%20da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omalia%20-%20Trade%20(mirror%20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omalia%20-%20Trade%20(mirror%20da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omalia%20-%20Trade%20(mirror%20da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omalia%20-%20Trade%20(mirror%20dat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Somalia%20-%20Trade%20(mirror%20da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omalia%20-%20economic%20structur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Somalia%20-%20Trade%20(mirror%20dat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Somalia%20-%20Trade%20(mirror%20dat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omalia%20-%20economic%20struct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omalia%20-%20economic%20structur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omalia%20-%20economic%20structu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omalia%20-%20Trade%20(mirror%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omalia%20-%20Trade%20(mirror%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omalia%20-%20Trade%20(mirror%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omalia%20-%20Trade%20(mirror%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79.413459777832031</c:v>
                </c:pt>
                <c:pt idx="1">
                  <c:v>76.906837463378906</c:v>
                </c:pt>
                <c:pt idx="2">
                  <c:v>76.581527709960938</c:v>
                </c:pt>
                <c:pt idx="3">
                  <c:v>76.419815063476563</c:v>
                </c:pt>
                <c:pt idx="4">
                  <c:v>76.522872924804688</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4.8640360832214355</c:v>
                </c:pt>
                <c:pt idx="1">
                  <c:v>5.4034290313720703</c:v>
                </c:pt>
                <c:pt idx="2">
                  <c:v>5.3888521194458008</c:v>
                </c:pt>
                <c:pt idx="3">
                  <c:v>5.2299118041992188</c:v>
                </c:pt>
                <c:pt idx="4">
                  <c:v>5.0823264122009277</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15.722504615783691</c:v>
                </c:pt>
                <c:pt idx="1">
                  <c:v>17.689727783203125</c:v>
                </c:pt>
                <c:pt idx="2">
                  <c:v>18.029617309570313</c:v>
                </c:pt>
                <c:pt idx="3">
                  <c:v>18.350275039672852</c:v>
                </c:pt>
                <c:pt idx="4">
                  <c:v>18.394792556762695</c:v>
                </c:pt>
              </c:numCache>
            </c:numRef>
          </c:val>
        </c:ser>
        <c:dLbls>
          <c:showLegendKey val="0"/>
          <c:showVal val="0"/>
          <c:showCatName val="0"/>
          <c:showSerName val="0"/>
          <c:showPercent val="0"/>
          <c:showBubbleSize val="0"/>
        </c:dLbls>
        <c:gapWidth val="150"/>
        <c:overlap val="100"/>
        <c:axId val="87617536"/>
        <c:axId val="87619072"/>
      </c:barChart>
      <c:catAx>
        <c:axId val="87617536"/>
        <c:scaling>
          <c:orientation val="minMax"/>
        </c:scaling>
        <c:delete val="0"/>
        <c:axPos val="b"/>
        <c:numFmt formatCode="0" sourceLinked="1"/>
        <c:majorTickMark val="out"/>
        <c:minorTickMark val="none"/>
        <c:tickLblPos val="nextTo"/>
        <c:crossAx val="87619072"/>
        <c:crosses val="autoZero"/>
        <c:auto val="1"/>
        <c:lblAlgn val="ctr"/>
        <c:lblOffset val="100"/>
        <c:noMultiLvlLbl val="0"/>
      </c:catAx>
      <c:valAx>
        <c:axId val="87619072"/>
        <c:scaling>
          <c:orientation val="minMax"/>
        </c:scaling>
        <c:delete val="0"/>
        <c:axPos val="l"/>
        <c:majorGridlines/>
        <c:title>
          <c:tx>
            <c:rich>
              <a:bodyPr rot="-5400000" vert="horz"/>
              <a:lstStyle/>
              <a:p>
                <a:pPr>
                  <a:defRPr b="0"/>
                </a:pPr>
                <a:r>
                  <a:rPr lang="en-US" b="0"/>
                  <a:t>Percent of workforce</a:t>
                </a:r>
              </a:p>
            </c:rich>
          </c:tx>
          <c:layout/>
          <c:overlay val="0"/>
        </c:title>
        <c:numFmt formatCode="0%" sourceLinked="1"/>
        <c:majorTickMark val="out"/>
        <c:minorTickMark val="none"/>
        <c:tickLblPos val="nextTo"/>
        <c:crossAx val="8761753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2.7722103764266134E-2</c:v>
                </c:pt>
                <c:pt idx="1">
                  <c:v>0.3036685027445552</c:v>
                </c:pt>
                <c:pt idx="2">
                  <c:v>5.7773199637246517E-2</c:v>
                </c:pt>
                <c:pt idx="3">
                  <c:v>0.25116376054445383</c:v>
                </c:pt>
                <c:pt idx="4">
                  <c:v>3.0405979401309648E-2</c:v>
                </c:pt>
                <c:pt idx="5">
                  <c:v>5.4354549606833183E-2</c:v>
                </c:pt>
                <c:pt idx="6">
                  <c:v>2.9531825881269579E-2</c:v>
                </c:pt>
                <c:pt idx="7">
                  <c:v>2.7033666494802517E-3</c:v>
                </c:pt>
                <c:pt idx="8">
                  <c:v>1.0150404420120315E-2</c:v>
                </c:pt>
                <c:pt idx="9">
                  <c:v>8.4635124569634769E-3</c:v>
                </c:pt>
                <c:pt idx="10">
                  <c:v>6.6317985938521673E-2</c:v>
                </c:pt>
                <c:pt idx="11">
                  <c:v>1.7397015742118459E-2</c:v>
                </c:pt>
                <c:pt idx="12">
                  <c:v>5.141214223878917E-3</c:v>
                </c:pt>
                <c:pt idx="13">
                  <c:v>5.4059977890572309E-5</c:v>
                </c:pt>
                <c:pt idx="14">
                  <c:v>3.2396269199566639E-2</c:v>
                </c:pt>
                <c:pt idx="15">
                  <c:v>6.067846375517523E-2</c:v>
                </c:pt>
                <c:pt idx="16">
                  <c:v>2.7125972987663293E-2</c:v>
                </c:pt>
                <c:pt idx="17">
                  <c:v>7.1164260691188074E-3</c:v>
                </c:pt>
                <c:pt idx="18">
                  <c:v>2.2065297098192778E-5</c:v>
                </c:pt>
                <c:pt idx="19">
                  <c:v>7.8063343583889685E-3</c:v>
                </c:pt>
                <c:pt idx="20">
                  <c:v>6.9873440810943799E-6</c:v>
                </c:pt>
              </c:numCache>
            </c:numRef>
          </c:yVal>
          <c:bubbleSize>
            <c:numRef>
              <c:f>'M graphs'!$C$28:$C$48</c:f>
              <c:numCache>
                <c:formatCode>#,##0</c:formatCode>
                <c:ptCount val="21"/>
                <c:pt idx="0">
                  <c:v>50</c:v>
                </c:pt>
                <c:pt idx="1">
                  <c:v>136</c:v>
                </c:pt>
                <c:pt idx="2">
                  <c:v>29</c:v>
                </c:pt>
                <c:pt idx="3">
                  <c:v>117</c:v>
                </c:pt>
                <c:pt idx="4">
                  <c:v>38</c:v>
                </c:pt>
                <c:pt idx="5">
                  <c:v>246</c:v>
                </c:pt>
                <c:pt idx="6">
                  <c:v>120</c:v>
                </c:pt>
                <c:pt idx="7">
                  <c:v>24</c:v>
                </c:pt>
                <c:pt idx="8">
                  <c:v>64</c:v>
                </c:pt>
                <c:pt idx="9">
                  <c:v>80</c:v>
                </c:pt>
                <c:pt idx="10">
                  <c:v>393</c:v>
                </c:pt>
                <c:pt idx="11">
                  <c:v>36</c:v>
                </c:pt>
                <c:pt idx="12">
                  <c:v>93</c:v>
                </c:pt>
                <c:pt idx="13">
                  <c:v>7</c:v>
                </c:pt>
                <c:pt idx="14">
                  <c:v>287</c:v>
                </c:pt>
                <c:pt idx="15">
                  <c:v>537</c:v>
                </c:pt>
                <c:pt idx="16">
                  <c:v>83</c:v>
                </c:pt>
                <c:pt idx="17">
                  <c:v>114</c:v>
                </c:pt>
                <c:pt idx="18">
                  <c:v>1</c:v>
                </c:pt>
                <c:pt idx="19">
                  <c:v>89</c:v>
                </c:pt>
                <c:pt idx="20">
                  <c:v>3</c:v>
                </c:pt>
              </c:numCache>
            </c:numRef>
          </c:bubbleSize>
          <c:bubble3D val="1"/>
        </c:ser>
        <c:dLbls>
          <c:showLegendKey val="0"/>
          <c:showVal val="1"/>
          <c:showCatName val="0"/>
          <c:showSerName val="0"/>
          <c:showPercent val="0"/>
          <c:showBubbleSize val="0"/>
        </c:dLbls>
        <c:bubbleScale val="100"/>
        <c:showNegBubbles val="0"/>
        <c:axId val="86901120"/>
        <c:axId val="86903040"/>
      </c:bubbleChart>
      <c:valAx>
        <c:axId val="8690112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86903040"/>
        <c:crosses val="autoZero"/>
        <c:crossBetween val="midCat"/>
        <c:majorUnit val="1"/>
      </c:valAx>
      <c:valAx>
        <c:axId val="86903040"/>
        <c:scaling>
          <c:orientation val="minMax"/>
          <c:max val="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86901120"/>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7.3992009614545606E-2</c:v>
                </c:pt>
                <c:pt idx="1">
                  <c:v>0.36865099534933865</c:v>
                </c:pt>
                <c:pt idx="2">
                  <c:v>2.7051557567317936E-2</c:v>
                </c:pt>
                <c:pt idx="3">
                  <c:v>0.24564244316051992</c:v>
                </c:pt>
                <c:pt idx="4">
                  <c:v>2.8665917721155187E-2</c:v>
                </c:pt>
                <c:pt idx="5">
                  <c:v>4.7700705241318198E-2</c:v>
                </c:pt>
                <c:pt idx="6">
                  <c:v>1.9419814113005588E-2</c:v>
                </c:pt>
                <c:pt idx="7">
                  <c:v>8.0435315626633142E-4</c:v>
                </c:pt>
                <c:pt idx="8">
                  <c:v>4.280334790328238E-3</c:v>
                </c:pt>
                <c:pt idx="9">
                  <c:v>5.6502605384303843E-3</c:v>
                </c:pt>
                <c:pt idx="10">
                  <c:v>3.6279380421916023E-2</c:v>
                </c:pt>
                <c:pt idx="11">
                  <c:v>1.0669929310022171E-2</c:v>
                </c:pt>
                <c:pt idx="12">
                  <c:v>5.1570571152933214E-3</c:v>
                </c:pt>
                <c:pt idx="13">
                  <c:v>1.7526908044228874E-5</c:v>
                </c:pt>
                <c:pt idx="14">
                  <c:v>2.5530862717760054E-2</c:v>
                </c:pt>
                <c:pt idx="15">
                  <c:v>5.1340271350459578E-2</c:v>
                </c:pt>
                <c:pt idx="16">
                  <c:v>2.1564316119836561E-2</c:v>
                </c:pt>
                <c:pt idx="17">
                  <c:v>8.8818077667571858E-3</c:v>
                </c:pt>
                <c:pt idx="18">
                  <c:v>3.7937275153798625E-4</c:v>
                </c:pt>
                <c:pt idx="19">
                  <c:v>1.8320518902016483E-2</c:v>
                </c:pt>
                <c:pt idx="20">
                  <c:v>5.6538413045899588E-7</c:v>
                </c:pt>
              </c:numCache>
            </c:numRef>
          </c:yVal>
          <c:bubbleSize>
            <c:numRef>
              <c:f>'M graphs'!$C$52:$C$72</c:f>
              <c:numCache>
                <c:formatCode>General</c:formatCode>
                <c:ptCount val="21"/>
                <c:pt idx="0">
                  <c:v>84</c:v>
                </c:pt>
                <c:pt idx="1">
                  <c:v>147</c:v>
                </c:pt>
                <c:pt idx="2">
                  <c:v>23</c:v>
                </c:pt>
                <c:pt idx="3">
                  <c:v>131</c:v>
                </c:pt>
                <c:pt idx="4">
                  <c:v>36</c:v>
                </c:pt>
                <c:pt idx="5">
                  <c:v>242</c:v>
                </c:pt>
                <c:pt idx="6">
                  <c:v>117</c:v>
                </c:pt>
                <c:pt idx="7">
                  <c:v>24</c:v>
                </c:pt>
                <c:pt idx="8">
                  <c:v>46</c:v>
                </c:pt>
                <c:pt idx="9">
                  <c:v>78</c:v>
                </c:pt>
                <c:pt idx="10">
                  <c:v>318</c:v>
                </c:pt>
                <c:pt idx="11">
                  <c:v>41</c:v>
                </c:pt>
                <c:pt idx="12">
                  <c:v>86</c:v>
                </c:pt>
                <c:pt idx="13">
                  <c:v>6</c:v>
                </c:pt>
                <c:pt idx="14">
                  <c:v>285</c:v>
                </c:pt>
                <c:pt idx="15">
                  <c:v>567</c:v>
                </c:pt>
                <c:pt idx="16">
                  <c:v>81</c:v>
                </c:pt>
                <c:pt idx="17">
                  <c:v>126</c:v>
                </c:pt>
                <c:pt idx="18">
                  <c:v>9</c:v>
                </c:pt>
                <c:pt idx="19">
                  <c:v>95</c:v>
                </c:pt>
                <c:pt idx="20">
                  <c:v>2</c:v>
                </c:pt>
              </c:numCache>
            </c:numRef>
          </c:bubbleSize>
          <c:bubble3D val="1"/>
        </c:ser>
        <c:dLbls>
          <c:showLegendKey val="0"/>
          <c:showVal val="1"/>
          <c:showCatName val="0"/>
          <c:showSerName val="0"/>
          <c:showPercent val="0"/>
          <c:showBubbleSize val="0"/>
        </c:dLbls>
        <c:bubbleScale val="100"/>
        <c:showNegBubbles val="0"/>
        <c:axId val="86935040"/>
        <c:axId val="86938368"/>
      </c:bubbleChart>
      <c:valAx>
        <c:axId val="8693504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86938368"/>
        <c:crosses val="autoZero"/>
        <c:crossBetween val="midCat"/>
        <c:majorUnit val="1"/>
      </c:valAx>
      <c:valAx>
        <c:axId val="86938368"/>
        <c:scaling>
          <c:orientation val="minMax"/>
          <c:max val="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86935040"/>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graphs'!$D$104:$D$124</c:f>
              <c:numCache>
                <c:formatCode>0.0</c:formatCode>
                <c:ptCount val="21"/>
                <c:pt idx="0">
                  <c:v>4.6269905850279471</c:v>
                </c:pt>
                <c:pt idx="1">
                  <c:v>6.4982492604783451</c:v>
                </c:pt>
                <c:pt idx="2">
                  <c:v>-3.0721642069928579</c:v>
                </c:pt>
                <c:pt idx="3">
                  <c:v>-0.55213173839339102</c:v>
                </c:pt>
                <c:pt idx="4">
                  <c:v>-0.17400616801544616</c:v>
                </c:pt>
                <c:pt idx="5">
                  <c:v>-0.66538443655149848</c:v>
                </c:pt>
                <c:pt idx="6">
                  <c:v>-1.0112011768263991</c:v>
                </c:pt>
                <c:pt idx="7">
                  <c:v>-0.18990134932139205</c:v>
                </c:pt>
                <c:pt idx="8">
                  <c:v>-0.58700696297920774</c:v>
                </c:pt>
                <c:pt idx="9">
                  <c:v>-0.28132519185330929</c:v>
                </c:pt>
                <c:pt idx="10">
                  <c:v>-3.0038605516605652</c:v>
                </c:pt>
                <c:pt idx="11">
                  <c:v>-0.67270864320962875</c:v>
                </c:pt>
                <c:pt idx="12">
                  <c:v>1.5842891414404384E-3</c:v>
                </c:pt>
                <c:pt idx="13">
                  <c:v>-3.6533069846343435E-3</c:v>
                </c:pt>
                <c:pt idx="14">
                  <c:v>-0.68654064818065852</c:v>
                </c:pt>
                <c:pt idx="15">
                  <c:v>-0.93381924047156517</c:v>
                </c:pt>
                <c:pt idx="16">
                  <c:v>-0.5561656867826732</c:v>
                </c:pt>
                <c:pt idx="17">
                  <c:v>0.17653816976383785</c:v>
                </c:pt>
                <c:pt idx="18">
                  <c:v>3.5730745443979348E-2</c:v>
                </c:pt>
                <c:pt idx="19">
                  <c:v>1.0514184543627514</c:v>
                </c:pt>
                <c:pt idx="20">
                  <c:v>-6.4219599506353843E-4</c:v>
                </c:pt>
              </c:numCache>
            </c:numRef>
          </c:val>
        </c:ser>
        <c:dLbls>
          <c:showLegendKey val="0"/>
          <c:showVal val="0"/>
          <c:showCatName val="0"/>
          <c:showSerName val="0"/>
          <c:showPercent val="0"/>
          <c:showBubbleSize val="0"/>
        </c:dLbls>
        <c:gapWidth val="49"/>
        <c:axId val="94449664"/>
        <c:axId val="94451584"/>
      </c:barChart>
      <c:catAx>
        <c:axId val="94449664"/>
        <c:scaling>
          <c:orientation val="minMax"/>
        </c:scaling>
        <c:delete val="0"/>
        <c:axPos val="b"/>
        <c:title>
          <c:tx>
            <c:rich>
              <a:bodyPr/>
              <a:lstStyle/>
              <a:p>
                <a:pPr>
                  <a:defRPr b="0"/>
                </a:pPr>
                <a:r>
                  <a:rPr lang="en-US" b="0"/>
                  <a:t>HS Section</a:t>
                </a:r>
              </a:p>
            </c:rich>
          </c:tx>
          <c:overlay val="0"/>
        </c:title>
        <c:majorTickMark val="out"/>
        <c:minorTickMark val="none"/>
        <c:tickLblPos val="low"/>
        <c:crossAx val="94451584"/>
        <c:crosses val="autoZero"/>
        <c:auto val="1"/>
        <c:lblAlgn val="ctr"/>
        <c:lblOffset val="100"/>
        <c:noMultiLvlLbl val="0"/>
      </c:catAx>
      <c:valAx>
        <c:axId val="94451584"/>
        <c:scaling>
          <c:orientation val="minMax"/>
          <c:min val="-4"/>
        </c:scaling>
        <c:delete val="0"/>
        <c:axPos val="l"/>
        <c:majorGridlines/>
        <c:title>
          <c:tx>
            <c:rich>
              <a:bodyPr rot="-5400000" vert="horz"/>
              <a:lstStyle/>
              <a:p>
                <a:pPr>
                  <a:defRPr b="0"/>
                </a:pPr>
                <a:r>
                  <a:rPr lang="en-US" b="0"/>
                  <a:t>Percentage points</a:t>
                </a:r>
              </a:p>
            </c:rich>
          </c:tx>
          <c:overlay val="0"/>
        </c:title>
        <c:numFmt formatCode="0" sourceLinked="0"/>
        <c:majorTickMark val="out"/>
        <c:minorTickMark val="none"/>
        <c:tickLblPos val="nextTo"/>
        <c:crossAx val="9444966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2.1601699999999999</c:v>
                </c:pt>
                <c:pt idx="1">
                  <c:v>2.0109499999999998</c:v>
                </c:pt>
                <c:pt idx="2">
                  <c:v>1.74929</c:v>
                </c:pt>
                <c:pt idx="3">
                  <c:v>1.79478</c:v>
                </c:pt>
                <c:pt idx="4">
                  <c:v>1.6793</c:v>
                </c:pt>
                <c:pt idx="5">
                  <c:v>1.9147000000000001</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3.15177</c:v>
                </c:pt>
                <c:pt idx="1">
                  <c:v>2.1723499999999998</c:v>
                </c:pt>
                <c:pt idx="2">
                  <c:v>2.47309</c:v>
                </c:pt>
                <c:pt idx="3">
                  <c:v>2.5553599999999999</c:v>
                </c:pt>
                <c:pt idx="4">
                  <c:v>2.3740800000000002</c:v>
                </c:pt>
                <c:pt idx="5">
                  <c:v>2.8815599999999999</c:v>
                </c:pt>
              </c:numCache>
            </c:numRef>
          </c:val>
        </c:ser>
        <c:dLbls>
          <c:showLegendKey val="0"/>
          <c:showVal val="0"/>
          <c:showCatName val="0"/>
          <c:showSerName val="0"/>
          <c:showPercent val="0"/>
          <c:showBubbleSize val="0"/>
        </c:dLbls>
        <c:gapWidth val="150"/>
        <c:overlap val="100"/>
        <c:axId val="94469504"/>
        <c:axId val="93783168"/>
      </c:barChart>
      <c:catAx>
        <c:axId val="94469504"/>
        <c:scaling>
          <c:orientation val="minMax"/>
        </c:scaling>
        <c:delete val="0"/>
        <c:axPos val="b"/>
        <c:numFmt formatCode="General" sourceLinked="1"/>
        <c:majorTickMark val="out"/>
        <c:minorTickMark val="none"/>
        <c:tickLblPos val="nextTo"/>
        <c:crossAx val="93783168"/>
        <c:crosses val="autoZero"/>
        <c:auto val="1"/>
        <c:lblAlgn val="ctr"/>
        <c:lblOffset val="100"/>
        <c:noMultiLvlLbl val="0"/>
      </c:catAx>
      <c:valAx>
        <c:axId val="93783168"/>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9446950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1970</c:v>
                </c:pt>
                <c:pt idx="1">
                  <c:v>1975</c:v>
                </c:pt>
                <c:pt idx="2">
                  <c:v>1990</c:v>
                </c:pt>
                <c:pt idx="3">
                  <c:v>2000</c:v>
                </c:pt>
                <c:pt idx="4">
                  <c:v>2005</c:v>
                </c:pt>
                <c:pt idx="5">
                  <c:v>2010</c:v>
                </c:pt>
              </c:numCache>
            </c:numRef>
          </c:cat>
          <c:val>
            <c:numRef>
              <c:f>'Diversification &amp; quality'!$V$7:$AA$7</c:f>
              <c:numCache>
                <c:formatCode>General</c:formatCode>
                <c:ptCount val="6"/>
                <c:pt idx="0">
                  <c:v>0.88135019999999997</c:v>
                </c:pt>
                <c:pt idx="1">
                  <c:v>0.79357889999999998</c:v>
                </c:pt>
                <c:pt idx="2">
                  <c:v>0.60030280000000003</c:v>
                </c:pt>
                <c:pt idx="3">
                  <c:v>0.51205029999999996</c:v>
                </c:pt>
                <c:pt idx="4">
                  <c:v>0.486263</c:v>
                </c:pt>
                <c:pt idx="5">
                  <c:v>0.45252419999999999</c:v>
                </c:pt>
              </c:numCache>
            </c:numRef>
          </c:val>
        </c:ser>
        <c:dLbls>
          <c:showLegendKey val="0"/>
          <c:showVal val="0"/>
          <c:showCatName val="0"/>
          <c:showSerName val="0"/>
          <c:showPercent val="0"/>
          <c:showBubbleSize val="0"/>
        </c:dLbls>
        <c:gapWidth val="150"/>
        <c:axId val="93844992"/>
        <c:axId val="93846912"/>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0.90576820000000002</c:v>
                </c:pt>
                <c:pt idx="1">
                  <c:v>0.79296739999999999</c:v>
                </c:pt>
                <c:pt idx="2">
                  <c:v>0.56661640000000002</c:v>
                </c:pt>
                <c:pt idx="3">
                  <c:v>0.46641369999999999</c:v>
                </c:pt>
                <c:pt idx="4">
                  <c:v>0.47749059999999999</c:v>
                </c:pt>
                <c:pt idx="5">
                  <c:v>0.44389149999999999</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pt idx="2">
                  <c:v>0.68673980000000001</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0.76018220000000003</c:v>
                </c:pt>
                <c:pt idx="1">
                  <c:v>0.72761929999999997</c:v>
                </c:pt>
                <c:pt idx="2">
                  <c:v>0.79878099999999996</c:v>
                </c:pt>
                <c:pt idx="3">
                  <c:v>0.67500850000000001</c:v>
                </c:pt>
                <c:pt idx="4">
                  <c:v>0.4474727</c:v>
                </c:pt>
                <c:pt idx="5">
                  <c:v>0.38812489999999999</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pt idx="1">
                  <c:v>0.66872560000000003</c:v>
                </c:pt>
                <c:pt idx="4">
                  <c:v>0.82945060000000004</c:v>
                </c:pt>
                <c:pt idx="5">
                  <c:v>0.79518290000000003</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0">
                  <c:v>0.50606079999999998</c:v>
                </c:pt>
                <c:pt idx="1">
                  <c:v>0.54632170000000002</c:v>
                </c:pt>
                <c:pt idx="3">
                  <c:v>0.41512969999999999</c:v>
                </c:pt>
                <c:pt idx="4">
                  <c:v>0.28438429999999998</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1">
                  <c:v>0.86039160000000003</c:v>
                </c:pt>
                <c:pt idx="4">
                  <c:v>0.58889939999999996</c:v>
                </c:pt>
                <c:pt idx="5">
                  <c:v>0.67704120000000001</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0">
                  <c:v>0.77291240000000005</c:v>
                </c:pt>
                <c:pt idx="1">
                  <c:v>0.82823590000000002</c:v>
                </c:pt>
                <c:pt idx="2">
                  <c:v>0.78578599999999998</c:v>
                </c:pt>
                <c:pt idx="4">
                  <c:v>0.83697410000000005</c:v>
                </c:pt>
                <c:pt idx="5">
                  <c:v>0.90403210000000001</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0">
                  <c:v>0.56670980000000004</c:v>
                </c:pt>
                <c:pt idx="1">
                  <c:v>0.74846389999999996</c:v>
                </c:pt>
                <c:pt idx="2">
                  <c:v>0.68287980000000004</c:v>
                </c:pt>
                <c:pt idx="3">
                  <c:v>0.70443199999999995</c:v>
                </c:pt>
                <c:pt idx="4">
                  <c:v>0.90020579999999994</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1">
                  <c:v>0.73823139999999998</c:v>
                </c:pt>
                <c:pt idx="2">
                  <c:v>0.70564369999999998</c:v>
                </c:pt>
                <c:pt idx="4">
                  <c:v>0.7163098</c:v>
                </c:pt>
                <c:pt idx="5">
                  <c:v>0.8628055</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0">
                  <c:v>0.52172350000000001</c:v>
                </c:pt>
                <c:pt idx="1">
                  <c:v>0.49982520000000003</c:v>
                </c:pt>
                <c:pt idx="2">
                  <c:v>0.53363910000000003</c:v>
                </c:pt>
                <c:pt idx="4">
                  <c:v>0.59317089999999995</c:v>
                </c:pt>
                <c:pt idx="5">
                  <c:v>0.42770750000000002</c:v>
                </c:pt>
              </c:numCache>
            </c:numRef>
          </c:val>
          <c:smooth val="0"/>
        </c:ser>
        <c:dLbls>
          <c:showLegendKey val="0"/>
          <c:showVal val="0"/>
          <c:showCatName val="0"/>
          <c:showSerName val="0"/>
          <c:showPercent val="0"/>
          <c:showBubbleSize val="0"/>
        </c:dLbls>
        <c:marker val="1"/>
        <c:smooth val="0"/>
        <c:axId val="93844992"/>
        <c:axId val="93846912"/>
      </c:lineChart>
      <c:catAx>
        <c:axId val="93844992"/>
        <c:scaling>
          <c:orientation val="minMax"/>
        </c:scaling>
        <c:delete val="0"/>
        <c:axPos val="b"/>
        <c:numFmt formatCode="General" sourceLinked="1"/>
        <c:majorTickMark val="out"/>
        <c:minorTickMark val="none"/>
        <c:tickLblPos val="nextTo"/>
        <c:crossAx val="93846912"/>
        <c:crosses val="autoZero"/>
        <c:auto val="1"/>
        <c:lblAlgn val="ctr"/>
        <c:lblOffset val="100"/>
        <c:noMultiLvlLbl val="0"/>
      </c:catAx>
      <c:valAx>
        <c:axId val="93846912"/>
        <c:scaling>
          <c:orientation val="minMax"/>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93844992"/>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graphs'!$E$73:$M$74</c:f>
              <c:strCache>
                <c:ptCount val="9"/>
                <c:pt idx="0">
                  <c:v>2005</c:v>
                </c:pt>
                <c:pt idx="1">
                  <c:v>2006</c:v>
                </c:pt>
                <c:pt idx="2">
                  <c:v>2007</c:v>
                </c:pt>
                <c:pt idx="3">
                  <c:v>2008</c:v>
                </c:pt>
                <c:pt idx="4">
                  <c:v>2009</c:v>
                </c:pt>
                <c:pt idx="5">
                  <c:v>2010</c:v>
                </c:pt>
                <c:pt idx="6">
                  <c:v>2011</c:v>
                </c:pt>
                <c:pt idx="7">
                  <c:v>2012</c:v>
                </c:pt>
                <c:pt idx="8">
                  <c:v>2013</c:v>
                </c:pt>
              </c:strCache>
            </c:strRef>
          </c:cat>
          <c:val>
            <c:numRef>
              <c:f>'X graphs'!$E$75:$M$75</c:f>
              <c:numCache>
                <c:formatCode>_-* #,##0_-;\-* #,##0_-;_-* "-"??_-;_-@_-</c:formatCode>
                <c:ptCount val="9"/>
                <c:pt idx="0">
                  <c:v>331</c:v>
                </c:pt>
                <c:pt idx="1">
                  <c:v>308</c:v>
                </c:pt>
                <c:pt idx="2">
                  <c:v>431</c:v>
                </c:pt>
                <c:pt idx="3">
                  <c:v>312</c:v>
                </c:pt>
                <c:pt idx="4">
                  <c:v>307</c:v>
                </c:pt>
                <c:pt idx="5">
                  <c:v>233</c:v>
                </c:pt>
                <c:pt idx="6">
                  <c:v>230</c:v>
                </c:pt>
                <c:pt idx="7">
                  <c:v>253</c:v>
                </c:pt>
                <c:pt idx="8">
                  <c:v>261</c:v>
                </c:pt>
              </c:numCache>
            </c:numRef>
          </c:val>
          <c:smooth val="0"/>
        </c:ser>
        <c:dLbls>
          <c:showLegendKey val="0"/>
          <c:showVal val="0"/>
          <c:showCatName val="0"/>
          <c:showSerName val="0"/>
          <c:showPercent val="0"/>
          <c:showBubbleSize val="0"/>
        </c:dLbls>
        <c:marker val="1"/>
        <c:smooth val="0"/>
        <c:axId val="95446912"/>
        <c:axId val="95448448"/>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graphs'!$E$76:$M$76</c:f>
              <c:numCache>
                <c:formatCode>General</c:formatCode>
                <c:ptCount val="9"/>
                <c:pt idx="0">
                  <c:v>67</c:v>
                </c:pt>
                <c:pt idx="1">
                  <c:v>67</c:v>
                </c:pt>
                <c:pt idx="2">
                  <c:v>75</c:v>
                </c:pt>
                <c:pt idx="3">
                  <c:v>72</c:v>
                </c:pt>
                <c:pt idx="4">
                  <c:v>66</c:v>
                </c:pt>
                <c:pt idx="5">
                  <c:v>66</c:v>
                </c:pt>
                <c:pt idx="6">
                  <c:v>63</c:v>
                </c:pt>
                <c:pt idx="7">
                  <c:v>61</c:v>
                </c:pt>
                <c:pt idx="8">
                  <c:v>56</c:v>
                </c:pt>
              </c:numCache>
            </c:numRef>
          </c:val>
          <c:smooth val="0"/>
        </c:ser>
        <c:dLbls>
          <c:showLegendKey val="0"/>
          <c:showVal val="0"/>
          <c:showCatName val="0"/>
          <c:showSerName val="0"/>
          <c:showPercent val="0"/>
          <c:showBubbleSize val="0"/>
        </c:dLbls>
        <c:marker val="1"/>
        <c:smooth val="0"/>
        <c:axId val="95459968"/>
        <c:axId val="95458432"/>
      </c:lineChart>
      <c:catAx>
        <c:axId val="95446912"/>
        <c:scaling>
          <c:orientation val="minMax"/>
        </c:scaling>
        <c:delete val="0"/>
        <c:axPos val="b"/>
        <c:majorTickMark val="out"/>
        <c:minorTickMark val="none"/>
        <c:tickLblPos val="nextTo"/>
        <c:crossAx val="95448448"/>
        <c:crosses val="autoZero"/>
        <c:auto val="1"/>
        <c:lblAlgn val="ctr"/>
        <c:lblOffset val="100"/>
        <c:noMultiLvlLbl val="0"/>
      </c:catAx>
      <c:valAx>
        <c:axId val="95448448"/>
        <c:scaling>
          <c:orientation val="minMax"/>
        </c:scaling>
        <c:delete val="0"/>
        <c:axPos val="l"/>
        <c:majorGridlines/>
        <c:numFmt formatCode="_-* #,##0_-;\-* #,##0_-;_-* &quot;-&quot;??_-;_-@_-" sourceLinked="1"/>
        <c:majorTickMark val="out"/>
        <c:minorTickMark val="none"/>
        <c:tickLblPos val="nextTo"/>
        <c:crossAx val="95446912"/>
        <c:crosses val="autoZero"/>
        <c:crossBetween val="between"/>
      </c:valAx>
      <c:valAx>
        <c:axId val="95458432"/>
        <c:scaling>
          <c:orientation val="minMax"/>
        </c:scaling>
        <c:delete val="0"/>
        <c:axPos val="r"/>
        <c:numFmt formatCode="General" sourceLinked="1"/>
        <c:majorTickMark val="out"/>
        <c:minorTickMark val="none"/>
        <c:tickLblPos val="nextTo"/>
        <c:crossAx val="95459968"/>
        <c:crosses val="max"/>
        <c:crossBetween val="between"/>
      </c:valAx>
      <c:catAx>
        <c:axId val="95459968"/>
        <c:scaling>
          <c:orientation val="minMax"/>
        </c:scaling>
        <c:delete val="1"/>
        <c:axPos val="b"/>
        <c:majorTickMark val="out"/>
        <c:minorTickMark val="none"/>
        <c:tickLblPos val="nextTo"/>
        <c:crossAx val="9545843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graphs'!$E$74:$M$75</c:f>
              <c:strCache>
                <c:ptCount val="9"/>
                <c:pt idx="0">
                  <c:v>2005</c:v>
                </c:pt>
                <c:pt idx="1">
                  <c:v>2006</c:v>
                </c:pt>
                <c:pt idx="2">
                  <c:v>2007</c:v>
                </c:pt>
                <c:pt idx="3">
                  <c:v>2008</c:v>
                </c:pt>
                <c:pt idx="4">
                  <c:v>2009</c:v>
                </c:pt>
                <c:pt idx="5">
                  <c:v>2010</c:v>
                </c:pt>
                <c:pt idx="6">
                  <c:v>2011</c:v>
                </c:pt>
                <c:pt idx="7">
                  <c:v>2012</c:v>
                </c:pt>
                <c:pt idx="8">
                  <c:v>2013</c:v>
                </c:pt>
              </c:strCache>
            </c:strRef>
          </c:cat>
          <c:val>
            <c:numRef>
              <c:f>'M graphs'!$E$76:$M$76</c:f>
              <c:numCache>
                <c:formatCode>_-* #,##0_-;\-* #,##0_-;_-* "-"??_-;_-@_-</c:formatCode>
                <c:ptCount val="9"/>
                <c:pt idx="0">
                  <c:v>1415</c:v>
                </c:pt>
                <c:pt idx="1">
                  <c:v>1166</c:v>
                </c:pt>
                <c:pt idx="2">
                  <c:v>1605</c:v>
                </c:pt>
                <c:pt idx="3">
                  <c:v>1456</c:v>
                </c:pt>
                <c:pt idx="4">
                  <c:v>1260</c:v>
                </c:pt>
                <c:pt idx="5">
                  <c:v>1347</c:v>
                </c:pt>
                <c:pt idx="6">
                  <c:v>1478</c:v>
                </c:pt>
                <c:pt idx="7">
                  <c:v>1391</c:v>
                </c:pt>
                <c:pt idx="8">
                  <c:v>1537</c:v>
                </c:pt>
              </c:numCache>
            </c:numRef>
          </c:val>
          <c:smooth val="0"/>
        </c:ser>
        <c:dLbls>
          <c:showLegendKey val="0"/>
          <c:showVal val="0"/>
          <c:showCatName val="0"/>
          <c:showSerName val="0"/>
          <c:showPercent val="0"/>
          <c:showBubbleSize val="0"/>
        </c:dLbls>
        <c:marker val="1"/>
        <c:smooth val="0"/>
        <c:axId val="95486336"/>
        <c:axId val="95487872"/>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graphs'!$E$77:$M$77</c:f>
              <c:numCache>
                <c:formatCode>General</c:formatCode>
                <c:ptCount val="9"/>
                <c:pt idx="0">
                  <c:v>61</c:v>
                </c:pt>
                <c:pt idx="1">
                  <c:v>62</c:v>
                </c:pt>
                <c:pt idx="2">
                  <c:v>65</c:v>
                </c:pt>
                <c:pt idx="3">
                  <c:v>59</c:v>
                </c:pt>
                <c:pt idx="4">
                  <c:v>55</c:v>
                </c:pt>
                <c:pt idx="5">
                  <c:v>62</c:v>
                </c:pt>
                <c:pt idx="6">
                  <c:v>59</c:v>
                </c:pt>
                <c:pt idx="7">
                  <c:v>67</c:v>
                </c:pt>
                <c:pt idx="8">
                  <c:v>62</c:v>
                </c:pt>
              </c:numCache>
            </c:numRef>
          </c:val>
          <c:smooth val="0"/>
        </c:ser>
        <c:dLbls>
          <c:showLegendKey val="0"/>
          <c:showVal val="0"/>
          <c:showCatName val="0"/>
          <c:showSerName val="0"/>
          <c:showPercent val="0"/>
          <c:showBubbleSize val="0"/>
        </c:dLbls>
        <c:marker val="1"/>
        <c:smooth val="0"/>
        <c:axId val="95495296"/>
        <c:axId val="95489408"/>
      </c:lineChart>
      <c:catAx>
        <c:axId val="95486336"/>
        <c:scaling>
          <c:orientation val="minMax"/>
        </c:scaling>
        <c:delete val="0"/>
        <c:axPos val="b"/>
        <c:majorTickMark val="out"/>
        <c:minorTickMark val="none"/>
        <c:tickLblPos val="nextTo"/>
        <c:crossAx val="95487872"/>
        <c:crosses val="autoZero"/>
        <c:auto val="1"/>
        <c:lblAlgn val="ctr"/>
        <c:lblOffset val="100"/>
        <c:noMultiLvlLbl val="0"/>
      </c:catAx>
      <c:valAx>
        <c:axId val="95487872"/>
        <c:scaling>
          <c:orientation val="minMax"/>
        </c:scaling>
        <c:delete val="0"/>
        <c:axPos val="l"/>
        <c:majorGridlines/>
        <c:numFmt formatCode="_-* #,##0_-;\-* #,##0_-;_-* &quot;-&quot;??_-;_-@_-" sourceLinked="1"/>
        <c:majorTickMark val="out"/>
        <c:minorTickMark val="none"/>
        <c:tickLblPos val="nextTo"/>
        <c:crossAx val="95486336"/>
        <c:crosses val="autoZero"/>
        <c:crossBetween val="between"/>
      </c:valAx>
      <c:valAx>
        <c:axId val="95489408"/>
        <c:scaling>
          <c:orientation val="minMax"/>
        </c:scaling>
        <c:delete val="0"/>
        <c:axPos val="r"/>
        <c:numFmt formatCode="General" sourceLinked="1"/>
        <c:majorTickMark val="out"/>
        <c:minorTickMark val="none"/>
        <c:tickLblPos val="nextTo"/>
        <c:crossAx val="95495296"/>
        <c:crosses val="max"/>
        <c:crossBetween val="between"/>
      </c:valAx>
      <c:catAx>
        <c:axId val="95495296"/>
        <c:scaling>
          <c:orientation val="minMax"/>
        </c:scaling>
        <c:delete val="1"/>
        <c:axPos val="b"/>
        <c:majorTickMark val="out"/>
        <c:minorTickMark val="none"/>
        <c:tickLblPos val="nextTo"/>
        <c:crossAx val="9548940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Somalia!$B$3</c:f>
              <c:strCache>
                <c:ptCount val="1"/>
                <c:pt idx="0">
                  <c:v>1996-2011</c:v>
                </c:pt>
              </c:strCache>
            </c:strRef>
          </c:tx>
          <c:invertIfNegative val="0"/>
          <c:cat>
            <c:strRef>
              <c:f>Somalia!$A$4:$A$6</c:f>
              <c:strCache>
                <c:ptCount val="3"/>
                <c:pt idx="0">
                  <c:v>DVA</c:v>
                </c:pt>
                <c:pt idx="1">
                  <c:v>FVA</c:v>
                </c:pt>
                <c:pt idx="2">
                  <c:v>Exports</c:v>
                </c:pt>
              </c:strCache>
            </c:strRef>
          </c:cat>
          <c:val>
            <c:numRef>
              <c:f>Somalia!$B$4:$B$6</c:f>
              <c:numCache>
                <c:formatCode>0.0%</c:formatCode>
                <c:ptCount val="3"/>
                <c:pt idx="0">
                  <c:v>3.9321526356106418E-3</c:v>
                </c:pt>
                <c:pt idx="1">
                  <c:v>2.8125617715020423E-2</c:v>
                </c:pt>
                <c:pt idx="2">
                  <c:v>2.6209755060784712E-2</c:v>
                </c:pt>
              </c:numCache>
            </c:numRef>
          </c:val>
        </c:ser>
        <c:ser>
          <c:idx val="1"/>
          <c:order val="1"/>
          <c:tx>
            <c:strRef>
              <c:f>Somalia!$C$3</c:f>
              <c:strCache>
                <c:ptCount val="1"/>
                <c:pt idx="0">
                  <c:v>2006-2011</c:v>
                </c:pt>
              </c:strCache>
            </c:strRef>
          </c:tx>
          <c:spPr>
            <a:solidFill>
              <a:schemeClr val="accent6"/>
            </a:solidFill>
          </c:spPr>
          <c:invertIfNegative val="0"/>
          <c:cat>
            <c:strRef>
              <c:f>Somalia!$A$4:$A$6</c:f>
              <c:strCache>
                <c:ptCount val="3"/>
                <c:pt idx="0">
                  <c:v>DVA</c:v>
                </c:pt>
                <c:pt idx="1">
                  <c:v>FVA</c:v>
                </c:pt>
                <c:pt idx="2">
                  <c:v>Exports</c:v>
                </c:pt>
              </c:strCache>
            </c:strRef>
          </c:cat>
          <c:val>
            <c:numRef>
              <c:f>Somalia!$C$4:$C$6</c:f>
              <c:numCache>
                <c:formatCode>0.0%</c:formatCode>
                <c:ptCount val="3"/>
                <c:pt idx="0">
                  <c:v>-3.4559545707411155E-2</c:v>
                </c:pt>
                <c:pt idx="1">
                  <c:v>4.3511448837206368E-2</c:v>
                </c:pt>
                <c:pt idx="2">
                  <c:v>-6.8291474158423959E-3</c:v>
                </c:pt>
              </c:numCache>
            </c:numRef>
          </c:val>
        </c:ser>
        <c:dLbls>
          <c:showLegendKey val="0"/>
          <c:showVal val="0"/>
          <c:showCatName val="0"/>
          <c:showSerName val="0"/>
          <c:showPercent val="0"/>
          <c:showBubbleSize val="0"/>
        </c:dLbls>
        <c:gapWidth val="150"/>
        <c:axId val="95528448"/>
        <c:axId val="95529984"/>
      </c:barChart>
      <c:catAx>
        <c:axId val="95528448"/>
        <c:scaling>
          <c:orientation val="minMax"/>
        </c:scaling>
        <c:delete val="0"/>
        <c:axPos val="b"/>
        <c:majorTickMark val="out"/>
        <c:minorTickMark val="none"/>
        <c:tickLblPos val="low"/>
        <c:crossAx val="95529984"/>
        <c:crosses val="autoZero"/>
        <c:auto val="1"/>
        <c:lblAlgn val="ctr"/>
        <c:lblOffset val="100"/>
        <c:noMultiLvlLbl val="0"/>
      </c:catAx>
      <c:valAx>
        <c:axId val="95529984"/>
        <c:scaling>
          <c:orientation val="minMax"/>
        </c:scaling>
        <c:delete val="0"/>
        <c:axPos val="l"/>
        <c:majorGridlines/>
        <c:numFmt formatCode="0%" sourceLinked="0"/>
        <c:majorTickMark val="out"/>
        <c:minorTickMark val="none"/>
        <c:tickLblPos val="nextTo"/>
        <c:crossAx val="9552844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graphs'!$A$28</c:f>
              <c:strCache>
                <c:ptCount val="1"/>
                <c:pt idx="0">
                  <c:v>DVA</c:v>
                </c:pt>
              </c:strCache>
            </c:strRef>
          </c:tx>
          <c:invertIfNegative val="0"/>
          <c:cat>
            <c:numRef>
              <c:f>'DVA-FVA graphs'!$B$27:$E$27</c:f>
              <c:numCache>
                <c:formatCode>General</c:formatCode>
                <c:ptCount val="4"/>
                <c:pt idx="0">
                  <c:v>1996</c:v>
                </c:pt>
                <c:pt idx="1">
                  <c:v>2000</c:v>
                </c:pt>
                <c:pt idx="2">
                  <c:v>2006</c:v>
                </c:pt>
                <c:pt idx="3">
                  <c:v>2011</c:v>
                </c:pt>
              </c:numCache>
            </c:numRef>
          </c:cat>
          <c:val>
            <c:numRef>
              <c:f>'DVA-FVA graphs'!$B$28:$E$28</c:f>
              <c:numCache>
                <c:formatCode>0.0%</c:formatCode>
                <c:ptCount val="4"/>
                <c:pt idx="0">
                  <c:v>0.78952318231011376</c:v>
                </c:pt>
                <c:pt idx="1">
                  <c:v>0.79552370443136233</c:v>
                </c:pt>
                <c:pt idx="2">
                  <c:v>0.7947291974235392</c:v>
                </c:pt>
                <c:pt idx="3">
                  <c:v>0.72409379644888849</c:v>
                </c:pt>
              </c:numCache>
            </c:numRef>
          </c:val>
        </c:ser>
        <c:ser>
          <c:idx val="1"/>
          <c:order val="1"/>
          <c:tx>
            <c:strRef>
              <c:f>'DVA-FVA graphs'!$A$29</c:f>
              <c:strCache>
                <c:ptCount val="1"/>
                <c:pt idx="0">
                  <c:v>FVA</c:v>
                </c:pt>
              </c:strCache>
            </c:strRef>
          </c:tx>
          <c:spPr>
            <a:solidFill>
              <a:schemeClr val="accent6"/>
            </a:solidFill>
          </c:spPr>
          <c:invertIfNegative val="0"/>
          <c:cat>
            <c:numRef>
              <c:f>'DVA-FVA graphs'!$B$27:$E$27</c:f>
              <c:numCache>
                <c:formatCode>General</c:formatCode>
                <c:ptCount val="4"/>
                <c:pt idx="0">
                  <c:v>1996</c:v>
                </c:pt>
                <c:pt idx="1">
                  <c:v>2000</c:v>
                </c:pt>
                <c:pt idx="2">
                  <c:v>2006</c:v>
                </c:pt>
                <c:pt idx="3">
                  <c:v>2011</c:v>
                </c:pt>
              </c:numCache>
            </c:numRef>
          </c:cat>
          <c:val>
            <c:numRef>
              <c:f>'DVA-FVA graphs'!$B$29:$E$29</c:f>
              <c:numCache>
                <c:formatCode>0.0%</c:formatCode>
                <c:ptCount val="4"/>
                <c:pt idx="0">
                  <c:v>0.21047681768988624</c:v>
                </c:pt>
                <c:pt idx="1">
                  <c:v>0.20447629556863769</c:v>
                </c:pt>
                <c:pt idx="2">
                  <c:v>0.2052708025764608</c:v>
                </c:pt>
                <c:pt idx="3">
                  <c:v>0.2759062035511114</c:v>
                </c:pt>
              </c:numCache>
            </c:numRef>
          </c:val>
        </c:ser>
        <c:dLbls>
          <c:showLegendKey val="0"/>
          <c:showVal val="0"/>
          <c:showCatName val="0"/>
          <c:showSerName val="0"/>
          <c:showPercent val="0"/>
          <c:showBubbleSize val="0"/>
        </c:dLbls>
        <c:gapWidth val="150"/>
        <c:axId val="95555584"/>
        <c:axId val="95557120"/>
      </c:barChart>
      <c:catAx>
        <c:axId val="95555584"/>
        <c:scaling>
          <c:orientation val="minMax"/>
        </c:scaling>
        <c:delete val="0"/>
        <c:axPos val="b"/>
        <c:numFmt formatCode="General" sourceLinked="1"/>
        <c:majorTickMark val="out"/>
        <c:minorTickMark val="none"/>
        <c:tickLblPos val="nextTo"/>
        <c:crossAx val="95557120"/>
        <c:crosses val="autoZero"/>
        <c:auto val="1"/>
        <c:lblAlgn val="ctr"/>
        <c:lblOffset val="100"/>
        <c:noMultiLvlLbl val="0"/>
      </c:catAx>
      <c:valAx>
        <c:axId val="95557120"/>
        <c:scaling>
          <c:orientation val="minMax"/>
          <c:max val="1"/>
        </c:scaling>
        <c:delete val="0"/>
        <c:axPos val="l"/>
        <c:majorGridlines/>
        <c:numFmt formatCode="0%" sourceLinked="0"/>
        <c:majorTickMark val="out"/>
        <c:minorTickMark val="none"/>
        <c:tickLblPos val="nextTo"/>
        <c:crossAx val="9555558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Somalia!$A$27</c:f>
              <c:strCache>
                <c:ptCount val="1"/>
                <c:pt idx="0">
                  <c:v>DVA</c:v>
                </c:pt>
              </c:strCache>
            </c:strRef>
          </c:tx>
          <c:invertIfNegative val="0"/>
          <c:cat>
            <c:numRef>
              <c:f>Somalia!$B$26:$E$26</c:f>
              <c:numCache>
                <c:formatCode>General</c:formatCode>
                <c:ptCount val="4"/>
                <c:pt idx="0">
                  <c:v>1996</c:v>
                </c:pt>
                <c:pt idx="1">
                  <c:v>2000</c:v>
                </c:pt>
                <c:pt idx="2">
                  <c:v>2006</c:v>
                </c:pt>
                <c:pt idx="3">
                  <c:v>2011</c:v>
                </c:pt>
              </c:numCache>
            </c:numRef>
          </c:cat>
          <c:val>
            <c:numRef>
              <c:f>Somalia!$B$27:$E$27</c:f>
              <c:numCache>
                <c:formatCode>_-* #,##0_-;\-* #,##0_-;_-* "-"??_-;_-@_-</c:formatCode>
                <c:ptCount val="4"/>
                <c:pt idx="0">
                  <c:v>34877.792057288498</c:v>
                </c:pt>
                <c:pt idx="1">
                  <c:v>37896.691454986103</c:v>
                </c:pt>
                <c:pt idx="2">
                  <c:v>44104.913221231902</c:v>
                </c:pt>
                <c:pt idx="3">
                  <c:v>36992.564199869397</c:v>
                </c:pt>
              </c:numCache>
            </c:numRef>
          </c:val>
        </c:ser>
        <c:ser>
          <c:idx val="1"/>
          <c:order val="1"/>
          <c:tx>
            <c:strRef>
              <c:f>Somalia!$A$28</c:f>
              <c:strCache>
                <c:ptCount val="1"/>
                <c:pt idx="0">
                  <c:v>FVA</c:v>
                </c:pt>
              </c:strCache>
            </c:strRef>
          </c:tx>
          <c:spPr>
            <a:solidFill>
              <a:schemeClr val="accent6"/>
            </a:solidFill>
          </c:spPr>
          <c:invertIfNegative val="0"/>
          <c:cat>
            <c:numRef>
              <c:f>Somalia!$B$26:$E$26</c:f>
              <c:numCache>
                <c:formatCode>General</c:formatCode>
                <c:ptCount val="4"/>
                <c:pt idx="0">
                  <c:v>1996</c:v>
                </c:pt>
                <c:pt idx="1">
                  <c:v>2000</c:v>
                </c:pt>
                <c:pt idx="2">
                  <c:v>2006</c:v>
                </c:pt>
                <c:pt idx="3">
                  <c:v>2011</c:v>
                </c:pt>
              </c:numCache>
            </c:numRef>
          </c:cat>
          <c:val>
            <c:numRef>
              <c:f>Somalia!$B$28:$E$28</c:f>
              <c:numCache>
                <c:formatCode>_-* #,##0_-;\-* #,##0_-;_-* "-"??_-;_-@_-</c:formatCode>
                <c:ptCount val="4"/>
                <c:pt idx="0">
                  <c:v>9297.9748343655901</c:v>
                </c:pt>
                <c:pt idx="1">
                  <c:v>9740.72179101457</c:v>
                </c:pt>
                <c:pt idx="2">
                  <c:v>11391.8690339277</c:v>
                </c:pt>
                <c:pt idx="3">
                  <c:v>14095.5191137688</c:v>
                </c:pt>
              </c:numCache>
            </c:numRef>
          </c:val>
        </c:ser>
        <c:dLbls>
          <c:showLegendKey val="0"/>
          <c:showVal val="0"/>
          <c:showCatName val="0"/>
          <c:showSerName val="0"/>
          <c:showPercent val="0"/>
          <c:showBubbleSize val="0"/>
        </c:dLbls>
        <c:gapWidth val="150"/>
        <c:axId val="95581696"/>
        <c:axId val="95583232"/>
      </c:barChart>
      <c:catAx>
        <c:axId val="95581696"/>
        <c:scaling>
          <c:orientation val="minMax"/>
        </c:scaling>
        <c:delete val="0"/>
        <c:axPos val="b"/>
        <c:numFmt formatCode="General" sourceLinked="1"/>
        <c:majorTickMark val="out"/>
        <c:minorTickMark val="none"/>
        <c:tickLblPos val="nextTo"/>
        <c:crossAx val="95583232"/>
        <c:crosses val="autoZero"/>
        <c:auto val="1"/>
        <c:lblAlgn val="ctr"/>
        <c:lblOffset val="100"/>
        <c:noMultiLvlLbl val="0"/>
      </c:catAx>
      <c:valAx>
        <c:axId val="95583232"/>
        <c:scaling>
          <c:orientation val="minMax"/>
        </c:scaling>
        <c:delete val="0"/>
        <c:axPos val="l"/>
        <c:majorGridlines/>
        <c:numFmt formatCode="_-* #,##0_-;\-* #,##0_-;_-* &quot;-&quot;??_-;_-@_-" sourceLinked="1"/>
        <c:majorTickMark val="out"/>
        <c:minorTickMark val="none"/>
        <c:tickLblPos val="nextTo"/>
        <c:crossAx val="95581696"/>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79.625358581542969</c:v>
                </c:pt>
                <c:pt idx="1">
                  <c:v>76.257484436035156</c:v>
                </c:pt>
                <c:pt idx="2">
                  <c:v>74.887977600097656</c:v>
                </c:pt>
                <c:pt idx="3">
                  <c:v>73.496040344238281</c:v>
                </c:pt>
                <c:pt idx="4">
                  <c:v>73.004196166992188</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2.0398209095001221</c:v>
                </c:pt>
                <c:pt idx="1">
                  <c:v>2.2222096920013428</c:v>
                </c:pt>
                <c:pt idx="2">
                  <c:v>2.1402387619018555</c:v>
                </c:pt>
                <c:pt idx="3">
                  <c:v>2.0065767765045166</c:v>
                </c:pt>
                <c:pt idx="4">
                  <c:v>1.9197762012481689</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18.334812164306641</c:v>
                </c:pt>
                <c:pt idx="1">
                  <c:v>21.520298004150391</c:v>
                </c:pt>
                <c:pt idx="2">
                  <c:v>22.971782684326172</c:v>
                </c:pt>
                <c:pt idx="3">
                  <c:v>24.497379302978516</c:v>
                </c:pt>
                <c:pt idx="4">
                  <c:v>25.076021194458008</c:v>
                </c:pt>
              </c:numCache>
            </c:numRef>
          </c:val>
        </c:ser>
        <c:dLbls>
          <c:showLegendKey val="0"/>
          <c:showVal val="0"/>
          <c:showCatName val="0"/>
          <c:showSerName val="0"/>
          <c:showPercent val="0"/>
          <c:showBubbleSize val="0"/>
        </c:dLbls>
        <c:gapWidth val="150"/>
        <c:overlap val="100"/>
        <c:axId val="50613248"/>
        <c:axId val="50619136"/>
      </c:barChart>
      <c:catAx>
        <c:axId val="50613248"/>
        <c:scaling>
          <c:orientation val="minMax"/>
        </c:scaling>
        <c:delete val="0"/>
        <c:axPos val="b"/>
        <c:numFmt formatCode="0" sourceLinked="1"/>
        <c:majorTickMark val="out"/>
        <c:minorTickMark val="none"/>
        <c:tickLblPos val="nextTo"/>
        <c:crossAx val="50619136"/>
        <c:crosses val="autoZero"/>
        <c:auto val="1"/>
        <c:lblAlgn val="ctr"/>
        <c:lblOffset val="100"/>
        <c:noMultiLvlLbl val="0"/>
      </c:catAx>
      <c:valAx>
        <c:axId val="50619136"/>
        <c:scaling>
          <c:orientation val="minMax"/>
        </c:scaling>
        <c:delete val="1"/>
        <c:axPos val="l"/>
        <c:majorGridlines/>
        <c:numFmt formatCode="0%" sourceLinked="1"/>
        <c:majorTickMark val="out"/>
        <c:minorTickMark val="none"/>
        <c:tickLblPos val="nextTo"/>
        <c:crossAx val="50613248"/>
        <c:crosses val="autoZero"/>
        <c:crossBetween val="between"/>
      </c:valAx>
    </c:plotArea>
    <c:legend>
      <c:legendPos val="r"/>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Somalia!$B$34</c:f>
              <c:strCache>
                <c:ptCount val="1"/>
                <c:pt idx="0">
                  <c:v>1996-2011</c:v>
                </c:pt>
              </c:strCache>
            </c:strRef>
          </c:tx>
          <c:invertIfNegative val="0"/>
          <c:cat>
            <c:strRef>
              <c:f>Somalia!$A$35:$A$49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Somalia!$B$35:$B$49</c:f>
              <c:numCache>
                <c:formatCode>0.0%</c:formatCode>
                <c:ptCount val="15"/>
                <c:pt idx="0">
                  <c:v>2.4322556793626049E-2</c:v>
                </c:pt>
                <c:pt idx="1">
                  <c:v>8.3180895634127339E-3</c:v>
                </c:pt>
                <c:pt idx="2">
                  <c:v>-2.2118392258127062E-2</c:v>
                </c:pt>
                <c:pt idx="3">
                  <c:v>-6.7426302855846387E-3</c:v>
                </c:pt>
                <c:pt idx="4">
                  <c:v>-2.7008026941166552E-4</c:v>
                </c:pt>
                <c:pt idx="5">
                  <c:v>4.5065339804499782E-3</c:v>
                </c:pt>
                <c:pt idx="6">
                  <c:v>-2.7433407585582215E-2</c:v>
                </c:pt>
                <c:pt idx="7">
                  <c:v>-6.1394081741994899E-2</c:v>
                </c:pt>
                <c:pt idx="8">
                  <c:v>-4.4757950110677958E-2</c:v>
                </c:pt>
                <c:pt idx="9">
                  <c:v>4.7872592064763797E-2</c:v>
                </c:pt>
                <c:pt idx="10">
                  <c:v>1.8743790177451203E-2</c:v>
                </c:pt>
                <c:pt idx="11">
                  <c:v>-1.9438608222716813E-2</c:v>
                </c:pt>
                <c:pt idx="12">
                  <c:v>4.2501308623767997E-3</c:v>
                </c:pt>
                <c:pt idx="13">
                  <c:v>-3.262157193306614E-2</c:v>
                </c:pt>
                <c:pt idx="14">
                  <c:v>-1.8033577860742556E-2</c:v>
                </c:pt>
              </c:numCache>
            </c:numRef>
          </c:val>
        </c:ser>
        <c:ser>
          <c:idx val="1"/>
          <c:order val="1"/>
          <c:tx>
            <c:strRef>
              <c:f>Somalia!$C$34</c:f>
              <c:strCache>
                <c:ptCount val="1"/>
                <c:pt idx="0">
                  <c:v>2006-2011</c:v>
                </c:pt>
              </c:strCache>
            </c:strRef>
          </c:tx>
          <c:spPr>
            <a:solidFill>
              <a:schemeClr val="accent6"/>
            </a:solidFill>
          </c:spPr>
          <c:invertIfNegative val="0"/>
          <c:cat>
            <c:strRef>
              <c:f>Somalia!$A$35:$A$49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Somalia!$C$35:$C$49</c:f>
              <c:numCache>
                <c:formatCode>0.0%</c:formatCode>
                <c:ptCount val="15"/>
                <c:pt idx="0">
                  <c:v>2.5502185231984997E-2</c:v>
                </c:pt>
                <c:pt idx="1">
                  <c:v>-6.1756874902945125E-2</c:v>
                </c:pt>
                <c:pt idx="2">
                  <c:v>-5.1489265537144946E-2</c:v>
                </c:pt>
                <c:pt idx="3">
                  <c:v>4.4958834482551335E-2</c:v>
                </c:pt>
                <c:pt idx="4">
                  <c:v>2.4670288934336426E-4</c:v>
                </c:pt>
                <c:pt idx="5">
                  <c:v>-5.3359934726708635E-2</c:v>
                </c:pt>
                <c:pt idx="6">
                  <c:v>-7.6423429690307798E-2</c:v>
                </c:pt>
                <c:pt idx="7">
                  <c:v>-0.10472661860646371</c:v>
                </c:pt>
                <c:pt idx="8">
                  <c:v>-7.1102002625567651E-2</c:v>
                </c:pt>
                <c:pt idx="9">
                  <c:v>-8.8172918671194922E-2</c:v>
                </c:pt>
                <c:pt idx="10">
                  <c:v>-2.7537815969604029E-2</c:v>
                </c:pt>
                <c:pt idx="11">
                  <c:v>-8.4632288719136639E-2</c:v>
                </c:pt>
                <c:pt idx="12">
                  <c:v>-6.3505257790106073E-2</c:v>
                </c:pt>
                <c:pt idx="13">
                  <c:v>-8.3962541040883742E-2</c:v>
                </c:pt>
                <c:pt idx="14">
                  <c:v>-1.983515005480585E-2</c:v>
                </c:pt>
              </c:numCache>
            </c:numRef>
          </c:val>
        </c:ser>
        <c:dLbls>
          <c:showLegendKey val="0"/>
          <c:showVal val="0"/>
          <c:showCatName val="0"/>
          <c:showSerName val="0"/>
          <c:showPercent val="0"/>
          <c:showBubbleSize val="0"/>
        </c:dLbls>
        <c:gapWidth val="150"/>
        <c:axId val="95616384"/>
        <c:axId val="101979264"/>
      </c:barChart>
      <c:catAx>
        <c:axId val="95616384"/>
        <c:scaling>
          <c:orientation val="minMax"/>
        </c:scaling>
        <c:delete val="0"/>
        <c:axPos val="b"/>
        <c:majorTickMark val="out"/>
        <c:minorTickMark val="none"/>
        <c:tickLblPos val="low"/>
        <c:txPr>
          <a:bodyPr rot="-5400000" vert="horz"/>
          <a:lstStyle/>
          <a:p>
            <a:pPr>
              <a:defRPr sz="700"/>
            </a:pPr>
            <a:endParaRPr lang="en-US"/>
          </a:p>
        </c:txPr>
        <c:crossAx val="101979264"/>
        <c:crosses val="autoZero"/>
        <c:auto val="1"/>
        <c:lblAlgn val="ctr"/>
        <c:lblOffset val="100"/>
        <c:noMultiLvlLbl val="0"/>
      </c:catAx>
      <c:valAx>
        <c:axId val="101979264"/>
        <c:scaling>
          <c:orientation val="minMax"/>
        </c:scaling>
        <c:delete val="0"/>
        <c:axPos val="l"/>
        <c:majorGridlines/>
        <c:numFmt formatCode="0%" sourceLinked="0"/>
        <c:majorTickMark val="out"/>
        <c:minorTickMark val="none"/>
        <c:tickLblPos val="nextTo"/>
        <c:crossAx val="9561638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graphs'!$B$94</c:f>
              <c:strCache>
                <c:ptCount val="1"/>
                <c:pt idx="0">
                  <c:v>2000</c:v>
                </c:pt>
              </c:strCache>
            </c:strRef>
          </c:tx>
          <c:invertIfNegative val="0"/>
          <c:cat>
            <c:strRef>
              <c:f>'DVA-FVA graphs'!$A$95:$A$109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graphs'!$B$95:$B$109</c:f>
              <c:numCache>
                <c:formatCode>0.0%</c:formatCode>
                <c:ptCount val="15"/>
                <c:pt idx="0">
                  <c:v>0.83918365127801386</c:v>
                </c:pt>
                <c:pt idx="1">
                  <c:v>0.7042650635787836</c:v>
                </c:pt>
                <c:pt idx="2">
                  <c:v>0.94313784311437032</c:v>
                </c:pt>
                <c:pt idx="3">
                  <c:v>0.83931433448063741</c:v>
                </c:pt>
                <c:pt idx="4">
                  <c:v>0.81498299746842839</c:v>
                </c:pt>
                <c:pt idx="5">
                  <c:v>0.93976888210494502</c:v>
                </c:pt>
                <c:pt idx="6">
                  <c:v>0.7705476294150686</c:v>
                </c:pt>
                <c:pt idx="7">
                  <c:v>0.82663811612847959</c:v>
                </c:pt>
                <c:pt idx="8">
                  <c:v>0.72927744335052802</c:v>
                </c:pt>
                <c:pt idx="9">
                  <c:v>0.75259831548748946</c:v>
                </c:pt>
                <c:pt idx="10">
                  <c:v>0.88024364981271863</c:v>
                </c:pt>
                <c:pt idx="11">
                  <c:v>0.73720980910646239</c:v>
                </c:pt>
                <c:pt idx="12">
                  <c:v>0.88458878907418226</c:v>
                </c:pt>
                <c:pt idx="13">
                  <c:v>0.54920617195154842</c:v>
                </c:pt>
                <c:pt idx="14">
                  <c:v>0.78499993497644771</c:v>
                </c:pt>
              </c:numCache>
            </c:numRef>
          </c:val>
        </c:ser>
        <c:ser>
          <c:idx val="1"/>
          <c:order val="1"/>
          <c:tx>
            <c:strRef>
              <c:f>'DVA-FVA graphs'!$C$94</c:f>
              <c:strCache>
                <c:ptCount val="1"/>
                <c:pt idx="0">
                  <c:v>2011</c:v>
                </c:pt>
              </c:strCache>
            </c:strRef>
          </c:tx>
          <c:spPr>
            <a:solidFill>
              <a:schemeClr val="accent6"/>
            </a:solidFill>
          </c:spPr>
          <c:invertIfNegative val="0"/>
          <c:cat>
            <c:strRef>
              <c:f>'DVA-FVA graphs'!$A$95:$A$109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graphs'!$C$95:$C$109</c:f>
              <c:numCache>
                <c:formatCode>0.0%</c:formatCode>
                <c:ptCount val="15"/>
                <c:pt idx="0">
                  <c:v>0.83789752322372646</c:v>
                </c:pt>
                <c:pt idx="1">
                  <c:v>0.76363338166061301</c:v>
                </c:pt>
                <c:pt idx="2">
                  <c:v>0.93658769879157611</c:v>
                </c:pt>
                <c:pt idx="3">
                  <c:v>0.83788101946647386</c:v>
                </c:pt>
                <c:pt idx="4">
                  <c:v>0.8404957797970406</c:v>
                </c:pt>
                <c:pt idx="5">
                  <c:v>0.94528315280546937</c:v>
                </c:pt>
                <c:pt idx="6">
                  <c:v>0.81019032868653629</c:v>
                </c:pt>
                <c:pt idx="7">
                  <c:v>0.80896081690339849</c:v>
                </c:pt>
                <c:pt idx="8">
                  <c:v>0.76884119359660197</c:v>
                </c:pt>
                <c:pt idx="9">
                  <c:v>0.76736506508985158</c:v>
                </c:pt>
                <c:pt idx="10">
                  <c:v>0.86352219816653764</c:v>
                </c:pt>
                <c:pt idx="11">
                  <c:v>0.77370282564515813</c:v>
                </c:pt>
                <c:pt idx="12">
                  <c:v>0.87109795253191269</c:v>
                </c:pt>
                <c:pt idx="13">
                  <c:v>0.54402410944270796</c:v>
                </c:pt>
                <c:pt idx="14">
                  <c:v>0.80068204811192756</c:v>
                </c:pt>
              </c:numCache>
            </c:numRef>
          </c:val>
        </c:ser>
        <c:dLbls>
          <c:showLegendKey val="0"/>
          <c:showVal val="0"/>
          <c:showCatName val="0"/>
          <c:showSerName val="0"/>
          <c:showPercent val="0"/>
          <c:showBubbleSize val="0"/>
        </c:dLbls>
        <c:gapWidth val="150"/>
        <c:axId val="102012800"/>
        <c:axId val="102014336"/>
      </c:barChart>
      <c:catAx>
        <c:axId val="102012800"/>
        <c:scaling>
          <c:orientation val="minMax"/>
        </c:scaling>
        <c:delete val="0"/>
        <c:axPos val="b"/>
        <c:majorTickMark val="out"/>
        <c:minorTickMark val="none"/>
        <c:tickLblPos val="nextTo"/>
        <c:txPr>
          <a:bodyPr rot="-5400000" vert="horz"/>
          <a:lstStyle/>
          <a:p>
            <a:pPr>
              <a:defRPr sz="700"/>
            </a:pPr>
            <a:endParaRPr lang="en-US"/>
          </a:p>
        </c:txPr>
        <c:crossAx val="102014336"/>
        <c:crosses val="autoZero"/>
        <c:auto val="1"/>
        <c:lblAlgn val="ctr"/>
        <c:lblOffset val="100"/>
        <c:noMultiLvlLbl val="0"/>
      </c:catAx>
      <c:valAx>
        <c:axId val="102014336"/>
        <c:scaling>
          <c:orientation val="minMax"/>
        </c:scaling>
        <c:delete val="0"/>
        <c:axPos val="l"/>
        <c:majorGridlines/>
        <c:numFmt formatCode="0%" sourceLinked="0"/>
        <c:majorTickMark val="out"/>
        <c:minorTickMark val="none"/>
        <c:tickLblPos val="nextTo"/>
        <c:crossAx val="10201280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2"/>
              <c:layout>
                <c:manualLayout>
                  <c:x val="4.0199158737079688E-2"/>
                  <c:y val="7.3062878009813991E-3"/>
                </c:manualLayout>
              </c:layout>
              <c:dLblPos val="bestFit"/>
              <c:showLegendKey val="0"/>
              <c:showVal val="0"/>
              <c:showCatName val="1"/>
              <c:showSerName val="0"/>
              <c:showPercent val="1"/>
              <c:showBubbleSize val="0"/>
            </c:dLbl>
            <c:dLbl>
              <c:idx val="8"/>
              <c:tx>
                <c:rich>
                  <a:bodyPr/>
                  <a:lstStyle/>
                  <a:p>
                    <a:r>
                      <a:rPr lang="en-US"/>
                      <a:t>Other </a:t>
                    </a:r>
                    <a:br>
                      <a:rPr lang="en-US"/>
                    </a:br>
                    <a:r>
                      <a:rPr lang="en-US"/>
                      <a:t>Manufacturing
2%</a:t>
                    </a:r>
                  </a:p>
                </c:rich>
              </c:tx>
              <c:dLblPos val="bestFit"/>
              <c:showLegendKey val="0"/>
              <c:showVal val="0"/>
              <c:showCatName val="1"/>
              <c:showSerName val="0"/>
              <c:showPercent val="1"/>
              <c:showBubbleSize val="0"/>
            </c:dLbl>
            <c:dLbl>
              <c:idx val="9"/>
              <c:layout>
                <c:manualLayout>
                  <c:x val="-2.2232766506792515E-2"/>
                  <c:y val="-0.11730108125071323"/>
                </c:manualLayout>
              </c:layout>
              <c:tx>
                <c:rich>
                  <a:bodyPr/>
                  <a:lstStyle/>
                  <a:p>
                    <a:r>
                      <a:rPr lang="en-US"/>
                      <a:t>Petrol./Chem. </a:t>
                    </a:r>
                    <a:br>
                      <a:rPr lang="en-US"/>
                    </a:br>
                    <a:r>
                      <a:rPr lang="en-US"/>
                      <a:t>&amp; Non-Metal. </a:t>
                    </a:r>
                    <a:br>
                      <a:rPr lang="en-US"/>
                    </a:br>
                    <a:r>
                      <a:rPr lang="en-US"/>
                      <a:t>Min. Prod
10%</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Somalia!$R$4:$R$19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Somalia!$S$4:$S$19</c:f>
              <c:numCache>
                <c:formatCode>0.0%</c:formatCode>
                <c:ptCount val="16"/>
                <c:pt idx="0">
                  <c:v>0.17157402355752679</c:v>
                </c:pt>
                <c:pt idx="1">
                  <c:v>3.7441161427992267E-2</c:v>
                </c:pt>
                <c:pt idx="2">
                  <c:v>3.0428482424028083E-2</c:v>
                </c:pt>
                <c:pt idx="3">
                  <c:v>1.8128260510629924E-2</c:v>
                </c:pt>
                <c:pt idx="4">
                  <c:v>6.8859109447502745E-2</c:v>
                </c:pt>
                <c:pt idx="5">
                  <c:v>3.7853367042694416E-2</c:v>
                </c:pt>
                <c:pt idx="6">
                  <c:v>3.5064860828588847E-2</c:v>
                </c:pt>
                <c:pt idx="7">
                  <c:v>9.9928728276219604E-3</c:v>
                </c:pt>
                <c:pt idx="8">
                  <c:v>2.2267583144379943E-2</c:v>
                </c:pt>
                <c:pt idx="9">
                  <c:v>0.10277275592142132</c:v>
                </c:pt>
                <c:pt idx="10">
                  <c:v>3.9147100076635015E-2</c:v>
                </c:pt>
                <c:pt idx="11">
                  <c:v>3.6202468293066274E-2</c:v>
                </c:pt>
                <c:pt idx="12">
                  <c:v>6.2171487282555817E-2</c:v>
                </c:pt>
                <c:pt idx="13">
                  <c:v>2.2569500033132763E-2</c:v>
                </c:pt>
                <c:pt idx="14">
                  <c:v>2.254306403610553E-2</c:v>
                </c:pt>
                <c:pt idx="15">
                  <c:v>0.28298390314611832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
              <c:layout>
                <c:manualLayout>
                  <c:x val="7.4122722648268316E-2"/>
                  <c:y val="-3.9122945908935294E-2"/>
                </c:manualLayout>
              </c:layout>
              <c:dLblPos val="bestFit"/>
              <c:showLegendKey val="0"/>
              <c:showVal val="0"/>
              <c:showCatName val="1"/>
              <c:showSerName val="0"/>
              <c:showPercent val="1"/>
              <c:showBubbleSize val="0"/>
            </c:dLbl>
            <c:dLbl>
              <c:idx val="4"/>
              <c:layout>
                <c:manualLayout>
                  <c:x val="-7.382488223174058E-2"/>
                  <c:y val="-0.12978289398607784"/>
                </c:manualLayout>
              </c:layout>
              <c:tx>
                <c:rich>
                  <a:bodyPr/>
                  <a:lstStyle/>
                  <a:p>
                    <a:r>
                      <a:rPr lang="en-US"/>
                      <a:t>Food &amp; </a:t>
                    </a:r>
                    <a:br>
                      <a:rPr lang="en-US"/>
                    </a:br>
                    <a:r>
                      <a:rPr lang="en-US"/>
                      <a:t>Beverages
6%</a:t>
                    </a:r>
                  </a:p>
                </c:rich>
              </c:tx>
              <c:dLblPos val="bestFit"/>
              <c:showLegendKey val="0"/>
              <c:showVal val="0"/>
              <c:showCatName val="1"/>
              <c:showSerName val="0"/>
              <c:showPercent val="1"/>
              <c:showBubbleSize val="0"/>
            </c:dLbl>
            <c:dLbl>
              <c:idx val="6"/>
              <c:layout>
                <c:manualLayout>
                  <c:x val="7.6579398462814294E-2"/>
                  <c:y val="7.9289341549697596E-3"/>
                </c:manualLayout>
              </c:layout>
              <c:dLblPos val="bestFit"/>
              <c:showLegendKey val="0"/>
              <c:showVal val="0"/>
              <c:showCatName val="1"/>
              <c:showSerName val="0"/>
              <c:showPercent val="1"/>
              <c:showBubbleSize val="0"/>
            </c:dLbl>
            <c:dLbl>
              <c:idx val="7"/>
              <c:layout>
                <c:manualLayout>
                  <c:x val="-2.8422332794719878E-2"/>
                  <c:y val="0"/>
                </c:manualLayout>
              </c:layout>
              <c:tx>
                <c:rich>
                  <a:bodyPr/>
                  <a:lstStyle/>
                  <a:p>
                    <a:r>
                      <a:rPr lang="en-US"/>
                      <a:t>Mining &amp;</a:t>
                    </a:r>
                    <a:br>
                      <a:rPr lang="en-US"/>
                    </a:br>
                    <a:r>
                      <a:rPr lang="en-US"/>
                      <a:t> Quarrying
0%</a:t>
                    </a:r>
                  </a:p>
                </c:rich>
              </c:tx>
              <c:dLblPos val="bestFit"/>
              <c:showLegendKey val="0"/>
              <c:showVal val="0"/>
              <c:showCatName val="1"/>
              <c:showSerName val="0"/>
              <c:showPercent val="1"/>
              <c:showBubbleSize val="0"/>
            </c:dLbl>
            <c:dLbl>
              <c:idx val="8"/>
              <c:layout>
                <c:manualLayout>
                  <c:x val="-0.27267947369770962"/>
                  <c:y val="-3.2801266689489898E-2"/>
                </c:manualLayout>
              </c:layout>
              <c:dLblPos val="bestFit"/>
              <c:showLegendKey val="0"/>
              <c:showVal val="0"/>
              <c:showCatName val="1"/>
              <c:showSerName val="0"/>
              <c:showPercent val="1"/>
              <c:showBubbleSize val="0"/>
            </c:dLbl>
            <c:dLbl>
              <c:idx val="9"/>
              <c:layout>
                <c:manualLayout>
                  <c:x val="5.9428300289825334E-2"/>
                  <c:y val="-0.11277209574346685"/>
                </c:manualLayout>
              </c:layout>
              <c:tx>
                <c:rich>
                  <a:bodyPr/>
                  <a:lstStyle/>
                  <a:p>
                    <a:r>
                      <a:rPr lang="en-US"/>
                      <a:t>Petrol./Chem. </a:t>
                    </a:r>
                    <a:br>
                      <a:rPr lang="en-US"/>
                    </a:br>
                    <a:r>
                      <a:rPr lang="en-US"/>
                      <a:t>&amp; Non-Metal. </a:t>
                    </a:r>
                    <a:br>
                      <a:rPr lang="en-US"/>
                    </a:br>
                    <a:r>
                      <a:rPr lang="en-US"/>
                      <a:t>Min. Prod
7%</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Somalia!$V$4:$V$19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Somalia!$W$4:$W$19</c:f>
              <c:numCache>
                <c:formatCode>0.0%</c:formatCode>
                <c:ptCount val="16"/>
                <c:pt idx="0">
                  <c:v>0.2990611088918555</c:v>
                </c:pt>
                <c:pt idx="1">
                  <c:v>2.7905566874443424E-2</c:v>
                </c:pt>
                <c:pt idx="2">
                  <c:v>1.5192321277260149E-2</c:v>
                </c:pt>
                <c:pt idx="3">
                  <c:v>2.800656798130708E-2</c:v>
                </c:pt>
                <c:pt idx="4">
                  <c:v>6.4926396488746846E-2</c:v>
                </c:pt>
                <c:pt idx="5">
                  <c:v>4.0060330302109017E-2</c:v>
                </c:pt>
                <c:pt idx="6">
                  <c:v>1.3700693626937575E-2</c:v>
                </c:pt>
                <c:pt idx="7">
                  <c:v>2.1801535861367396E-3</c:v>
                </c:pt>
                <c:pt idx="8">
                  <c:v>1.0641167644468498E-2</c:v>
                </c:pt>
                <c:pt idx="9">
                  <c:v>7.4757073864180262E-2</c:v>
                </c:pt>
                <c:pt idx="10">
                  <c:v>5.854448002527906E-2</c:v>
                </c:pt>
                <c:pt idx="11">
                  <c:v>1.9758776913682861E-2</c:v>
                </c:pt>
                <c:pt idx="12">
                  <c:v>6.0243852103799032E-2</c:v>
                </c:pt>
                <c:pt idx="13">
                  <c:v>1.2930962697198425E-2</c:v>
                </c:pt>
                <c:pt idx="14">
                  <c:v>1.5186011832319097E-2</c:v>
                </c:pt>
                <c:pt idx="15">
                  <c:v>0.25690453589027651</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Somalia!$S$22</c:f>
              <c:strCache>
                <c:ptCount val="1"/>
                <c:pt idx="0">
                  <c:v>1996-2011</c:v>
                </c:pt>
              </c:strCache>
            </c:strRef>
          </c:tx>
          <c:invertIfNegative val="0"/>
          <c:cat>
            <c:strRef>
              <c:f>Somalia!$R$23:$R$37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Somalia!$S$23:$S$37</c:f>
              <c:numCache>
                <c:formatCode>0.0%</c:formatCode>
                <c:ptCount val="15"/>
                <c:pt idx="0">
                  <c:v>2.5938079699332484E-3</c:v>
                </c:pt>
                <c:pt idx="1">
                  <c:v>3.7160862285438911E-2</c:v>
                </c:pt>
                <c:pt idx="2">
                  <c:v>2.1499953825590001E-3</c:v>
                </c:pt>
                <c:pt idx="3">
                  <c:v>-4.0208818917093492E-3</c:v>
                </c:pt>
                <c:pt idx="4">
                  <c:v>-1.0869435048007636E-2</c:v>
                </c:pt>
                <c:pt idx="5">
                  <c:v>3.3345984422707309E-2</c:v>
                </c:pt>
                <c:pt idx="6">
                  <c:v>1.7768267947398941E-2</c:v>
                </c:pt>
                <c:pt idx="7">
                  <c:v>9.7162434728113034E-3</c:v>
                </c:pt>
                <c:pt idx="8">
                  <c:v>6.5826869893297335E-3</c:v>
                </c:pt>
                <c:pt idx="9">
                  <c:v>8.4877742125926803E-2</c:v>
                </c:pt>
                <c:pt idx="10">
                  <c:v>3.483995024632125E-2</c:v>
                </c:pt>
                <c:pt idx="11">
                  <c:v>3.8120160373230849E-2</c:v>
                </c:pt>
                <c:pt idx="12">
                  <c:v>3.2347481401646894E-2</c:v>
                </c:pt>
                <c:pt idx="13">
                  <c:v>4.5021229943063013E-3</c:v>
                </c:pt>
                <c:pt idx="14">
                  <c:v>-2.1580380923631459E-3</c:v>
                </c:pt>
              </c:numCache>
            </c:numRef>
          </c:val>
        </c:ser>
        <c:ser>
          <c:idx val="1"/>
          <c:order val="1"/>
          <c:tx>
            <c:strRef>
              <c:f>Somalia!$T$22</c:f>
              <c:strCache>
                <c:ptCount val="1"/>
                <c:pt idx="0">
                  <c:v>2006-2011</c:v>
                </c:pt>
              </c:strCache>
            </c:strRef>
          </c:tx>
          <c:spPr>
            <a:solidFill>
              <a:schemeClr val="accent6"/>
            </a:solidFill>
          </c:spPr>
          <c:invertIfNegative val="0"/>
          <c:cat>
            <c:strRef>
              <c:f>Somalia!$R$23:$R$37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Somalia!$T$23:$T$37</c:f>
              <c:numCache>
                <c:formatCode>0.0%</c:formatCode>
                <c:ptCount val="15"/>
                <c:pt idx="0">
                  <c:v>-2.3132964998274774E-3</c:v>
                </c:pt>
                <c:pt idx="1">
                  <c:v>4.7621255119703498E-2</c:v>
                </c:pt>
                <c:pt idx="2">
                  <c:v>6.364658237353793E-2</c:v>
                </c:pt>
                <c:pt idx="3">
                  <c:v>1.9559055358281174E-2</c:v>
                </c:pt>
                <c:pt idx="4">
                  <c:v>-1.200500494282053E-2</c:v>
                </c:pt>
                <c:pt idx="5">
                  <c:v>3.7534548929797129E-2</c:v>
                </c:pt>
                <c:pt idx="6">
                  <c:v>6.5379444731049619E-2</c:v>
                </c:pt>
                <c:pt idx="7">
                  <c:v>8.9207795928338163E-2</c:v>
                </c:pt>
                <c:pt idx="8">
                  <c:v>7.2297187425311105E-2</c:v>
                </c:pt>
                <c:pt idx="9">
                  <c:v>3.3732604347790573E-2</c:v>
                </c:pt>
                <c:pt idx="10">
                  <c:v>5.3521596317054776E-2</c:v>
                </c:pt>
                <c:pt idx="11">
                  <c:v>6.0133834524825236E-2</c:v>
                </c:pt>
                <c:pt idx="12">
                  <c:v>4.3088601403557192E-2</c:v>
                </c:pt>
                <c:pt idx="13">
                  <c:v>3.5644682115773207E-2</c:v>
                </c:pt>
                <c:pt idx="14">
                  <c:v>4.7641461718546774E-2</c:v>
                </c:pt>
              </c:numCache>
            </c:numRef>
          </c:val>
        </c:ser>
        <c:dLbls>
          <c:showLegendKey val="0"/>
          <c:showVal val="0"/>
          <c:showCatName val="0"/>
          <c:showSerName val="0"/>
          <c:showPercent val="0"/>
          <c:showBubbleSize val="0"/>
        </c:dLbls>
        <c:gapWidth val="150"/>
        <c:axId val="103110528"/>
        <c:axId val="103112064"/>
      </c:barChart>
      <c:catAx>
        <c:axId val="103110528"/>
        <c:scaling>
          <c:orientation val="minMax"/>
        </c:scaling>
        <c:delete val="0"/>
        <c:axPos val="b"/>
        <c:majorTickMark val="out"/>
        <c:minorTickMark val="none"/>
        <c:tickLblPos val="low"/>
        <c:txPr>
          <a:bodyPr rot="-5400000" vert="horz"/>
          <a:lstStyle/>
          <a:p>
            <a:pPr>
              <a:defRPr sz="700"/>
            </a:pPr>
            <a:endParaRPr lang="en-US"/>
          </a:p>
        </c:txPr>
        <c:crossAx val="103112064"/>
        <c:crosses val="autoZero"/>
        <c:auto val="1"/>
        <c:lblAlgn val="ctr"/>
        <c:lblOffset val="100"/>
        <c:noMultiLvlLbl val="0"/>
      </c:catAx>
      <c:valAx>
        <c:axId val="103112064"/>
        <c:scaling>
          <c:orientation val="minMax"/>
        </c:scaling>
        <c:delete val="0"/>
        <c:axPos val="l"/>
        <c:majorGridlines/>
        <c:numFmt formatCode="0%" sourceLinked="0"/>
        <c:majorTickMark val="out"/>
        <c:minorTickMark val="none"/>
        <c:tickLblPos val="nextTo"/>
        <c:crossAx val="103110528"/>
        <c:crosses val="autoZero"/>
        <c:crossBetween val="between"/>
      </c:valAx>
    </c:plotArea>
    <c:legend>
      <c:legendPos val="r"/>
      <c:overlay val="0"/>
    </c:legend>
    <c:plotVisOnly val="1"/>
    <c:dispBlanksAs val="gap"/>
    <c:showDLblsOverMax val="0"/>
  </c:chart>
  <c:spPr>
    <a:ln>
      <a:noFill/>
    </a:ln>
  </c:spPr>
  <c:txPr>
    <a:bodyPr/>
    <a:lstStyle/>
    <a:p>
      <a:pPr>
        <a:defRPr sz="800" baseline="0">
          <a:latin typeface="+mj-lt"/>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0.16081634872198605</c:v>
                </c:pt>
                <c:pt idx="1">
                  <c:v>0.29573493642121645</c:v>
                </c:pt>
                <c:pt idx="2">
                  <c:v>5.6862156885629636E-2</c:v>
                </c:pt>
                <c:pt idx="3">
                  <c:v>0.16068566551936261</c:v>
                </c:pt>
                <c:pt idx="4">
                  <c:v>0.18501700253157155</c:v>
                </c:pt>
                <c:pt idx="5">
                  <c:v>6.023111789505492E-2</c:v>
                </c:pt>
                <c:pt idx="6">
                  <c:v>0.22945237058493137</c:v>
                </c:pt>
                <c:pt idx="7">
                  <c:v>0.17336188387152032</c:v>
                </c:pt>
                <c:pt idx="8">
                  <c:v>0.27072255664947209</c:v>
                </c:pt>
                <c:pt idx="9">
                  <c:v>0.2474016845125106</c:v>
                </c:pt>
                <c:pt idx="10">
                  <c:v>0.11975635018728142</c:v>
                </c:pt>
                <c:pt idx="11">
                  <c:v>0.26279019089353761</c:v>
                </c:pt>
                <c:pt idx="12">
                  <c:v>0.1154112109258178</c:v>
                </c:pt>
                <c:pt idx="13">
                  <c:v>0.45079382804845164</c:v>
                </c:pt>
                <c:pt idx="14">
                  <c:v>0.21500006502355243</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0.16210247677627351</c:v>
                </c:pt>
                <c:pt idx="1">
                  <c:v>0.23636661833938707</c:v>
                </c:pt>
                <c:pt idx="2">
                  <c:v>6.3412301208423977E-2</c:v>
                </c:pt>
                <c:pt idx="3">
                  <c:v>0.16211898053352622</c:v>
                </c:pt>
                <c:pt idx="4">
                  <c:v>0.15950422020295932</c:v>
                </c:pt>
                <c:pt idx="5">
                  <c:v>5.4716847194530682E-2</c:v>
                </c:pt>
                <c:pt idx="6">
                  <c:v>0.1898096713134638</c:v>
                </c:pt>
                <c:pt idx="7">
                  <c:v>0.19103918309660156</c:v>
                </c:pt>
                <c:pt idx="8">
                  <c:v>0.23115880640339806</c:v>
                </c:pt>
                <c:pt idx="9">
                  <c:v>0.23263493491014844</c:v>
                </c:pt>
                <c:pt idx="10">
                  <c:v>0.13647780183346231</c:v>
                </c:pt>
                <c:pt idx="11">
                  <c:v>0.22629717435484181</c:v>
                </c:pt>
                <c:pt idx="12">
                  <c:v>0.12890204746808734</c:v>
                </c:pt>
                <c:pt idx="13">
                  <c:v>0.45597589055729204</c:v>
                </c:pt>
                <c:pt idx="14">
                  <c:v>0.19931795188807247</c:v>
                </c:pt>
              </c:numCache>
            </c:numRef>
          </c:val>
        </c:ser>
        <c:dLbls>
          <c:showLegendKey val="0"/>
          <c:showVal val="0"/>
          <c:showCatName val="0"/>
          <c:showSerName val="0"/>
          <c:showPercent val="0"/>
          <c:showBubbleSize val="0"/>
        </c:dLbls>
        <c:gapWidth val="150"/>
        <c:axId val="103141760"/>
        <c:axId val="103143296"/>
      </c:barChart>
      <c:catAx>
        <c:axId val="103141760"/>
        <c:scaling>
          <c:orientation val="minMax"/>
        </c:scaling>
        <c:delete val="0"/>
        <c:axPos val="b"/>
        <c:majorTickMark val="out"/>
        <c:minorTickMark val="none"/>
        <c:tickLblPos val="nextTo"/>
        <c:txPr>
          <a:bodyPr rot="-5400000" vert="horz"/>
          <a:lstStyle/>
          <a:p>
            <a:pPr>
              <a:defRPr sz="700"/>
            </a:pPr>
            <a:endParaRPr lang="en-US"/>
          </a:p>
        </c:txPr>
        <c:crossAx val="103143296"/>
        <c:crosses val="autoZero"/>
        <c:auto val="1"/>
        <c:lblAlgn val="ctr"/>
        <c:lblOffset val="100"/>
        <c:noMultiLvlLbl val="0"/>
      </c:catAx>
      <c:valAx>
        <c:axId val="103143296"/>
        <c:scaling>
          <c:orientation val="minMax"/>
        </c:scaling>
        <c:delete val="0"/>
        <c:axPos val="l"/>
        <c:majorGridlines/>
        <c:numFmt formatCode="0%" sourceLinked="0"/>
        <c:majorTickMark val="out"/>
        <c:minorTickMark val="none"/>
        <c:tickLblPos val="nextTo"/>
        <c:crossAx val="10314176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0"/>
              <c:layout>
                <c:manualLayout>
                  <c:x val="-7.358229244145785E-2"/>
                  <c:y val="-1.4495249914412872E-2"/>
                </c:manualLayout>
              </c:layout>
              <c:dLblPos val="bestFit"/>
              <c:showLegendKey val="0"/>
              <c:showVal val="0"/>
              <c:showCatName val="1"/>
              <c:showSerName val="0"/>
              <c:showPercent val="1"/>
              <c:showBubbleSize val="0"/>
            </c:dLbl>
            <c:dLbl>
              <c:idx val="9"/>
              <c:layout>
                <c:manualLayout>
                  <c:x val="-0.1167763129771645"/>
                  <c:y val="-6.8839866484080706E-2"/>
                </c:manualLayout>
              </c:layout>
              <c:tx>
                <c:rich>
                  <a:bodyPr/>
                  <a:lstStyle/>
                  <a:p>
                    <a:r>
                      <a:rPr lang="en-US"/>
                      <a:t>Petrol./Chem. </a:t>
                    </a:r>
                    <a:br>
                      <a:rPr lang="en-US"/>
                    </a:br>
                    <a:r>
                      <a:rPr lang="en-US"/>
                      <a:t>&amp; Non-Metal. </a:t>
                    </a:r>
                    <a:br>
                      <a:rPr lang="en-US"/>
                    </a:br>
                    <a:r>
                      <a:rPr lang="en-US"/>
                      <a:t>Min. Prod
8%</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Somalia!$R$64:$R$79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Somalia!$S$64:$S$79</c:f>
              <c:numCache>
                <c:formatCode>0.0%</c:formatCode>
                <c:ptCount val="16"/>
                <c:pt idx="0">
                  <c:v>5.2773468403926521E-2</c:v>
                </c:pt>
                <c:pt idx="1">
                  <c:v>3.1264380342160364E-2</c:v>
                </c:pt>
                <c:pt idx="2">
                  <c:v>1.1379717342067264E-2</c:v>
                </c:pt>
                <c:pt idx="3">
                  <c:v>4.0973767640662205E-2</c:v>
                </c:pt>
                <c:pt idx="4">
                  <c:v>5.5260250049943435E-2</c:v>
                </c:pt>
                <c:pt idx="5">
                  <c:v>2.105757504414266E-2</c:v>
                </c:pt>
                <c:pt idx="6">
                  <c:v>3.3033115434147678E-2</c:v>
                </c:pt>
                <c:pt idx="7">
                  <c:v>1.0519799471369762E-2</c:v>
                </c:pt>
                <c:pt idx="8">
                  <c:v>2.614233755055638E-2</c:v>
                </c:pt>
                <c:pt idx="9">
                  <c:v>8.4534387705826566E-2</c:v>
                </c:pt>
                <c:pt idx="10">
                  <c:v>1.5634523461157766E-2</c:v>
                </c:pt>
                <c:pt idx="11">
                  <c:v>4.3060055230614236E-2</c:v>
                </c:pt>
                <c:pt idx="12">
                  <c:v>2.552301433316587E-2</c:v>
                </c:pt>
                <c:pt idx="13">
                  <c:v>2.4463940801845815E-2</c:v>
                </c:pt>
                <c:pt idx="14">
                  <c:v>1.9116746800981851E-2</c:v>
                </c:pt>
                <c:pt idx="15">
                  <c:v>0.50526292038743148</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4"/>
              <c:layout>
                <c:manualLayout>
                  <c:x val="0.13847801037065488"/>
                  <c:y val="-0.13793185838183269"/>
                </c:manualLayout>
              </c:layout>
              <c:dLblPos val="bestFit"/>
              <c:showLegendKey val="0"/>
              <c:showVal val="0"/>
              <c:showCatName val="1"/>
              <c:showSerName val="0"/>
              <c:showPercent val="1"/>
              <c:showBubbleSize val="0"/>
            </c:dLbl>
            <c:dLbl>
              <c:idx val="9"/>
              <c:layout>
                <c:manualLayout>
                  <c:x val="-0.11143354031965516"/>
                  <c:y val="1.6714096199931531E-2"/>
                </c:manualLayout>
              </c:layout>
              <c:tx>
                <c:rich>
                  <a:bodyPr/>
                  <a:lstStyle/>
                  <a:p>
                    <a:r>
                      <a:rPr lang="en-US"/>
                      <a:t>Petrol./Chem. </a:t>
                    </a:r>
                    <a:br>
                      <a:rPr lang="en-US"/>
                    </a:br>
                    <a:r>
                      <a:rPr lang="en-US"/>
                      <a:t>&amp; Non-Metal. </a:t>
                    </a:r>
                    <a:br>
                      <a:rPr lang="en-US"/>
                    </a:br>
                    <a:r>
                      <a:rPr lang="en-US"/>
                      <a:t>Min. Prod
9%</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Somalia!$V$64:$V$79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Somalia!$W$64:$W$79</c:f>
              <c:numCache>
                <c:formatCode>0.0%</c:formatCode>
                <c:ptCount val="16"/>
                <c:pt idx="0">
                  <c:v>2.619976901490088E-2</c:v>
                </c:pt>
                <c:pt idx="1">
                  <c:v>2.6984626716960725E-2</c:v>
                </c:pt>
                <c:pt idx="2">
                  <c:v>6.6496292729281252E-3</c:v>
                </c:pt>
                <c:pt idx="3">
                  <c:v>3.0734908001345249E-2</c:v>
                </c:pt>
                <c:pt idx="4">
                  <c:v>3.0209658859935963E-2</c:v>
                </c:pt>
                <c:pt idx="5">
                  <c:v>2.4820084278459557E-2</c:v>
                </c:pt>
                <c:pt idx="6">
                  <c:v>2.103590293451835E-2</c:v>
                </c:pt>
                <c:pt idx="7">
                  <c:v>9.1457759426843421E-3</c:v>
                </c:pt>
                <c:pt idx="8">
                  <c:v>2.2595808338869965E-2</c:v>
                </c:pt>
                <c:pt idx="9">
                  <c:v>8.6008235463908109E-2</c:v>
                </c:pt>
                <c:pt idx="10">
                  <c:v>1.9764140435471679E-2</c:v>
                </c:pt>
                <c:pt idx="11">
                  <c:v>4.674422310779168E-2</c:v>
                </c:pt>
                <c:pt idx="12">
                  <c:v>3.6279426878582925E-2</c:v>
                </c:pt>
                <c:pt idx="13">
                  <c:v>1.9170184986447035E-2</c:v>
                </c:pt>
                <c:pt idx="14">
                  <c:v>1.2525833236225367E-2</c:v>
                </c:pt>
                <c:pt idx="15">
                  <c:v>0.58113179253097003</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0.68399725134349398</c:v>
                </c:pt>
                <c:pt idx="1">
                  <c:v>0.67773190593714228</c:v>
                </c:pt>
                <c:pt idx="2">
                  <c:v>0.67604610898434736</c:v>
                </c:pt>
                <c:pt idx="3">
                  <c:v>0.67526323039681846</c:v>
                </c:pt>
                <c:pt idx="4">
                  <c:v>0.67594864253873288</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0.31600281913487799</c:v>
                </c:pt>
                <c:pt idx="1">
                  <c:v>0.32226822378683756</c:v>
                </c:pt>
                <c:pt idx="2">
                  <c:v>0.32395371782119059</c:v>
                </c:pt>
                <c:pt idx="3">
                  <c:v>0.32473651355493793</c:v>
                </c:pt>
                <c:pt idx="4">
                  <c:v>0.32405121291722633</c:v>
                </c:pt>
              </c:numCache>
            </c:numRef>
          </c:val>
        </c:ser>
        <c:dLbls>
          <c:showLegendKey val="0"/>
          <c:showVal val="0"/>
          <c:showCatName val="0"/>
          <c:showSerName val="0"/>
          <c:showPercent val="0"/>
          <c:showBubbleSize val="0"/>
        </c:dLbls>
        <c:gapWidth val="150"/>
        <c:axId val="87688704"/>
        <c:axId val="87690240"/>
      </c:barChart>
      <c:catAx>
        <c:axId val="87688704"/>
        <c:scaling>
          <c:orientation val="minMax"/>
        </c:scaling>
        <c:delete val="0"/>
        <c:axPos val="b"/>
        <c:numFmt formatCode="General" sourceLinked="1"/>
        <c:majorTickMark val="out"/>
        <c:minorTickMark val="none"/>
        <c:tickLblPos val="nextTo"/>
        <c:crossAx val="87690240"/>
        <c:crosses val="autoZero"/>
        <c:auto val="1"/>
        <c:lblAlgn val="ctr"/>
        <c:lblOffset val="100"/>
        <c:noMultiLvlLbl val="0"/>
      </c:catAx>
      <c:valAx>
        <c:axId val="87690240"/>
        <c:scaling>
          <c:orientation val="minMax"/>
          <c:max val="1"/>
        </c:scaling>
        <c:delete val="0"/>
        <c:axPos val="l"/>
        <c:majorGridlines/>
        <c:numFmt formatCode="0%" sourceLinked="1"/>
        <c:majorTickMark val="out"/>
        <c:minorTickMark val="none"/>
        <c:tickLblPos val="nextTo"/>
        <c:crossAx val="8768870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0.8380614257251312</c:v>
                </c:pt>
                <c:pt idx="1">
                  <c:v>0.83526622632864556</c:v>
                </c:pt>
                <c:pt idx="2">
                  <c:v>0.83708729964023243</c:v>
                </c:pt>
                <c:pt idx="3">
                  <c:v>0.83903177159263342</c:v>
                </c:pt>
                <c:pt idx="4">
                  <c:v>0.84046690185247153</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0.16193857427486888</c:v>
                </c:pt>
                <c:pt idx="1">
                  <c:v>0.16473377367135436</c:v>
                </c:pt>
                <c:pt idx="2">
                  <c:v>0.16291280194598556</c:v>
                </c:pt>
                <c:pt idx="3">
                  <c:v>0.16096813543185268</c:v>
                </c:pt>
                <c:pt idx="4">
                  <c:v>0.15953354915584772</c:v>
                </c:pt>
              </c:numCache>
            </c:numRef>
          </c:val>
        </c:ser>
        <c:dLbls>
          <c:showLegendKey val="0"/>
          <c:showVal val="0"/>
          <c:showCatName val="0"/>
          <c:showSerName val="0"/>
          <c:showPercent val="0"/>
          <c:showBubbleSize val="0"/>
        </c:dLbls>
        <c:gapWidth val="150"/>
        <c:axId val="87702912"/>
        <c:axId val="87725184"/>
      </c:barChart>
      <c:catAx>
        <c:axId val="87702912"/>
        <c:scaling>
          <c:orientation val="minMax"/>
        </c:scaling>
        <c:delete val="0"/>
        <c:axPos val="b"/>
        <c:numFmt formatCode="General" sourceLinked="1"/>
        <c:majorTickMark val="out"/>
        <c:minorTickMark val="none"/>
        <c:tickLblPos val="nextTo"/>
        <c:crossAx val="87725184"/>
        <c:crosses val="autoZero"/>
        <c:auto val="1"/>
        <c:lblAlgn val="ctr"/>
        <c:lblOffset val="100"/>
        <c:noMultiLvlLbl val="0"/>
      </c:catAx>
      <c:valAx>
        <c:axId val="87725184"/>
        <c:scaling>
          <c:orientation val="minMax"/>
          <c:max val="1"/>
        </c:scaling>
        <c:delete val="1"/>
        <c:axPos val="l"/>
        <c:majorGridlines/>
        <c:numFmt formatCode="0%" sourceLinked="1"/>
        <c:majorTickMark val="out"/>
        <c:minorTickMark val="none"/>
        <c:tickLblPos val="nextTo"/>
        <c:crossAx val="8770291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0.65048211394829691</c:v>
                </c:pt>
                <c:pt idx="1">
                  <c:v>0.63155095488595159</c:v>
                </c:pt>
                <c:pt idx="2">
                  <c:v>0.61563170886276641</c:v>
                </c:pt>
                <c:pt idx="3">
                  <c:v>0.59968583351183702</c:v>
                </c:pt>
                <c:pt idx="4">
                  <c:v>0.59346267966993127</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0.34951788605170314</c:v>
                </c:pt>
                <c:pt idx="1">
                  <c:v>0.36844904511404841</c:v>
                </c:pt>
                <c:pt idx="2">
                  <c:v>0.38436829113723359</c:v>
                </c:pt>
                <c:pt idx="3">
                  <c:v>0.40031416648816298</c:v>
                </c:pt>
                <c:pt idx="4">
                  <c:v>0.40653749630669067</c:v>
                </c:pt>
              </c:numCache>
            </c:numRef>
          </c:val>
        </c:ser>
        <c:dLbls>
          <c:showLegendKey val="0"/>
          <c:showVal val="0"/>
          <c:showCatName val="0"/>
          <c:showSerName val="0"/>
          <c:showPercent val="0"/>
          <c:showBubbleSize val="0"/>
        </c:dLbls>
        <c:gapWidth val="150"/>
        <c:axId val="87746432"/>
        <c:axId val="87747968"/>
      </c:barChart>
      <c:catAx>
        <c:axId val="87746432"/>
        <c:scaling>
          <c:orientation val="minMax"/>
        </c:scaling>
        <c:delete val="0"/>
        <c:axPos val="b"/>
        <c:numFmt formatCode="General" sourceLinked="1"/>
        <c:majorTickMark val="out"/>
        <c:minorTickMark val="none"/>
        <c:tickLblPos val="nextTo"/>
        <c:crossAx val="87747968"/>
        <c:crosses val="autoZero"/>
        <c:auto val="1"/>
        <c:lblAlgn val="ctr"/>
        <c:lblOffset val="100"/>
        <c:noMultiLvlLbl val="0"/>
      </c:catAx>
      <c:valAx>
        <c:axId val="87747968"/>
        <c:scaling>
          <c:orientation val="minMax"/>
          <c:max val="1"/>
        </c:scaling>
        <c:delete val="1"/>
        <c:axPos val="l"/>
        <c:majorGridlines/>
        <c:numFmt formatCode="0%" sourceLinked="1"/>
        <c:majorTickMark val="out"/>
        <c:minorTickMark val="none"/>
        <c:tickLblPos val="nextTo"/>
        <c:crossAx val="8774643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graphs'!$B$4:$B$12</c:f>
              <c:numCache>
                <c:formatCode>_-* #,##0_-;\-* #,##0_-;_-* "-"??_-;_-@_-</c:formatCode>
                <c:ptCount val="9"/>
                <c:pt idx="0">
                  <c:v>223262</c:v>
                </c:pt>
                <c:pt idx="1">
                  <c:v>158652</c:v>
                </c:pt>
                <c:pt idx="2">
                  <c:v>224102</c:v>
                </c:pt>
                <c:pt idx="3">
                  <c:v>199807</c:v>
                </c:pt>
                <c:pt idx="4">
                  <c:v>174884</c:v>
                </c:pt>
                <c:pt idx="5">
                  <c:v>280998</c:v>
                </c:pt>
                <c:pt idx="6">
                  <c:v>381343</c:v>
                </c:pt>
                <c:pt idx="7">
                  <c:v>399069</c:v>
                </c:pt>
                <c:pt idx="8">
                  <c:v>536939</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graphs'!$C$4:$C$12</c:f>
              <c:numCache>
                <c:formatCode>_-* #,##0_-;\-* #,##0_-;_-* "-"??_-;_-@_-</c:formatCode>
                <c:ptCount val="9"/>
                <c:pt idx="0">
                  <c:v>557319</c:v>
                </c:pt>
                <c:pt idx="1">
                  <c:v>472399</c:v>
                </c:pt>
                <c:pt idx="2">
                  <c:v>825224</c:v>
                </c:pt>
                <c:pt idx="3">
                  <c:v>928300</c:v>
                </c:pt>
                <c:pt idx="4">
                  <c:v>796616</c:v>
                </c:pt>
                <c:pt idx="5">
                  <c:v>901627</c:v>
                </c:pt>
                <c:pt idx="6">
                  <c:v>1173551</c:v>
                </c:pt>
                <c:pt idx="7">
                  <c:v>1065603</c:v>
                </c:pt>
                <c:pt idx="8">
                  <c:v>1398584</c:v>
                </c:pt>
              </c:numCache>
            </c:numRef>
          </c:val>
          <c:smooth val="0"/>
        </c:ser>
        <c:dLbls>
          <c:showLegendKey val="0"/>
          <c:showVal val="0"/>
          <c:showCatName val="0"/>
          <c:showSerName val="0"/>
          <c:showPercent val="0"/>
          <c:showBubbleSize val="0"/>
        </c:dLbls>
        <c:marker val="1"/>
        <c:smooth val="0"/>
        <c:axId val="89886720"/>
        <c:axId val="89888256"/>
      </c:lineChart>
      <c:catAx>
        <c:axId val="89886720"/>
        <c:scaling>
          <c:orientation val="minMax"/>
        </c:scaling>
        <c:delete val="0"/>
        <c:axPos val="b"/>
        <c:numFmt formatCode="General" sourceLinked="1"/>
        <c:majorTickMark val="out"/>
        <c:minorTickMark val="none"/>
        <c:tickLblPos val="nextTo"/>
        <c:crossAx val="89888256"/>
        <c:crosses val="autoZero"/>
        <c:auto val="1"/>
        <c:lblAlgn val="ctr"/>
        <c:lblOffset val="100"/>
        <c:noMultiLvlLbl val="0"/>
      </c:catAx>
      <c:valAx>
        <c:axId val="89888256"/>
        <c:scaling>
          <c:orientation val="minMax"/>
        </c:scaling>
        <c:delete val="0"/>
        <c:axPos val="l"/>
        <c:majorGridlines/>
        <c:title>
          <c:tx>
            <c:rich>
              <a:bodyPr rot="-5400000" vert="horz"/>
              <a:lstStyle/>
              <a:p>
                <a:pPr>
                  <a:defRPr b="0"/>
                </a:pPr>
                <a:r>
                  <a:rPr lang="en-US" b="0"/>
                  <a:t>US$ billion</a:t>
                </a:r>
              </a:p>
            </c:rich>
          </c:tx>
          <c:overlay val="0"/>
        </c:title>
        <c:numFmt formatCode="#,##0.0" sourceLinked="0"/>
        <c:majorTickMark val="out"/>
        <c:minorTickMark val="none"/>
        <c:tickLblPos val="nextTo"/>
        <c:crossAx val="89886720"/>
        <c:crosses val="autoZero"/>
        <c:crossBetween val="between"/>
        <c:majorUnit val="500000"/>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0.54329259418111475</c:v>
                </c:pt>
                <c:pt idx="1">
                  <c:v>6.4667447189153057E-2</c:v>
                </c:pt>
                <c:pt idx="2">
                  <c:v>9.531132672078804E-4</c:v>
                </c:pt>
                <c:pt idx="3">
                  <c:v>9.0919277746221994E-3</c:v>
                </c:pt>
                <c:pt idx="4">
                  <c:v>4.8170859721046932E-3</c:v>
                </c:pt>
                <c:pt idx="5">
                  <c:v>6.88559936012612E-3</c:v>
                </c:pt>
                <c:pt idx="6">
                  <c:v>1.8831714972765434E-2</c:v>
                </c:pt>
                <c:pt idx="7">
                  <c:v>6.0084775561145436E-2</c:v>
                </c:pt>
                <c:pt idx="8">
                  <c:v>0.11065516233193329</c:v>
                </c:pt>
                <c:pt idx="9">
                  <c:v>5.8732385114431556E-4</c:v>
                </c:pt>
                <c:pt idx="10">
                  <c:v>2.4162709314621404E-3</c:v>
                </c:pt>
                <c:pt idx="11">
                  <c:v>3.0654183458848048E-4</c:v>
                </c:pt>
                <c:pt idx="12">
                  <c:v>7.5089869565161396E-4</c:v>
                </c:pt>
                <c:pt idx="13">
                  <c:v>9.4758778623987794E-2</c:v>
                </c:pt>
                <c:pt idx="14">
                  <c:v>2.4954823719125246E-2</c:v>
                </c:pt>
                <c:pt idx="15">
                  <c:v>4.8357618401783611E-2</c:v>
                </c:pt>
                <c:pt idx="16">
                  <c:v>5.9196061839019171E-3</c:v>
                </c:pt>
                <c:pt idx="17">
                  <c:v>1.8559948892521024E-3</c:v>
                </c:pt>
                <c:pt idx="18">
                  <c:v>0</c:v>
                </c:pt>
                <c:pt idx="19">
                  <c:v>7.9984234991364021E-4</c:v>
                </c:pt>
                <c:pt idx="20">
                  <c:v>1.2879909016322709E-5</c:v>
                </c:pt>
              </c:numCache>
            </c:numRef>
          </c:yVal>
          <c:bubbleSize>
            <c:numRef>
              <c:f>'X graphs'!$C$27:$C$47</c:f>
              <c:numCache>
                <c:formatCode>General</c:formatCode>
                <c:ptCount val="21"/>
                <c:pt idx="0">
                  <c:v>78</c:v>
                </c:pt>
                <c:pt idx="1">
                  <c:v>79</c:v>
                </c:pt>
                <c:pt idx="2">
                  <c:v>11</c:v>
                </c:pt>
                <c:pt idx="3">
                  <c:v>30</c:v>
                </c:pt>
                <c:pt idx="4">
                  <c:v>22</c:v>
                </c:pt>
                <c:pt idx="5">
                  <c:v>98</c:v>
                </c:pt>
                <c:pt idx="6">
                  <c:v>44</c:v>
                </c:pt>
                <c:pt idx="7">
                  <c:v>30</c:v>
                </c:pt>
                <c:pt idx="8">
                  <c:v>19</c:v>
                </c:pt>
                <c:pt idx="9">
                  <c:v>13</c:v>
                </c:pt>
                <c:pt idx="10">
                  <c:v>64</c:v>
                </c:pt>
                <c:pt idx="11">
                  <c:v>12</c:v>
                </c:pt>
                <c:pt idx="12">
                  <c:v>24</c:v>
                </c:pt>
                <c:pt idx="13">
                  <c:v>12</c:v>
                </c:pt>
                <c:pt idx="14">
                  <c:v>59</c:v>
                </c:pt>
                <c:pt idx="15">
                  <c:v>192</c:v>
                </c:pt>
                <c:pt idx="16">
                  <c:v>39</c:v>
                </c:pt>
                <c:pt idx="17">
                  <c:v>33</c:v>
                </c:pt>
                <c:pt idx="18">
                  <c:v>0</c:v>
                </c:pt>
                <c:pt idx="19">
                  <c:v>28</c:v>
                </c:pt>
                <c:pt idx="20">
                  <c:v>2</c:v>
                </c:pt>
              </c:numCache>
            </c:numRef>
          </c:bubbleSize>
          <c:bubble3D val="1"/>
        </c:ser>
        <c:dLbls>
          <c:showLegendKey val="0"/>
          <c:showVal val="1"/>
          <c:showCatName val="0"/>
          <c:showSerName val="0"/>
          <c:showPercent val="0"/>
          <c:showBubbleSize val="0"/>
        </c:dLbls>
        <c:bubbleScale val="100"/>
        <c:showNegBubbles val="0"/>
        <c:axId val="89905792"/>
        <c:axId val="90965888"/>
      </c:bubbleChart>
      <c:valAx>
        <c:axId val="8990579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0965888"/>
        <c:crosses val="autoZero"/>
        <c:crossBetween val="midCat"/>
        <c:majorUnit val="1"/>
      </c:valAx>
      <c:valAx>
        <c:axId val="90965888"/>
        <c:scaling>
          <c:orientation val="minMax"/>
          <c:max val="1"/>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89905792"/>
        <c:crosses val="autoZero"/>
        <c:crossBetween val="midCat"/>
        <c:majorUnit val="0.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0.83268215327077311</c:v>
                </c:pt>
                <c:pt idx="1">
                  <c:v>6.7828825090799544E-2</c:v>
                </c:pt>
                <c:pt idx="2">
                  <c:v>7.9005553124129662E-5</c:v>
                </c:pt>
                <c:pt idx="3">
                  <c:v>5.553124129660049E-4</c:v>
                </c:pt>
                <c:pt idx="4">
                  <c:v>7.4458470929935152E-4</c:v>
                </c:pt>
                <c:pt idx="5">
                  <c:v>1.9757072133775159E-3</c:v>
                </c:pt>
                <c:pt idx="6">
                  <c:v>6.02886260422765E-3</c:v>
                </c:pt>
                <c:pt idx="7">
                  <c:v>3.2900413216094396E-2</c:v>
                </c:pt>
                <c:pt idx="8">
                  <c:v>4.8160989445085456E-2</c:v>
                </c:pt>
                <c:pt idx="9">
                  <c:v>1.5062209768269323E-4</c:v>
                </c:pt>
                <c:pt idx="10">
                  <c:v>3.4216793511313709E-4</c:v>
                </c:pt>
                <c:pt idx="11">
                  <c:v>1.9268260797899246E-4</c:v>
                </c:pt>
                <c:pt idx="12">
                  <c:v>1.0003580827227929E-4</c:v>
                </c:pt>
                <c:pt idx="13">
                  <c:v>1.4436985966567576E-4</c:v>
                </c:pt>
                <c:pt idx="14">
                  <c:v>8.3723150900606475E-4</c:v>
                </c:pt>
                <c:pt idx="15">
                  <c:v>4.873903726902243E-3</c:v>
                </c:pt>
                <c:pt idx="16">
                  <c:v>1.6022780881792913E-3</c:v>
                </c:pt>
                <c:pt idx="17">
                  <c:v>1.807465172192319E-4</c:v>
                </c:pt>
                <c:pt idx="18">
                  <c:v>0</c:v>
                </c:pt>
                <c:pt idx="19">
                  <c:v>4.1492125022024931E-4</c:v>
                </c:pt>
                <c:pt idx="20">
                  <c:v>2.051870840130274E-4</c:v>
                </c:pt>
              </c:numCache>
            </c:numRef>
          </c:yVal>
          <c:bubbleSize>
            <c:numRef>
              <c:f>'X graphs'!$C$51:$C$71</c:f>
              <c:numCache>
                <c:formatCode>General</c:formatCode>
                <c:ptCount val="21"/>
                <c:pt idx="0">
                  <c:v>79</c:v>
                </c:pt>
                <c:pt idx="1">
                  <c:v>66</c:v>
                </c:pt>
                <c:pt idx="2">
                  <c:v>9</c:v>
                </c:pt>
                <c:pt idx="3">
                  <c:v>42</c:v>
                </c:pt>
                <c:pt idx="4">
                  <c:v>18</c:v>
                </c:pt>
                <c:pt idx="5">
                  <c:v>68</c:v>
                </c:pt>
                <c:pt idx="6">
                  <c:v>57</c:v>
                </c:pt>
                <c:pt idx="7">
                  <c:v>30</c:v>
                </c:pt>
                <c:pt idx="8">
                  <c:v>20</c:v>
                </c:pt>
                <c:pt idx="9">
                  <c:v>14</c:v>
                </c:pt>
                <c:pt idx="10">
                  <c:v>64</c:v>
                </c:pt>
                <c:pt idx="11">
                  <c:v>10</c:v>
                </c:pt>
                <c:pt idx="12">
                  <c:v>18</c:v>
                </c:pt>
                <c:pt idx="13">
                  <c:v>7</c:v>
                </c:pt>
                <c:pt idx="14">
                  <c:v>60</c:v>
                </c:pt>
                <c:pt idx="15">
                  <c:v>162</c:v>
                </c:pt>
                <c:pt idx="16">
                  <c:v>35</c:v>
                </c:pt>
                <c:pt idx="17">
                  <c:v>23</c:v>
                </c:pt>
                <c:pt idx="18">
                  <c:v>0</c:v>
                </c:pt>
                <c:pt idx="19">
                  <c:v>29</c:v>
                </c:pt>
                <c:pt idx="20">
                  <c:v>3</c:v>
                </c:pt>
              </c:numCache>
            </c:numRef>
          </c:bubbleSize>
          <c:bubble3D val="1"/>
        </c:ser>
        <c:dLbls>
          <c:showLegendKey val="0"/>
          <c:showVal val="1"/>
          <c:showCatName val="0"/>
          <c:showSerName val="0"/>
          <c:showPercent val="0"/>
          <c:showBubbleSize val="0"/>
        </c:dLbls>
        <c:bubbleScale val="100"/>
        <c:showNegBubbles val="0"/>
        <c:axId val="91002368"/>
        <c:axId val="91009792"/>
      </c:bubbleChart>
      <c:valAx>
        <c:axId val="9100236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1009792"/>
        <c:crosses val="autoZero"/>
        <c:crossBetween val="midCat"/>
        <c:majorUnit val="1"/>
      </c:valAx>
      <c:valAx>
        <c:axId val="91009792"/>
        <c:scaling>
          <c:orientation val="minMax"/>
          <c:max val="1"/>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91002368"/>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28.938955908965834</c:v>
                </c:pt>
                <c:pt idx="1">
                  <c:v>0.31613779016464866</c:v>
                </c:pt>
                <c:pt idx="2">
                  <c:v>-8.7410771408375068E-2</c:v>
                </c:pt>
                <c:pt idx="3">
                  <c:v>-0.85366153616561935</c:v>
                </c:pt>
                <c:pt idx="4">
                  <c:v>-0.4072501262805342</c:v>
                </c:pt>
                <c:pt idx="5">
                  <c:v>-0.49098921467486034</c:v>
                </c:pt>
                <c:pt idx="6">
                  <c:v>-1.2802852368537783</c:v>
                </c:pt>
                <c:pt idx="7">
                  <c:v>-2.7184362345051039</c:v>
                </c:pt>
                <c:pt idx="8">
                  <c:v>-6.249417288684783</c:v>
                </c:pt>
                <c:pt idx="9">
                  <c:v>-4.3670175346162236E-2</c:v>
                </c:pt>
                <c:pt idx="10">
                  <c:v>-0.20741029963490032</c:v>
                </c:pt>
                <c:pt idx="11">
                  <c:v>-1.1385922660948802E-2</c:v>
                </c:pt>
                <c:pt idx="12">
                  <c:v>-6.5086288737933456E-2</c:v>
                </c:pt>
                <c:pt idx="13">
                  <c:v>-9.4614408764322118</c:v>
                </c:pt>
                <c:pt idx="14">
                  <c:v>-2.4117592210119181</c:v>
                </c:pt>
                <c:pt idx="15">
                  <c:v>-4.3483714674881364</c:v>
                </c:pt>
                <c:pt idx="16">
                  <c:v>-0.43173280957226257</c:v>
                </c:pt>
                <c:pt idx="17">
                  <c:v>-0.16752483720328704</c:v>
                </c:pt>
                <c:pt idx="18">
                  <c:v>0</c:v>
                </c:pt>
                <c:pt idx="19">
                  <c:v>-3.8492109969339092E-2</c:v>
                </c:pt>
                <c:pt idx="20">
                  <c:v>1.923071749967047E-2</c:v>
                </c:pt>
              </c:numCache>
            </c:numRef>
          </c:val>
        </c:ser>
        <c:dLbls>
          <c:showLegendKey val="0"/>
          <c:showVal val="0"/>
          <c:showCatName val="0"/>
          <c:showSerName val="0"/>
          <c:showPercent val="0"/>
          <c:showBubbleSize val="0"/>
        </c:dLbls>
        <c:gapWidth val="49"/>
        <c:axId val="91024768"/>
        <c:axId val="91121152"/>
      </c:barChart>
      <c:catAx>
        <c:axId val="91024768"/>
        <c:scaling>
          <c:orientation val="minMax"/>
        </c:scaling>
        <c:delete val="0"/>
        <c:axPos val="b"/>
        <c:title>
          <c:tx>
            <c:rich>
              <a:bodyPr/>
              <a:lstStyle/>
              <a:p>
                <a:pPr>
                  <a:defRPr b="0"/>
                </a:pPr>
                <a:r>
                  <a:rPr lang="en-US" b="0"/>
                  <a:t>HS Section</a:t>
                </a:r>
              </a:p>
            </c:rich>
          </c:tx>
          <c:overlay val="0"/>
        </c:title>
        <c:majorTickMark val="out"/>
        <c:minorTickMark val="none"/>
        <c:tickLblPos val="low"/>
        <c:crossAx val="91121152"/>
        <c:crosses val="autoZero"/>
        <c:auto val="1"/>
        <c:lblAlgn val="ctr"/>
        <c:lblOffset val="100"/>
        <c:noMultiLvlLbl val="0"/>
      </c:catAx>
      <c:valAx>
        <c:axId val="91121152"/>
        <c:scaling>
          <c:orientation val="minMax"/>
          <c:max val="30"/>
          <c:min val="-10"/>
        </c:scaling>
        <c:delete val="0"/>
        <c:axPos val="l"/>
        <c:majorGridlines/>
        <c:title>
          <c:tx>
            <c:rich>
              <a:bodyPr rot="-5400000" vert="horz"/>
              <a:lstStyle/>
              <a:p>
                <a:pPr>
                  <a:defRPr b="0"/>
                </a:pPr>
                <a:r>
                  <a:rPr lang="en-US" b="0"/>
                  <a:t>Percentage points</a:t>
                </a:r>
              </a:p>
            </c:rich>
          </c:tx>
          <c:overlay val="0"/>
        </c:title>
        <c:numFmt formatCode="0" sourceLinked="0"/>
        <c:majorTickMark val="out"/>
        <c:minorTickMark val="none"/>
        <c:tickLblPos val="nextTo"/>
        <c:crossAx val="9102476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6B467-BBAA-4B3F-AFAF-DBD6B681CB41}">
  <ds:schemaRefs>
    <ds:schemaRef ds:uri="http://purl.org/dc/elements/1.1/"/>
    <ds:schemaRef ds:uri="57b417f7-d786-4243-a30f-6aa963038fea"/>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D837D06-E158-430F-AAEE-AC4B90F51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4.xml><?xml version="1.0" encoding="utf-8"?>
<ds:datastoreItem xmlns:ds="http://schemas.openxmlformats.org/officeDocument/2006/customXml" ds:itemID="{0CCF4B1B-2305-44E1-862A-B90759C12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Pages>
  <Words>3548</Words>
  <Characters>20229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23730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13</cp:revision>
  <dcterms:created xsi:type="dcterms:W3CDTF">2015-01-06T22:52:00Z</dcterms:created>
  <dcterms:modified xsi:type="dcterms:W3CDTF">2015-08-31T10:23:00Z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