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4baef98abb469f"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49D9F" w14:textId="77777777" w:rsidR="00F515DA" w:rsidRPr="00B12AEC" w:rsidRDefault="006D469D" w:rsidP="00B12AEC">
      <w:pPr>
        <w:pStyle w:val="BodyText"/>
        <w:jc w:val="left"/>
        <w:rPr>
          <w:rFonts w:asciiTheme="majorHAnsi" w:hAnsiTheme="majorHAnsi" w:cstheme="majorHAnsi"/>
          <w:b/>
          <w:color w:val="006C67" w:themeColor="accent1"/>
          <w:sz w:val="80"/>
          <w:szCs w:val="80"/>
        </w:rPr>
      </w:pPr>
      <w:bookmarkStart w:id="0" w:name="_GoBack"/>
      <w:bookmarkEnd w:id="0"/>
      <w:r>
        <w:rPr>
          <w:rFonts w:asciiTheme="majorHAnsi" w:hAnsiTheme="majorHAnsi" w:cstheme="majorHAnsi"/>
          <w:b/>
          <w:color w:val="006C67" w:themeColor="accent1"/>
          <w:sz w:val="80"/>
          <w:szCs w:val="80"/>
        </w:rPr>
        <w:t>West Bank &amp; Gaza</w:t>
      </w:r>
      <w:proofErr w:type="gramStart"/>
      <w:r w:rsidR="005C6F94" w:rsidRPr="00B12AEC">
        <w:rPr>
          <w:rFonts w:asciiTheme="majorHAnsi" w:hAnsiTheme="majorHAnsi" w:cstheme="majorHAnsi"/>
          <w:b/>
          <w:color w:val="006C67" w:themeColor="accent1"/>
          <w:sz w:val="80"/>
          <w:szCs w:val="80"/>
        </w:rPr>
        <w:t>:</w:t>
      </w:r>
      <w:proofErr w:type="gramEnd"/>
      <w:r w:rsidR="005C6F94" w:rsidRPr="00B12AEC">
        <w:rPr>
          <w:rFonts w:asciiTheme="majorHAnsi" w:hAnsiTheme="majorHAnsi" w:cstheme="majorHAnsi"/>
          <w:b/>
          <w:color w:val="006C67" w:themeColor="accent1"/>
          <w:sz w:val="80"/>
          <w:szCs w:val="80"/>
        </w:rPr>
        <w:br/>
      </w:r>
      <w:r w:rsidR="00F515DA" w:rsidRPr="00B12AEC">
        <w:rPr>
          <w:rFonts w:asciiTheme="majorHAnsi" w:hAnsiTheme="majorHAnsi" w:cstheme="majorHAnsi"/>
          <w:b/>
          <w:color w:val="006C67" w:themeColor="accent1"/>
          <w:sz w:val="80"/>
          <w:szCs w:val="80"/>
        </w:rPr>
        <w:t>Data on economic transformation</w:t>
      </w:r>
    </w:p>
    <w:p w14:paraId="207E93D7" w14:textId="77777777" w:rsidR="00F216AF" w:rsidRDefault="00F216AF">
      <w:pPr>
        <w:pStyle w:val="TOC1"/>
        <w:rPr>
          <w:rFonts w:asciiTheme="majorHAnsi" w:hAnsiTheme="majorHAnsi" w:cstheme="majorHAnsi"/>
          <w:b w:val="0"/>
        </w:rPr>
      </w:pPr>
    </w:p>
    <w:p w14:paraId="4D7C95D4" w14:textId="77777777" w:rsidR="00246C81" w:rsidRDefault="004D6FA5">
      <w:pPr>
        <w:pStyle w:val="TOC1"/>
        <w:rPr>
          <w:rFonts w:asciiTheme="minorHAnsi" w:eastAsiaTheme="minorEastAsia" w:hAnsiTheme="minorHAnsi" w:cstheme="minorBidi"/>
          <w:b w:val="0"/>
          <w:noProof/>
          <w:color w:val="auto"/>
          <w:sz w:val="22"/>
          <w:lang w:eastAsia="en-GB"/>
        </w:rPr>
      </w:pPr>
      <w:r w:rsidRPr="001006D4">
        <w:rPr>
          <w:rFonts w:asciiTheme="majorHAnsi" w:hAnsiTheme="majorHAnsi" w:cstheme="majorHAnsi"/>
          <w:b w:val="0"/>
        </w:rPr>
        <w:fldChar w:fldCharType="begin"/>
      </w:r>
      <w:r w:rsidRPr="001006D4">
        <w:rPr>
          <w:rFonts w:asciiTheme="majorHAnsi" w:hAnsiTheme="majorHAnsi" w:cstheme="majorHAnsi"/>
          <w:b w:val="0"/>
        </w:rPr>
        <w:instrText xml:space="preserve"> TOC \o "1-2" \t "Table Heading,3,Figure Heading,3" </w:instrText>
      </w:r>
      <w:r w:rsidRPr="001006D4">
        <w:rPr>
          <w:rFonts w:asciiTheme="majorHAnsi" w:hAnsiTheme="majorHAnsi" w:cstheme="majorHAnsi"/>
          <w:b w:val="0"/>
        </w:rPr>
        <w:fldChar w:fldCharType="separate"/>
      </w:r>
      <w:r w:rsidR="00246C81">
        <w:rPr>
          <w:noProof/>
        </w:rPr>
        <w:t>Economic structures</w:t>
      </w:r>
      <w:r w:rsidR="00246C81">
        <w:rPr>
          <w:noProof/>
        </w:rPr>
        <w:tab/>
      </w:r>
      <w:r w:rsidR="00246C81">
        <w:rPr>
          <w:noProof/>
        </w:rPr>
        <w:fldChar w:fldCharType="begin"/>
      </w:r>
      <w:r w:rsidR="00246C81">
        <w:rPr>
          <w:noProof/>
        </w:rPr>
        <w:instrText xml:space="preserve"> PAGEREF _Toc428437696 \h </w:instrText>
      </w:r>
      <w:r w:rsidR="00246C81">
        <w:rPr>
          <w:noProof/>
        </w:rPr>
      </w:r>
      <w:r w:rsidR="00246C81">
        <w:rPr>
          <w:noProof/>
        </w:rPr>
        <w:fldChar w:fldCharType="separate"/>
      </w:r>
      <w:r w:rsidR="00246C81">
        <w:rPr>
          <w:noProof/>
        </w:rPr>
        <w:t>1</w:t>
      </w:r>
      <w:r w:rsidR="00246C81">
        <w:rPr>
          <w:noProof/>
        </w:rPr>
        <w:fldChar w:fldCharType="end"/>
      </w:r>
    </w:p>
    <w:p w14:paraId="3F8CD67C" w14:textId="6FE038FB" w:rsidR="00246C81" w:rsidRDefault="00246C81" w:rsidP="00246C81">
      <w:pPr>
        <w:pStyle w:val="TOC3"/>
        <w:rPr>
          <w:rFonts w:asciiTheme="minorHAnsi" w:eastAsiaTheme="minorEastAsia" w:hAnsiTheme="minorHAnsi" w:cstheme="minorBidi"/>
          <w:noProof/>
          <w:sz w:val="22"/>
          <w:lang w:eastAsia="en-GB"/>
        </w:rPr>
      </w:pPr>
      <w:r>
        <w:rPr>
          <w:noProof/>
        </w:rPr>
        <w:t xml:space="preserve">Table 1. GDP, employment and relative productivity levels, West Bank &amp; Gaza </w:t>
      </w:r>
      <w:r>
        <w:rPr>
          <w:noProof/>
        </w:rPr>
        <w:br/>
        <w:t>(WDI/ILO GET data)</w:t>
      </w:r>
      <w:r>
        <w:rPr>
          <w:noProof/>
        </w:rPr>
        <w:tab/>
      </w:r>
      <w:r>
        <w:rPr>
          <w:noProof/>
        </w:rPr>
        <w:fldChar w:fldCharType="begin"/>
      </w:r>
      <w:r>
        <w:rPr>
          <w:noProof/>
        </w:rPr>
        <w:instrText xml:space="preserve"> PAGEREF _Toc428437697 \h </w:instrText>
      </w:r>
      <w:r>
        <w:rPr>
          <w:noProof/>
        </w:rPr>
      </w:r>
      <w:r>
        <w:rPr>
          <w:noProof/>
        </w:rPr>
        <w:fldChar w:fldCharType="separate"/>
      </w:r>
      <w:r>
        <w:rPr>
          <w:noProof/>
        </w:rPr>
        <w:t>1</w:t>
      </w:r>
      <w:r>
        <w:rPr>
          <w:noProof/>
        </w:rPr>
        <w:fldChar w:fldCharType="end"/>
      </w:r>
    </w:p>
    <w:p w14:paraId="190D1F2D" w14:textId="116C9F4A" w:rsidR="00246C81" w:rsidRDefault="00246C81" w:rsidP="00246C81">
      <w:pPr>
        <w:pStyle w:val="TOC3"/>
        <w:rPr>
          <w:rFonts w:asciiTheme="minorHAnsi" w:eastAsiaTheme="minorEastAsia" w:hAnsiTheme="minorHAnsi" w:cstheme="minorBidi"/>
          <w:noProof/>
          <w:sz w:val="22"/>
          <w:lang w:eastAsia="en-GB"/>
        </w:rPr>
      </w:pPr>
      <w:r>
        <w:rPr>
          <w:noProof/>
        </w:rPr>
        <w:t xml:space="preserve">Table 2. GDP, employment and relative productivity levels, West Bank &amp; Gaza, 1991–2013 </w:t>
      </w:r>
      <w:r>
        <w:rPr>
          <w:noProof/>
        </w:rPr>
        <w:br/>
        <w:t xml:space="preserve">(UNSD/ILO WESO data)   </w:t>
      </w:r>
      <w:r w:rsidRPr="00271414">
        <w:rPr>
          <w:noProof/>
          <w:color w:val="FF0000"/>
        </w:rPr>
        <w:t>NEW</w:t>
      </w:r>
      <w:r>
        <w:rPr>
          <w:noProof/>
        </w:rPr>
        <w:tab/>
      </w:r>
      <w:r>
        <w:rPr>
          <w:noProof/>
        </w:rPr>
        <w:fldChar w:fldCharType="begin"/>
      </w:r>
      <w:r>
        <w:rPr>
          <w:noProof/>
        </w:rPr>
        <w:instrText xml:space="preserve"> PAGEREF _Toc428437698 \h </w:instrText>
      </w:r>
      <w:r>
        <w:rPr>
          <w:noProof/>
        </w:rPr>
      </w:r>
      <w:r>
        <w:rPr>
          <w:noProof/>
        </w:rPr>
        <w:fldChar w:fldCharType="separate"/>
      </w:r>
      <w:r>
        <w:rPr>
          <w:noProof/>
        </w:rPr>
        <w:t>2</w:t>
      </w:r>
      <w:r>
        <w:rPr>
          <w:noProof/>
        </w:rPr>
        <w:fldChar w:fldCharType="end"/>
      </w:r>
    </w:p>
    <w:p w14:paraId="2771C9CE" w14:textId="0F278CEA" w:rsidR="00246C81" w:rsidRDefault="00246C81" w:rsidP="00246C81">
      <w:pPr>
        <w:pStyle w:val="TOC3"/>
        <w:rPr>
          <w:rFonts w:asciiTheme="minorHAnsi" w:eastAsiaTheme="minorEastAsia" w:hAnsiTheme="minorHAnsi" w:cstheme="minorBidi"/>
          <w:noProof/>
          <w:sz w:val="22"/>
          <w:lang w:eastAsia="en-GB"/>
        </w:rPr>
      </w:pPr>
      <w:r>
        <w:rPr>
          <w:noProof/>
        </w:rPr>
        <w:t xml:space="preserve">Table 3. Labour productivity levels and changes, West Bank &amp; Gaza </w:t>
      </w:r>
      <w:r>
        <w:rPr>
          <w:noProof/>
        </w:rPr>
        <w:br/>
        <w:t>(WDI/ILO GET data)</w:t>
      </w:r>
      <w:r>
        <w:rPr>
          <w:noProof/>
        </w:rPr>
        <w:tab/>
      </w:r>
      <w:r>
        <w:rPr>
          <w:noProof/>
        </w:rPr>
        <w:fldChar w:fldCharType="begin"/>
      </w:r>
      <w:r>
        <w:rPr>
          <w:noProof/>
        </w:rPr>
        <w:instrText xml:space="preserve"> PAGEREF _Toc428437699 \h </w:instrText>
      </w:r>
      <w:r>
        <w:rPr>
          <w:noProof/>
        </w:rPr>
      </w:r>
      <w:r>
        <w:rPr>
          <w:noProof/>
        </w:rPr>
        <w:fldChar w:fldCharType="separate"/>
      </w:r>
      <w:r>
        <w:rPr>
          <w:noProof/>
        </w:rPr>
        <w:t>3</w:t>
      </w:r>
      <w:r>
        <w:rPr>
          <w:noProof/>
        </w:rPr>
        <w:fldChar w:fldCharType="end"/>
      </w:r>
    </w:p>
    <w:p w14:paraId="5357B01D" w14:textId="476CFD41" w:rsidR="00246C81" w:rsidRDefault="00246C81" w:rsidP="00246C81">
      <w:pPr>
        <w:pStyle w:val="TOC3"/>
        <w:rPr>
          <w:rFonts w:asciiTheme="minorHAnsi" w:eastAsiaTheme="minorEastAsia" w:hAnsiTheme="minorHAnsi" w:cstheme="minorBidi"/>
          <w:noProof/>
          <w:sz w:val="22"/>
          <w:lang w:eastAsia="en-GB"/>
        </w:rPr>
      </w:pPr>
      <w:r>
        <w:rPr>
          <w:noProof/>
        </w:rPr>
        <w:t xml:space="preserve">Table 4. Labour productivity levels and changes, West Bank &amp; Gaza, 1991–2013 </w:t>
      </w:r>
      <w:r>
        <w:rPr>
          <w:noProof/>
        </w:rPr>
        <w:br/>
        <w:t xml:space="preserve">(UNSD/ILO WESO data)   </w:t>
      </w:r>
      <w:r w:rsidRPr="00271414">
        <w:rPr>
          <w:noProof/>
          <w:color w:val="FF0000"/>
        </w:rPr>
        <w:t>NEW</w:t>
      </w:r>
      <w:r>
        <w:rPr>
          <w:noProof/>
        </w:rPr>
        <w:tab/>
      </w:r>
      <w:r>
        <w:rPr>
          <w:noProof/>
        </w:rPr>
        <w:fldChar w:fldCharType="begin"/>
      </w:r>
      <w:r>
        <w:rPr>
          <w:noProof/>
        </w:rPr>
        <w:instrText xml:space="preserve"> PAGEREF _Toc428437700 \h </w:instrText>
      </w:r>
      <w:r>
        <w:rPr>
          <w:noProof/>
        </w:rPr>
      </w:r>
      <w:r>
        <w:rPr>
          <w:noProof/>
        </w:rPr>
        <w:fldChar w:fldCharType="separate"/>
      </w:r>
      <w:r>
        <w:rPr>
          <w:noProof/>
        </w:rPr>
        <w:t>3</w:t>
      </w:r>
      <w:r>
        <w:rPr>
          <w:noProof/>
        </w:rPr>
        <w:fldChar w:fldCharType="end"/>
      </w:r>
    </w:p>
    <w:p w14:paraId="660C1EED" w14:textId="77777777" w:rsidR="00246C81" w:rsidRDefault="00246C81" w:rsidP="00246C81">
      <w:pPr>
        <w:pStyle w:val="TOC3"/>
        <w:rPr>
          <w:rFonts w:asciiTheme="minorHAnsi" w:eastAsiaTheme="minorEastAsia" w:hAnsiTheme="minorHAnsi" w:cstheme="minorBidi"/>
          <w:noProof/>
          <w:sz w:val="22"/>
          <w:lang w:eastAsia="en-GB"/>
        </w:rPr>
      </w:pPr>
      <w:r>
        <w:rPr>
          <w:noProof/>
        </w:rPr>
        <w:t>Figure 1. Relative productivity and changes in employment shares by sector, West Bank &amp; Gaza (WDI/ILO GET data)</w:t>
      </w:r>
      <w:r>
        <w:rPr>
          <w:noProof/>
        </w:rPr>
        <w:tab/>
      </w:r>
      <w:r>
        <w:rPr>
          <w:noProof/>
        </w:rPr>
        <w:fldChar w:fldCharType="begin"/>
      </w:r>
      <w:r>
        <w:rPr>
          <w:noProof/>
        </w:rPr>
        <w:instrText xml:space="preserve"> PAGEREF _Toc428437701 \h </w:instrText>
      </w:r>
      <w:r>
        <w:rPr>
          <w:noProof/>
        </w:rPr>
      </w:r>
      <w:r>
        <w:rPr>
          <w:noProof/>
        </w:rPr>
        <w:fldChar w:fldCharType="separate"/>
      </w:r>
      <w:r>
        <w:rPr>
          <w:noProof/>
        </w:rPr>
        <w:t>4</w:t>
      </w:r>
      <w:r>
        <w:rPr>
          <w:noProof/>
        </w:rPr>
        <w:fldChar w:fldCharType="end"/>
      </w:r>
    </w:p>
    <w:p w14:paraId="7A0B547E" w14:textId="1D323BA2" w:rsidR="00246C81" w:rsidRDefault="00246C81" w:rsidP="00246C81">
      <w:pPr>
        <w:pStyle w:val="TOC3"/>
        <w:rPr>
          <w:rFonts w:asciiTheme="minorHAnsi" w:eastAsiaTheme="minorEastAsia" w:hAnsiTheme="minorHAnsi" w:cstheme="minorBidi"/>
          <w:noProof/>
          <w:sz w:val="22"/>
          <w:lang w:eastAsia="en-GB"/>
        </w:rPr>
      </w:pPr>
      <w:r>
        <w:rPr>
          <w:noProof/>
        </w:rPr>
        <w:t xml:space="preserve">Figure 2. Relative productivity and changes in employment shares by sector, West Bank &amp; Gaza (UNSD/ILO WESO data)   </w:t>
      </w:r>
      <w:r w:rsidRPr="00271414">
        <w:rPr>
          <w:noProof/>
          <w:color w:val="FF0000"/>
        </w:rPr>
        <w:t>NEW</w:t>
      </w:r>
      <w:r>
        <w:rPr>
          <w:noProof/>
        </w:rPr>
        <w:tab/>
      </w:r>
      <w:r>
        <w:rPr>
          <w:noProof/>
        </w:rPr>
        <w:fldChar w:fldCharType="begin"/>
      </w:r>
      <w:r>
        <w:rPr>
          <w:noProof/>
        </w:rPr>
        <w:instrText xml:space="preserve"> PAGEREF _Toc428437702 \h </w:instrText>
      </w:r>
      <w:r>
        <w:rPr>
          <w:noProof/>
        </w:rPr>
      </w:r>
      <w:r>
        <w:rPr>
          <w:noProof/>
        </w:rPr>
        <w:fldChar w:fldCharType="separate"/>
      </w:r>
      <w:r>
        <w:rPr>
          <w:noProof/>
        </w:rPr>
        <w:t>5</w:t>
      </w:r>
      <w:r>
        <w:rPr>
          <w:noProof/>
        </w:rPr>
        <w:fldChar w:fldCharType="end"/>
      </w:r>
    </w:p>
    <w:p w14:paraId="1FB56348" w14:textId="77777777" w:rsidR="00246C81" w:rsidRDefault="00246C81" w:rsidP="00246C81">
      <w:pPr>
        <w:pStyle w:val="TOC3"/>
        <w:rPr>
          <w:rFonts w:asciiTheme="minorHAnsi" w:eastAsiaTheme="minorEastAsia" w:hAnsiTheme="minorHAnsi" w:cstheme="minorBidi"/>
          <w:noProof/>
          <w:sz w:val="22"/>
          <w:lang w:eastAsia="en-GB"/>
        </w:rPr>
      </w:pPr>
      <w:r>
        <w:rPr>
          <w:noProof/>
        </w:rPr>
        <w:t>Figure 3. Decomposition of labour productivity change, West Bank &amp; Gaza, 1990–2010 (WDI/ILO GET data)</w:t>
      </w:r>
      <w:r>
        <w:rPr>
          <w:noProof/>
        </w:rPr>
        <w:tab/>
      </w:r>
      <w:r>
        <w:rPr>
          <w:noProof/>
        </w:rPr>
        <w:fldChar w:fldCharType="begin"/>
      </w:r>
      <w:r>
        <w:rPr>
          <w:noProof/>
        </w:rPr>
        <w:instrText xml:space="preserve"> PAGEREF _Toc428437703 \h </w:instrText>
      </w:r>
      <w:r>
        <w:rPr>
          <w:noProof/>
        </w:rPr>
      </w:r>
      <w:r>
        <w:rPr>
          <w:noProof/>
        </w:rPr>
        <w:fldChar w:fldCharType="separate"/>
      </w:r>
      <w:r>
        <w:rPr>
          <w:noProof/>
        </w:rPr>
        <w:t>7</w:t>
      </w:r>
      <w:r>
        <w:rPr>
          <w:noProof/>
        </w:rPr>
        <w:fldChar w:fldCharType="end"/>
      </w:r>
    </w:p>
    <w:p w14:paraId="0CAE7E3A" w14:textId="7B10F3C8" w:rsidR="00246C81" w:rsidRDefault="00246C81" w:rsidP="00246C81">
      <w:pPr>
        <w:pStyle w:val="TOC3"/>
        <w:rPr>
          <w:rFonts w:asciiTheme="minorHAnsi" w:eastAsiaTheme="minorEastAsia" w:hAnsiTheme="minorHAnsi" w:cstheme="minorBidi"/>
          <w:noProof/>
          <w:sz w:val="22"/>
          <w:lang w:eastAsia="en-GB"/>
        </w:rPr>
      </w:pPr>
      <w:r>
        <w:rPr>
          <w:noProof/>
        </w:rPr>
        <w:t xml:space="preserve">Figure 4. Decomposition of labour productivity change, West Bank &amp; Gaza, 1991–2013 (UNSD/ILO WESO data)   </w:t>
      </w:r>
      <w:r w:rsidRPr="00271414">
        <w:rPr>
          <w:noProof/>
          <w:color w:val="FF0000"/>
        </w:rPr>
        <w:t>NEW</w:t>
      </w:r>
      <w:r>
        <w:rPr>
          <w:noProof/>
        </w:rPr>
        <w:tab/>
      </w:r>
      <w:r>
        <w:rPr>
          <w:noProof/>
        </w:rPr>
        <w:fldChar w:fldCharType="begin"/>
      </w:r>
      <w:r>
        <w:rPr>
          <w:noProof/>
        </w:rPr>
        <w:instrText xml:space="preserve"> PAGEREF _Toc428437704 \h </w:instrText>
      </w:r>
      <w:r>
        <w:rPr>
          <w:noProof/>
        </w:rPr>
      </w:r>
      <w:r>
        <w:rPr>
          <w:noProof/>
        </w:rPr>
        <w:fldChar w:fldCharType="separate"/>
      </w:r>
      <w:r>
        <w:rPr>
          <w:noProof/>
        </w:rPr>
        <w:t>7</w:t>
      </w:r>
      <w:r>
        <w:rPr>
          <w:noProof/>
        </w:rPr>
        <w:fldChar w:fldCharType="end"/>
      </w:r>
    </w:p>
    <w:p w14:paraId="1D2D2BF9" w14:textId="77777777" w:rsidR="00246C81" w:rsidRDefault="00246C81" w:rsidP="00246C81">
      <w:pPr>
        <w:pStyle w:val="TOC3"/>
        <w:rPr>
          <w:rFonts w:asciiTheme="minorHAnsi" w:eastAsiaTheme="minorEastAsia" w:hAnsiTheme="minorHAnsi" w:cstheme="minorBidi"/>
          <w:noProof/>
          <w:sz w:val="22"/>
          <w:lang w:eastAsia="en-GB"/>
        </w:rPr>
      </w:pPr>
      <w:r>
        <w:rPr>
          <w:noProof/>
        </w:rPr>
        <w:t>Figure 5. Productivity gaps in West Bank &amp; Gaza, 2012 (WDI/ILO GET data)</w:t>
      </w:r>
      <w:r>
        <w:rPr>
          <w:noProof/>
        </w:rPr>
        <w:tab/>
      </w:r>
      <w:r>
        <w:rPr>
          <w:noProof/>
        </w:rPr>
        <w:fldChar w:fldCharType="begin"/>
      </w:r>
      <w:r>
        <w:rPr>
          <w:noProof/>
        </w:rPr>
        <w:instrText xml:space="preserve"> PAGEREF _Toc428437705 \h </w:instrText>
      </w:r>
      <w:r>
        <w:rPr>
          <w:noProof/>
        </w:rPr>
      </w:r>
      <w:r>
        <w:rPr>
          <w:noProof/>
        </w:rPr>
        <w:fldChar w:fldCharType="separate"/>
      </w:r>
      <w:r>
        <w:rPr>
          <w:noProof/>
        </w:rPr>
        <w:t>8</w:t>
      </w:r>
      <w:r>
        <w:rPr>
          <w:noProof/>
        </w:rPr>
        <w:fldChar w:fldCharType="end"/>
      </w:r>
    </w:p>
    <w:p w14:paraId="68FCAC12" w14:textId="483EEFE6" w:rsidR="00246C81" w:rsidRDefault="00246C81" w:rsidP="00246C81">
      <w:pPr>
        <w:pStyle w:val="TOC3"/>
        <w:rPr>
          <w:rFonts w:asciiTheme="minorHAnsi" w:eastAsiaTheme="minorEastAsia" w:hAnsiTheme="minorHAnsi" w:cstheme="minorBidi"/>
          <w:noProof/>
          <w:sz w:val="22"/>
          <w:lang w:eastAsia="en-GB"/>
        </w:rPr>
      </w:pPr>
      <w:r>
        <w:rPr>
          <w:noProof/>
        </w:rPr>
        <w:t xml:space="preserve">Figure 6. Productivity gaps in West Bank &amp; Gaza, 2013 (UNSD/ILO WESO data)   </w:t>
      </w:r>
      <w:r w:rsidRPr="00271414">
        <w:rPr>
          <w:noProof/>
          <w:color w:val="FF0000"/>
        </w:rPr>
        <w:t>NEW</w:t>
      </w:r>
      <w:r>
        <w:rPr>
          <w:noProof/>
        </w:rPr>
        <w:tab/>
      </w:r>
      <w:r>
        <w:rPr>
          <w:noProof/>
        </w:rPr>
        <w:fldChar w:fldCharType="begin"/>
      </w:r>
      <w:r>
        <w:rPr>
          <w:noProof/>
        </w:rPr>
        <w:instrText xml:space="preserve"> PAGEREF _Toc428437706 \h </w:instrText>
      </w:r>
      <w:r>
        <w:rPr>
          <w:noProof/>
        </w:rPr>
      </w:r>
      <w:r>
        <w:rPr>
          <w:noProof/>
        </w:rPr>
        <w:fldChar w:fldCharType="separate"/>
      </w:r>
      <w:r>
        <w:rPr>
          <w:noProof/>
        </w:rPr>
        <w:t>8</w:t>
      </w:r>
      <w:r>
        <w:rPr>
          <w:noProof/>
        </w:rPr>
        <w:fldChar w:fldCharType="end"/>
      </w:r>
    </w:p>
    <w:p w14:paraId="40622CB8" w14:textId="77777777" w:rsidR="00246C81" w:rsidRDefault="00246C81" w:rsidP="00246C81">
      <w:pPr>
        <w:pStyle w:val="TOC3"/>
        <w:rPr>
          <w:rFonts w:asciiTheme="minorHAnsi" w:eastAsiaTheme="minorEastAsia" w:hAnsiTheme="minorHAnsi" w:cstheme="minorBidi"/>
          <w:noProof/>
          <w:sz w:val="22"/>
          <w:lang w:eastAsia="en-GB"/>
        </w:rPr>
      </w:pPr>
      <w:r>
        <w:rPr>
          <w:noProof/>
        </w:rPr>
        <w:t>Figure 7. Total employment by sex and broad sector, West Bank &amp; Gaza (ILO GET data)</w:t>
      </w:r>
      <w:r>
        <w:rPr>
          <w:noProof/>
        </w:rPr>
        <w:tab/>
      </w:r>
      <w:r>
        <w:rPr>
          <w:noProof/>
        </w:rPr>
        <w:fldChar w:fldCharType="begin"/>
      </w:r>
      <w:r>
        <w:rPr>
          <w:noProof/>
        </w:rPr>
        <w:instrText xml:space="preserve"> PAGEREF _Toc428437707 \h </w:instrText>
      </w:r>
      <w:r>
        <w:rPr>
          <w:noProof/>
        </w:rPr>
      </w:r>
      <w:r>
        <w:rPr>
          <w:noProof/>
        </w:rPr>
        <w:fldChar w:fldCharType="separate"/>
      </w:r>
      <w:r>
        <w:rPr>
          <w:noProof/>
        </w:rPr>
        <w:t>9</w:t>
      </w:r>
      <w:r>
        <w:rPr>
          <w:noProof/>
        </w:rPr>
        <w:fldChar w:fldCharType="end"/>
      </w:r>
    </w:p>
    <w:p w14:paraId="115A6431" w14:textId="77777777" w:rsidR="00246C81" w:rsidRDefault="00246C81" w:rsidP="00246C81">
      <w:pPr>
        <w:pStyle w:val="TOC3"/>
        <w:rPr>
          <w:rFonts w:asciiTheme="minorHAnsi" w:eastAsiaTheme="minorEastAsia" w:hAnsiTheme="minorHAnsi" w:cstheme="minorBidi"/>
          <w:noProof/>
          <w:sz w:val="22"/>
          <w:lang w:eastAsia="en-GB"/>
        </w:rPr>
      </w:pPr>
      <w:r>
        <w:rPr>
          <w:noProof/>
        </w:rPr>
        <w:t>Figure 8. Broad sectoral employment by sex, West Bank &amp; Gaza (ILO GET data)</w:t>
      </w:r>
      <w:r>
        <w:rPr>
          <w:noProof/>
        </w:rPr>
        <w:tab/>
      </w:r>
      <w:r>
        <w:rPr>
          <w:noProof/>
        </w:rPr>
        <w:fldChar w:fldCharType="begin"/>
      </w:r>
      <w:r>
        <w:rPr>
          <w:noProof/>
        </w:rPr>
        <w:instrText xml:space="preserve"> PAGEREF _Toc428437708 \h </w:instrText>
      </w:r>
      <w:r>
        <w:rPr>
          <w:noProof/>
        </w:rPr>
      </w:r>
      <w:r>
        <w:rPr>
          <w:noProof/>
        </w:rPr>
        <w:fldChar w:fldCharType="separate"/>
      </w:r>
      <w:r>
        <w:rPr>
          <w:noProof/>
        </w:rPr>
        <w:t>9</w:t>
      </w:r>
      <w:r>
        <w:rPr>
          <w:noProof/>
        </w:rPr>
        <w:fldChar w:fldCharType="end"/>
      </w:r>
    </w:p>
    <w:p w14:paraId="53C25B01" w14:textId="03FDD38C" w:rsidR="00246C81" w:rsidRDefault="00246C81" w:rsidP="00246C81">
      <w:pPr>
        <w:pStyle w:val="TOC3"/>
        <w:rPr>
          <w:rFonts w:asciiTheme="minorHAnsi" w:eastAsiaTheme="minorEastAsia" w:hAnsiTheme="minorHAnsi" w:cstheme="minorBidi"/>
          <w:noProof/>
          <w:sz w:val="22"/>
          <w:lang w:eastAsia="en-GB"/>
        </w:rPr>
      </w:pPr>
      <w:r>
        <w:rPr>
          <w:noProof/>
        </w:rPr>
        <w:t xml:space="preserve">Figure 9. Sectoral employment by sex, West Bank &amp; Gaza (ILO WESO data)   </w:t>
      </w:r>
      <w:r w:rsidRPr="00271414">
        <w:rPr>
          <w:noProof/>
          <w:color w:val="FF0000"/>
        </w:rPr>
        <w:t>NEW</w:t>
      </w:r>
      <w:r>
        <w:rPr>
          <w:noProof/>
        </w:rPr>
        <w:tab/>
      </w:r>
      <w:r>
        <w:rPr>
          <w:noProof/>
        </w:rPr>
        <w:fldChar w:fldCharType="begin"/>
      </w:r>
      <w:r>
        <w:rPr>
          <w:noProof/>
        </w:rPr>
        <w:instrText xml:space="preserve"> PAGEREF _Toc428437709 \h </w:instrText>
      </w:r>
      <w:r>
        <w:rPr>
          <w:noProof/>
        </w:rPr>
      </w:r>
      <w:r>
        <w:rPr>
          <w:noProof/>
        </w:rPr>
        <w:fldChar w:fldCharType="separate"/>
      </w:r>
      <w:r>
        <w:rPr>
          <w:noProof/>
        </w:rPr>
        <w:t>10</w:t>
      </w:r>
      <w:r>
        <w:rPr>
          <w:noProof/>
        </w:rPr>
        <w:fldChar w:fldCharType="end"/>
      </w:r>
    </w:p>
    <w:p w14:paraId="622A1FD6" w14:textId="77777777" w:rsidR="00246C81" w:rsidRDefault="00246C81">
      <w:pPr>
        <w:pStyle w:val="TOC1"/>
        <w:rPr>
          <w:rFonts w:asciiTheme="minorHAnsi" w:eastAsiaTheme="minorEastAsia" w:hAnsiTheme="minorHAnsi" w:cstheme="minorBidi"/>
          <w:b w:val="0"/>
          <w:noProof/>
          <w:color w:val="auto"/>
          <w:sz w:val="22"/>
          <w:lang w:eastAsia="en-GB"/>
        </w:rPr>
      </w:pPr>
      <w:r>
        <w:rPr>
          <w:noProof/>
        </w:rPr>
        <w:t>Trade</w:t>
      </w:r>
      <w:r>
        <w:rPr>
          <w:noProof/>
        </w:rPr>
        <w:tab/>
      </w:r>
      <w:r>
        <w:rPr>
          <w:noProof/>
        </w:rPr>
        <w:fldChar w:fldCharType="begin"/>
      </w:r>
      <w:r>
        <w:rPr>
          <w:noProof/>
        </w:rPr>
        <w:instrText xml:space="preserve"> PAGEREF _Toc428437710 \h </w:instrText>
      </w:r>
      <w:r>
        <w:rPr>
          <w:noProof/>
        </w:rPr>
      </w:r>
      <w:r>
        <w:rPr>
          <w:noProof/>
        </w:rPr>
        <w:fldChar w:fldCharType="separate"/>
      </w:r>
      <w:r>
        <w:rPr>
          <w:noProof/>
        </w:rPr>
        <w:t>11</w:t>
      </w:r>
      <w:r>
        <w:rPr>
          <w:noProof/>
        </w:rPr>
        <w:fldChar w:fldCharType="end"/>
      </w:r>
    </w:p>
    <w:p w14:paraId="051432DB" w14:textId="77777777" w:rsidR="00246C81" w:rsidRDefault="00246C81">
      <w:pPr>
        <w:pStyle w:val="TOC2"/>
        <w:rPr>
          <w:rFonts w:asciiTheme="minorHAnsi" w:eastAsiaTheme="minorEastAsia" w:hAnsiTheme="minorHAnsi" w:cstheme="minorBidi"/>
          <w:b w:val="0"/>
          <w:noProof/>
          <w:color w:val="auto"/>
          <w:sz w:val="22"/>
          <w:lang w:eastAsia="en-GB"/>
        </w:rPr>
      </w:pPr>
      <w:r>
        <w:rPr>
          <w:noProof/>
        </w:rPr>
        <w:t>Basic data</w:t>
      </w:r>
      <w:r>
        <w:rPr>
          <w:noProof/>
        </w:rPr>
        <w:tab/>
      </w:r>
      <w:r>
        <w:rPr>
          <w:noProof/>
        </w:rPr>
        <w:fldChar w:fldCharType="begin"/>
      </w:r>
      <w:r>
        <w:rPr>
          <w:noProof/>
        </w:rPr>
        <w:instrText xml:space="preserve"> PAGEREF _Toc428437711 \h </w:instrText>
      </w:r>
      <w:r>
        <w:rPr>
          <w:noProof/>
        </w:rPr>
      </w:r>
      <w:r>
        <w:rPr>
          <w:noProof/>
        </w:rPr>
        <w:fldChar w:fldCharType="separate"/>
      </w:r>
      <w:r>
        <w:rPr>
          <w:noProof/>
        </w:rPr>
        <w:t>11</w:t>
      </w:r>
      <w:r>
        <w:rPr>
          <w:noProof/>
        </w:rPr>
        <w:fldChar w:fldCharType="end"/>
      </w:r>
    </w:p>
    <w:p w14:paraId="72EFB46D" w14:textId="77777777" w:rsidR="00246C81" w:rsidRDefault="00246C81" w:rsidP="00246C81">
      <w:pPr>
        <w:pStyle w:val="TOC3"/>
        <w:rPr>
          <w:rFonts w:asciiTheme="minorHAnsi" w:eastAsiaTheme="minorEastAsia" w:hAnsiTheme="minorHAnsi" w:cstheme="minorBidi"/>
          <w:noProof/>
          <w:sz w:val="22"/>
          <w:lang w:eastAsia="en-GB"/>
        </w:rPr>
      </w:pPr>
      <w:r>
        <w:rPr>
          <w:noProof/>
        </w:rPr>
        <w:t>Figure 10. Total value of trade, West Bank &amp; Gaza, 2007–12</w:t>
      </w:r>
      <w:r>
        <w:rPr>
          <w:noProof/>
        </w:rPr>
        <w:tab/>
      </w:r>
      <w:r>
        <w:rPr>
          <w:noProof/>
        </w:rPr>
        <w:fldChar w:fldCharType="begin"/>
      </w:r>
      <w:r>
        <w:rPr>
          <w:noProof/>
        </w:rPr>
        <w:instrText xml:space="preserve"> PAGEREF _Toc428437712 \h </w:instrText>
      </w:r>
      <w:r>
        <w:rPr>
          <w:noProof/>
        </w:rPr>
      </w:r>
      <w:r>
        <w:rPr>
          <w:noProof/>
        </w:rPr>
        <w:fldChar w:fldCharType="separate"/>
      </w:r>
      <w:r>
        <w:rPr>
          <w:noProof/>
        </w:rPr>
        <w:t>11</w:t>
      </w:r>
      <w:r>
        <w:rPr>
          <w:noProof/>
        </w:rPr>
        <w:fldChar w:fldCharType="end"/>
      </w:r>
    </w:p>
    <w:p w14:paraId="70E9B4A1" w14:textId="77777777" w:rsidR="00246C81" w:rsidRDefault="00246C81" w:rsidP="00246C81">
      <w:pPr>
        <w:pStyle w:val="TOC3"/>
        <w:rPr>
          <w:rFonts w:asciiTheme="minorHAnsi" w:eastAsiaTheme="minorEastAsia" w:hAnsiTheme="minorHAnsi" w:cstheme="minorBidi"/>
          <w:noProof/>
          <w:sz w:val="22"/>
          <w:lang w:eastAsia="en-GB"/>
        </w:rPr>
      </w:pPr>
      <w:r>
        <w:rPr>
          <w:noProof/>
        </w:rPr>
        <w:t>Figure 11. Exports by broad HS Section, West Bank &amp; Gaza, 2007–8 and 2009–12</w:t>
      </w:r>
      <w:r>
        <w:rPr>
          <w:noProof/>
        </w:rPr>
        <w:tab/>
      </w:r>
      <w:r>
        <w:rPr>
          <w:noProof/>
        </w:rPr>
        <w:fldChar w:fldCharType="begin"/>
      </w:r>
      <w:r>
        <w:rPr>
          <w:noProof/>
        </w:rPr>
        <w:instrText xml:space="preserve"> PAGEREF _Toc428437713 \h </w:instrText>
      </w:r>
      <w:r>
        <w:rPr>
          <w:noProof/>
        </w:rPr>
      </w:r>
      <w:r>
        <w:rPr>
          <w:noProof/>
        </w:rPr>
        <w:fldChar w:fldCharType="separate"/>
      </w:r>
      <w:r>
        <w:rPr>
          <w:noProof/>
        </w:rPr>
        <w:t>12</w:t>
      </w:r>
      <w:r>
        <w:rPr>
          <w:noProof/>
        </w:rPr>
        <w:fldChar w:fldCharType="end"/>
      </w:r>
    </w:p>
    <w:p w14:paraId="50C36811" w14:textId="77777777" w:rsidR="00246C81" w:rsidRDefault="00246C81" w:rsidP="00246C81">
      <w:pPr>
        <w:pStyle w:val="TOC3"/>
        <w:rPr>
          <w:rFonts w:asciiTheme="minorHAnsi" w:eastAsiaTheme="minorEastAsia" w:hAnsiTheme="minorHAnsi" w:cstheme="minorBidi"/>
          <w:noProof/>
          <w:sz w:val="22"/>
          <w:lang w:eastAsia="en-GB"/>
        </w:rPr>
      </w:pPr>
      <w:r>
        <w:rPr>
          <w:noProof/>
        </w:rPr>
        <w:t>Figure 12. Change in export share by HS Section, West Bank &amp; Gaza, 2007–8 and 2009–12</w:t>
      </w:r>
      <w:r>
        <w:rPr>
          <w:noProof/>
        </w:rPr>
        <w:tab/>
      </w:r>
      <w:r>
        <w:rPr>
          <w:noProof/>
        </w:rPr>
        <w:fldChar w:fldCharType="begin"/>
      </w:r>
      <w:r>
        <w:rPr>
          <w:noProof/>
        </w:rPr>
        <w:instrText xml:space="preserve"> PAGEREF _Toc428437714 \h </w:instrText>
      </w:r>
      <w:r>
        <w:rPr>
          <w:noProof/>
        </w:rPr>
      </w:r>
      <w:r>
        <w:rPr>
          <w:noProof/>
        </w:rPr>
        <w:fldChar w:fldCharType="separate"/>
      </w:r>
      <w:r>
        <w:rPr>
          <w:noProof/>
        </w:rPr>
        <w:t>13</w:t>
      </w:r>
      <w:r>
        <w:rPr>
          <w:noProof/>
        </w:rPr>
        <w:fldChar w:fldCharType="end"/>
      </w:r>
    </w:p>
    <w:p w14:paraId="737C3D72" w14:textId="77777777" w:rsidR="00246C81" w:rsidRDefault="00246C81" w:rsidP="00246C81">
      <w:pPr>
        <w:pStyle w:val="TOC3"/>
        <w:rPr>
          <w:rFonts w:asciiTheme="minorHAnsi" w:eastAsiaTheme="minorEastAsia" w:hAnsiTheme="minorHAnsi" w:cstheme="minorBidi"/>
          <w:noProof/>
          <w:sz w:val="22"/>
          <w:lang w:eastAsia="en-GB"/>
        </w:rPr>
      </w:pPr>
      <w:r>
        <w:rPr>
          <w:noProof/>
        </w:rPr>
        <w:t>Figure 13. Top export products, West Bank &amp; Gaza (average 2010–12)</w:t>
      </w:r>
      <w:r>
        <w:rPr>
          <w:noProof/>
        </w:rPr>
        <w:tab/>
      </w:r>
      <w:r>
        <w:rPr>
          <w:noProof/>
        </w:rPr>
        <w:fldChar w:fldCharType="begin"/>
      </w:r>
      <w:r>
        <w:rPr>
          <w:noProof/>
        </w:rPr>
        <w:instrText xml:space="preserve"> PAGEREF _Toc428437715 \h </w:instrText>
      </w:r>
      <w:r>
        <w:rPr>
          <w:noProof/>
        </w:rPr>
      </w:r>
      <w:r>
        <w:rPr>
          <w:noProof/>
        </w:rPr>
        <w:fldChar w:fldCharType="separate"/>
      </w:r>
      <w:r>
        <w:rPr>
          <w:noProof/>
        </w:rPr>
        <w:t>14</w:t>
      </w:r>
      <w:r>
        <w:rPr>
          <w:noProof/>
        </w:rPr>
        <w:fldChar w:fldCharType="end"/>
      </w:r>
    </w:p>
    <w:p w14:paraId="004E467D" w14:textId="77777777" w:rsidR="00246C81" w:rsidRDefault="00246C81" w:rsidP="00246C81">
      <w:pPr>
        <w:pStyle w:val="TOC3"/>
        <w:rPr>
          <w:rFonts w:asciiTheme="minorHAnsi" w:eastAsiaTheme="minorEastAsia" w:hAnsiTheme="minorHAnsi" w:cstheme="minorBidi"/>
          <w:noProof/>
          <w:sz w:val="22"/>
          <w:lang w:eastAsia="en-GB"/>
        </w:rPr>
      </w:pPr>
      <w:r>
        <w:rPr>
          <w:noProof/>
        </w:rPr>
        <w:t>Figure 14. Top export markets, West Bank &amp; Gaza (average 2010–12)</w:t>
      </w:r>
      <w:r>
        <w:rPr>
          <w:noProof/>
        </w:rPr>
        <w:tab/>
      </w:r>
      <w:r>
        <w:rPr>
          <w:noProof/>
        </w:rPr>
        <w:fldChar w:fldCharType="begin"/>
      </w:r>
      <w:r>
        <w:rPr>
          <w:noProof/>
        </w:rPr>
        <w:instrText xml:space="preserve"> PAGEREF _Toc428437716 \h </w:instrText>
      </w:r>
      <w:r>
        <w:rPr>
          <w:noProof/>
        </w:rPr>
      </w:r>
      <w:r>
        <w:rPr>
          <w:noProof/>
        </w:rPr>
        <w:fldChar w:fldCharType="separate"/>
      </w:r>
      <w:r>
        <w:rPr>
          <w:noProof/>
        </w:rPr>
        <w:t>14</w:t>
      </w:r>
      <w:r>
        <w:rPr>
          <w:noProof/>
        </w:rPr>
        <w:fldChar w:fldCharType="end"/>
      </w:r>
    </w:p>
    <w:p w14:paraId="55F2D77D" w14:textId="77777777" w:rsidR="00246C81" w:rsidRDefault="00246C81" w:rsidP="00246C81">
      <w:pPr>
        <w:pStyle w:val="TOC3"/>
        <w:rPr>
          <w:rFonts w:asciiTheme="minorHAnsi" w:eastAsiaTheme="minorEastAsia" w:hAnsiTheme="minorHAnsi" w:cstheme="minorBidi"/>
          <w:noProof/>
          <w:sz w:val="22"/>
          <w:lang w:eastAsia="en-GB"/>
        </w:rPr>
      </w:pPr>
      <w:r>
        <w:rPr>
          <w:noProof/>
        </w:rPr>
        <w:t>Figure 15. Imports by broad HS Section, West Bank &amp; Gaza, 2007–8 and 2009–12</w:t>
      </w:r>
      <w:r>
        <w:rPr>
          <w:noProof/>
        </w:rPr>
        <w:tab/>
      </w:r>
      <w:r>
        <w:rPr>
          <w:noProof/>
        </w:rPr>
        <w:fldChar w:fldCharType="begin"/>
      </w:r>
      <w:r>
        <w:rPr>
          <w:noProof/>
        </w:rPr>
        <w:instrText xml:space="preserve"> PAGEREF _Toc428437717 \h </w:instrText>
      </w:r>
      <w:r>
        <w:rPr>
          <w:noProof/>
        </w:rPr>
      </w:r>
      <w:r>
        <w:rPr>
          <w:noProof/>
        </w:rPr>
        <w:fldChar w:fldCharType="separate"/>
      </w:r>
      <w:r>
        <w:rPr>
          <w:noProof/>
        </w:rPr>
        <w:t>15</w:t>
      </w:r>
      <w:r>
        <w:rPr>
          <w:noProof/>
        </w:rPr>
        <w:fldChar w:fldCharType="end"/>
      </w:r>
    </w:p>
    <w:p w14:paraId="6041CB73" w14:textId="77777777" w:rsidR="00246C81" w:rsidRDefault="00246C81" w:rsidP="00246C81">
      <w:pPr>
        <w:pStyle w:val="TOC3"/>
        <w:rPr>
          <w:rFonts w:asciiTheme="minorHAnsi" w:eastAsiaTheme="minorEastAsia" w:hAnsiTheme="minorHAnsi" w:cstheme="minorBidi"/>
          <w:noProof/>
          <w:sz w:val="22"/>
          <w:lang w:eastAsia="en-GB"/>
        </w:rPr>
      </w:pPr>
      <w:r>
        <w:rPr>
          <w:noProof/>
        </w:rPr>
        <w:lastRenderedPageBreak/>
        <w:t>Figure 16. Change in import share by HS Section, West Bank &amp; Gaza, 2007–8 and 2009–12</w:t>
      </w:r>
      <w:r>
        <w:rPr>
          <w:noProof/>
        </w:rPr>
        <w:tab/>
      </w:r>
      <w:r>
        <w:rPr>
          <w:noProof/>
        </w:rPr>
        <w:fldChar w:fldCharType="begin"/>
      </w:r>
      <w:r>
        <w:rPr>
          <w:noProof/>
        </w:rPr>
        <w:instrText xml:space="preserve"> PAGEREF _Toc428437718 \h </w:instrText>
      </w:r>
      <w:r>
        <w:rPr>
          <w:noProof/>
        </w:rPr>
      </w:r>
      <w:r>
        <w:rPr>
          <w:noProof/>
        </w:rPr>
        <w:fldChar w:fldCharType="separate"/>
      </w:r>
      <w:r>
        <w:rPr>
          <w:noProof/>
        </w:rPr>
        <w:t>16</w:t>
      </w:r>
      <w:r>
        <w:rPr>
          <w:noProof/>
        </w:rPr>
        <w:fldChar w:fldCharType="end"/>
      </w:r>
    </w:p>
    <w:p w14:paraId="5726D85D" w14:textId="77777777" w:rsidR="00246C81" w:rsidRDefault="00246C81" w:rsidP="00246C81">
      <w:pPr>
        <w:pStyle w:val="TOC3"/>
        <w:rPr>
          <w:rFonts w:asciiTheme="minorHAnsi" w:eastAsiaTheme="minorEastAsia" w:hAnsiTheme="minorHAnsi" w:cstheme="minorBidi"/>
          <w:noProof/>
          <w:sz w:val="22"/>
          <w:lang w:eastAsia="en-GB"/>
        </w:rPr>
      </w:pPr>
      <w:r>
        <w:rPr>
          <w:noProof/>
        </w:rPr>
        <w:t>Figure 17. Top import products, West Bank &amp; Gaza (average 2010–12)</w:t>
      </w:r>
      <w:r>
        <w:rPr>
          <w:noProof/>
        </w:rPr>
        <w:tab/>
      </w:r>
      <w:r>
        <w:rPr>
          <w:noProof/>
        </w:rPr>
        <w:fldChar w:fldCharType="begin"/>
      </w:r>
      <w:r>
        <w:rPr>
          <w:noProof/>
        </w:rPr>
        <w:instrText xml:space="preserve"> PAGEREF _Toc428437719 \h </w:instrText>
      </w:r>
      <w:r>
        <w:rPr>
          <w:noProof/>
        </w:rPr>
      </w:r>
      <w:r>
        <w:rPr>
          <w:noProof/>
        </w:rPr>
        <w:fldChar w:fldCharType="separate"/>
      </w:r>
      <w:r>
        <w:rPr>
          <w:noProof/>
        </w:rPr>
        <w:t>17</w:t>
      </w:r>
      <w:r>
        <w:rPr>
          <w:noProof/>
        </w:rPr>
        <w:fldChar w:fldCharType="end"/>
      </w:r>
    </w:p>
    <w:p w14:paraId="08473C9C" w14:textId="77777777" w:rsidR="00246C81" w:rsidRDefault="00246C81" w:rsidP="00246C81">
      <w:pPr>
        <w:pStyle w:val="TOC3"/>
        <w:rPr>
          <w:rFonts w:asciiTheme="minorHAnsi" w:eastAsiaTheme="minorEastAsia" w:hAnsiTheme="minorHAnsi" w:cstheme="minorBidi"/>
          <w:noProof/>
          <w:sz w:val="22"/>
          <w:lang w:eastAsia="en-GB"/>
        </w:rPr>
      </w:pPr>
      <w:r>
        <w:rPr>
          <w:noProof/>
        </w:rPr>
        <w:t>Figure 18. Top import sources, West Bank &amp; Gaza (average 2010–12)</w:t>
      </w:r>
      <w:r>
        <w:rPr>
          <w:noProof/>
        </w:rPr>
        <w:tab/>
      </w:r>
      <w:r>
        <w:rPr>
          <w:noProof/>
        </w:rPr>
        <w:fldChar w:fldCharType="begin"/>
      </w:r>
      <w:r>
        <w:rPr>
          <w:noProof/>
        </w:rPr>
        <w:instrText xml:space="preserve"> PAGEREF _Toc428437720 \h </w:instrText>
      </w:r>
      <w:r>
        <w:rPr>
          <w:noProof/>
        </w:rPr>
      </w:r>
      <w:r>
        <w:rPr>
          <w:noProof/>
        </w:rPr>
        <w:fldChar w:fldCharType="separate"/>
      </w:r>
      <w:r>
        <w:rPr>
          <w:noProof/>
        </w:rPr>
        <w:t>17</w:t>
      </w:r>
      <w:r>
        <w:rPr>
          <w:noProof/>
        </w:rPr>
        <w:fldChar w:fldCharType="end"/>
      </w:r>
    </w:p>
    <w:p w14:paraId="2FECD177" w14:textId="77777777" w:rsidR="00246C81" w:rsidRDefault="00246C81">
      <w:pPr>
        <w:pStyle w:val="TOC2"/>
        <w:rPr>
          <w:rFonts w:asciiTheme="minorHAnsi" w:eastAsiaTheme="minorEastAsia" w:hAnsiTheme="minorHAnsi" w:cstheme="minorBidi"/>
          <w:b w:val="0"/>
          <w:noProof/>
          <w:color w:val="auto"/>
          <w:sz w:val="22"/>
          <w:lang w:eastAsia="en-GB"/>
        </w:rPr>
      </w:pPr>
      <w:r>
        <w:rPr>
          <w:noProof/>
        </w:rPr>
        <w:t>Diversification</w:t>
      </w:r>
      <w:r>
        <w:rPr>
          <w:noProof/>
        </w:rPr>
        <w:tab/>
      </w:r>
      <w:r>
        <w:rPr>
          <w:noProof/>
        </w:rPr>
        <w:fldChar w:fldCharType="begin"/>
      </w:r>
      <w:r>
        <w:rPr>
          <w:noProof/>
        </w:rPr>
        <w:instrText xml:space="preserve"> PAGEREF _Toc428437721 \h </w:instrText>
      </w:r>
      <w:r>
        <w:rPr>
          <w:noProof/>
        </w:rPr>
      </w:r>
      <w:r>
        <w:rPr>
          <w:noProof/>
        </w:rPr>
        <w:fldChar w:fldCharType="separate"/>
      </w:r>
      <w:r>
        <w:rPr>
          <w:noProof/>
        </w:rPr>
        <w:t>18</w:t>
      </w:r>
      <w:r>
        <w:rPr>
          <w:noProof/>
        </w:rPr>
        <w:fldChar w:fldCharType="end"/>
      </w:r>
    </w:p>
    <w:p w14:paraId="2B2C7CD3" w14:textId="77777777" w:rsidR="00246C81" w:rsidRDefault="00246C81" w:rsidP="00246C81">
      <w:pPr>
        <w:pStyle w:val="TOC3"/>
        <w:rPr>
          <w:rFonts w:asciiTheme="minorHAnsi" w:eastAsiaTheme="minorEastAsia" w:hAnsiTheme="minorHAnsi" w:cstheme="minorBidi"/>
          <w:noProof/>
          <w:sz w:val="22"/>
          <w:lang w:eastAsia="en-GB"/>
        </w:rPr>
      </w:pPr>
      <w:r>
        <w:rPr>
          <w:noProof/>
        </w:rPr>
        <w:t>Figure 19. Number of export items and markets, West Bank &amp; Gaza, 2007–12</w:t>
      </w:r>
      <w:r>
        <w:rPr>
          <w:noProof/>
        </w:rPr>
        <w:tab/>
      </w:r>
      <w:r>
        <w:rPr>
          <w:noProof/>
        </w:rPr>
        <w:fldChar w:fldCharType="begin"/>
      </w:r>
      <w:r>
        <w:rPr>
          <w:noProof/>
        </w:rPr>
        <w:instrText xml:space="preserve"> PAGEREF _Toc428437722 \h </w:instrText>
      </w:r>
      <w:r>
        <w:rPr>
          <w:noProof/>
        </w:rPr>
      </w:r>
      <w:r>
        <w:rPr>
          <w:noProof/>
        </w:rPr>
        <w:fldChar w:fldCharType="separate"/>
      </w:r>
      <w:r>
        <w:rPr>
          <w:noProof/>
        </w:rPr>
        <w:t>18</w:t>
      </w:r>
      <w:r>
        <w:rPr>
          <w:noProof/>
        </w:rPr>
        <w:fldChar w:fldCharType="end"/>
      </w:r>
    </w:p>
    <w:p w14:paraId="64BD8623" w14:textId="77777777" w:rsidR="00246C81" w:rsidRDefault="00246C81" w:rsidP="00246C81">
      <w:pPr>
        <w:pStyle w:val="TOC3"/>
        <w:rPr>
          <w:rFonts w:asciiTheme="minorHAnsi" w:eastAsiaTheme="minorEastAsia" w:hAnsiTheme="minorHAnsi" w:cstheme="minorBidi"/>
          <w:noProof/>
          <w:sz w:val="22"/>
          <w:lang w:eastAsia="en-GB"/>
        </w:rPr>
      </w:pPr>
      <w:r>
        <w:rPr>
          <w:noProof/>
        </w:rPr>
        <w:t>Figure 20. Number of import items and suppliers, West Bank &amp; Gaza, 2007–12</w:t>
      </w:r>
      <w:r>
        <w:rPr>
          <w:noProof/>
        </w:rPr>
        <w:tab/>
      </w:r>
      <w:r>
        <w:rPr>
          <w:noProof/>
        </w:rPr>
        <w:fldChar w:fldCharType="begin"/>
      </w:r>
      <w:r>
        <w:rPr>
          <w:noProof/>
        </w:rPr>
        <w:instrText xml:space="preserve"> PAGEREF _Toc428437723 \h </w:instrText>
      </w:r>
      <w:r>
        <w:rPr>
          <w:noProof/>
        </w:rPr>
      </w:r>
      <w:r>
        <w:rPr>
          <w:noProof/>
        </w:rPr>
        <w:fldChar w:fldCharType="separate"/>
      </w:r>
      <w:r>
        <w:rPr>
          <w:noProof/>
        </w:rPr>
        <w:t>18</w:t>
      </w:r>
      <w:r>
        <w:rPr>
          <w:noProof/>
        </w:rPr>
        <w:fldChar w:fldCharType="end"/>
      </w:r>
    </w:p>
    <w:p w14:paraId="55CFE499" w14:textId="77777777" w:rsidR="00246C81" w:rsidRDefault="00246C81">
      <w:pPr>
        <w:pStyle w:val="TOC2"/>
        <w:rPr>
          <w:rFonts w:asciiTheme="minorHAnsi" w:eastAsiaTheme="minorEastAsia" w:hAnsiTheme="minorHAnsi" w:cstheme="minorBidi"/>
          <w:b w:val="0"/>
          <w:noProof/>
          <w:color w:val="auto"/>
          <w:sz w:val="22"/>
          <w:lang w:eastAsia="en-GB"/>
        </w:rPr>
      </w:pPr>
      <w:r>
        <w:rPr>
          <w:noProof/>
        </w:rPr>
        <w:t>Revealed comparative advantage</w:t>
      </w:r>
      <w:r>
        <w:rPr>
          <w:noProof/>
        </w:rPr>
        <w:tab/>
      </w:r>
      <w:r>
        <w:rPr>
          <w:noProof/>
        </w:rPr>
        <w:fldChar w:fldCharType="begin"/>
      </w:r>
      <w:r>
        <w:rPr>
          <w:noProof/>
        </w:rPr>
        <w:instrText xml:space="preserve"> PAGEREF _Toc428437724 \h </w:instrText>
      </w:r>
      <w:r>
        <w:rPr>
          <w:noProof/>
        </w:rPr>
      </w:r>
      <w:r>
        <w:rPr>
          <w:noProof/>
        </w:rPr>
        <w:fldChar w:fldCharType="separate"/>
      </w:r>
      <w:r>
        <w:rPr>
          <w:noProof/>
        </w:rPr>
        <w:t>19</w:t>
      </w:r>
      <w:r>
        <w:rPr>
          <w:noProof/>
        </w:rPr>
        <w:fldChar w:fldCharType="end"/>
      </w:r>
    </w:p>
    <w:p w14:paraId="2381B366" w14:textId="77777777" w:rsidR="00246C81" w:rsidRDefault="00246C81" w:rsidP="00246C81">
      <w:pPr>
        <w:pStyle w:val="TOC3"/>
        <w:rPr>
          <w:rFonts w:asciiTheme="minorHAnsi" w:eastAsiaTheme="minorEastAsia" w:hAnsiTheme="minorHAnsi" w:cstheme="minorBidi"/>
          <w:noProof/>
          <w:sz w:val="22"/>
          <w:lang w:eastAsia="en-GB"/>
        </w:rPr>
      </w:pPr>
      <w:r>
        <w:rPr>
          <w:noProof/>
        </w:rPr>
        <w:t>Table 5. Revealed comparative advantage by HS Section, West Bank &amp; Gaza</w:t>
      </w:r>
      <w:r>
        <w:rPr>
          <w:noProof/>
        </w:rPr>
        <w:tab/>
      </w:r>
      <w:r>
        <w:rPr>
          <w:noProof/>
        </w:rPr>
        <w:fldChar w:fldCharType="begin"/>
      </w:r>
      <w:r>
        <w:rPr>
          <w:noProof/>
        </w:rPr>
        <w:instrText xml:space="preserve"> PAGEREF _Toc428437725 \h </w:instrText>
      </w:r>
      <w:r>
        <w:rPr>
          <w:noProof/>
        </w:rPr>
      </w:r>
      <w:r>
        <w:rPr>
          <w:noProof/>
        </w:rPr>
        <w:fldChar w:fldCharType="separate"/>
      </w:r>
      <w:r>
        <w:rPr>
          <w:noProof/>
        </w:rPr>
        <w:t>19</w:t>
      </w:r>
      <w:r>
        <w:rPr>
          <w:noProof/>
        </w:rPr>
        <w:fldChar w:fldCharType="end"/>
      </w:r>
    </w:p>
    <w:p w14:paraId="41CC2686" w14:textId="77777777" w:rsidR="00246C81" w:rsidRDefault="00246C81">
      <w:pPr>
        <w:pStyle w:val="TOC2"/>
        <w:rPr>
          <w:rFonts w:asciiTheme="minorHAnsi" w:eastAsiaTheme="minorEastAsia" w:hAnsiTheme="minorHAnsi" w:cstheme="minorBidi"/>
          <w:b w:val="0"/>
          <w:noProof/>
          <w:color w:val="auto"/>
          <w:sz w:val="22"/>
          <w:lang w:eastAsia="en-GB"/>
        </w:rPr>
      </w:pPr>
      <w:r>
        <w:rPr>
          <w:noProof/>
        </w:rPr>
        <w:t>Trade in value added</w:t>
      </w:r>
      <w:r>
        <w:rPr>
          <w:noProof/>
        </w:rPr>
        <w:tab/>
      </w:r>
      <w:r>
        <w:rPr>
          <w:noProof/>
        </w:rPr>
        <w:fldChar w:fldCharType="begin"/>
      </w:r>
      <w:r>
        <w:rPr>
          <w:noProof/>
        </w:rPr>
        <w:instrText xml:space="preserve"> PAGEREF _Toc428437726 \h </w:instrText>
      </w:r>
      <w:r>
        <w:rPr>
          <w:noProof/>
        </w:rPr>
      </w:r>
      <w:r>
        <w:rPr>
          <w:noProof/>
        </w:rPr>
        <w:fldChar w:fldCharType="separate"/>
      </w:r>
      <w:r>
        <w:rPr>
          <w:noProof/>
        </w:rPr>
        <w:t>20</w:t>
      </w:r>
      <w:r>
        <w:rPr>
          <w:noProof/>
        </w:rPr>
        <w:fldChar w:fldCharType="end"/>
      </w:r>
    </w:p>
    <w:p w14:paraId="4FEEADAF" w14:textId="77777777" w:rsidR="00246C81" w:rsidRDefault="00246C81" w:rsidP="00246C81">
      <w:pPr>
        <w:pStyle w:val="TOC3"/>
        <w:rPr>
          <w:rFonts w:asciiTheme="minorHAnsi" w:eastAsiaTheme="minorEastAsia" w:hAnsiTheme="minorHAnsi" w:cstheme="minorBidi"/>
          <w:noProof/>
          <w:sz w:val="22"/>
          <w:lang w:eastAsia="en-GB"/>
        </w:rPr>
      </w:pPr>
      <w:r>
        <w:rPr>
          <w:noProof/>
        </w:rPr>
        <w:t>Figure 21. Compound annual growth rate of domestic value added, foreign value added and exports, 1996-2011 and 2006-11, Gaza Strip</w:t>
      </w:r>
      <w:r>
        <w:rPr>
          <w:noProof/>
        </w:rPr>
        <w:tab/>
      </w:r>
      <w:r>
        <w:rPr>
          <w:noProof/>
        </w:rPr>
        <w:fldChar w:fldCharType="begin"/>
      </w:r>
      <w:r>
        <w:rPr>
          <w:noProof/>
        </w:rPr>
        <w:instrText xml:space="preserve"> PAGEREF _Toc428437727 \h </w:instrText>
      </w:r>
      <w:r>
        <w:rPr>
          <w:noProof/>
        </w:rPr>
      </w:r>
      <w:r>
        <w:rPr>
          <w:noProof/>
        </w:rPr>
        <w:fldChar w:fldCharType="separate"/>
      </w:r>
      <w:r>
        <w:rPr>
          <w:noProof/>
        </w:rPr>
        <w:t>20</w:t>
      </w:r>
      <w:r>
        <w:rPr>
          <w:noProof/>
        </w:rPr>
        <w:fldChar w:fldCharType="end"/>
      </w:r>
    </w:p>
    <w:p w14:paraId="1289E599" w14:textId="77777777" w:rsidR="00246C81" w:rsidRDefault="00246C81" w:rsidP="00246C81">
      <w:pPr>
        <w:pStyle w:val="TOC3"/>
        <w:rPr>
          <w:rFonts w:asciiTheme="minorHAnsi" w:eastAsiaTheme="minorEastAsia" w:hAnsiTheme="minorHAnsi" w:cstheme="minorBidi"/>
          <w:noProof/>
          <w:sz w:val="22"/>
          <w:lang w:eastAsia="en-GB"/>
        </w:rPr>
      </w:pPr>
      <w:r>
        <w:rPr>
          <w:noProof/>
        </w:rPr>
        <w:t>Figure 22.</w:t>
      </w:r>
      <w:r w:rsidRPr="00271414">
        <w:rPr>
          <w:noProof/>
        </w:rPr>
        <w:t xml:space="preserve"> Domestic and foreign value added content of gross exports as share of gross exports, 1996, 2000, 2006 and 2011</w:t>
      </w:r>
      <w:r>
        <w:rPr>
          <w:noProof/>
        </w:rPr>
        <w:t>, Gaza Strip</w:t>
      </w:r>
      <w:r>
        <w:rPr>
          <w:noProof/>
        </w:rPr>
        <w:tab/>
      </w:r>
      <w:r>
        <w:rPr>
          <w:noProof/>
        </w:rPr>
        <w:fldChar w:fldCharType="begin"/>
      </w:r>
      <w:r>
        <w:rPr>
          <w:noProof/>
        </w:rPr>
        <w:instrText xml:space="preserve"> PAGEREF _Toc428437728 \h </w:instrText>
      </w:r>
      <w:r>
        <w:rPr>
          <w:noProof/>
        </w:rPr>
      </w:r>
      <w:r>
        <w:rPr>
          <w:noProof/>
        </w:rPr>
        <w:fldChar w:fldCharType="separate"/>
      </w:r>
      <w:r>
        <w:rPr>
          <w:noProof/>
        </w:rPr>
        <w:t>20</w:t>
      </w:r>
      <w:r>
        <w:rPr>
          <w:noProof/>
        </w:rPr>
        <w:fldChar w:fldCharType="end"/>
      </w:r>
    </w:p>
    <w:p w14:paraId="4F39DBF3" w14:textId="77777777" w:rsidR="00246C81" w:rsidRDefault="00246C81" w:rsidP="00246C81">
      <w:pPr>
        <w:pStyle w:val="TOC3"/>
        <w:rPr>
          <w:rFonts w:asciiTheme="minorHAnsi" w:eastAsiaTheme="minorEastAsia" w:hAnsiTheme="minorHAnsi" w:cstheme="minorBidi"/>
          <w:noProof/>
          <w:sz w:val="22"/>
          <w:lang w:eastAsia="en-GB"/>
        </w:rPr>
      </w:pPr>
      <w:r w:rsidRPr="00271414">
        <w:rPr>
          <w:noProof/>
        </w:rPr>
        <w:t>Figure 23. Overall value of domestic and foreign value added, 1996, 2000, 2006 and 2011 (in USD 1,000)</w:t>
      </w:r>
      <w:r>
        <w:rPr>
          <w:noProof/>
        </w:rPr>
        <w:t xml:space="preserve"> , Gaza Strip</w:t>
      </w:r>
      <w:r>
        <w:rPr>
          <w:noProof/>
        </w:rPr>
        <w:tab/>
      </w:r>
      <w:r>
        <w:rPr>
          <w:noProof/>
        </w:rPr>
        <w:fldChar w:fldCharType="begin"/>
      </w:r>
      <w:r>
        <w:rPr>
          <w:noProof/>
        </w:rPr>
        <w:instrText xml:space="preserve"> PAGEREF _Toc428437729 \h </w:instrText>
      </w:r>
      <w:r>
        <w:rPr>
          <w:noProof/>
        </w:rPr>
      </w:r>
      <w:r>
        <w:rPr>
          <w:noProof/>
        </w:rPr>
        <w:fldChar w:fldCharType="separate"/>
      </w:r>
      <w:r>
        <w:rPr>
          <w:noProof/>
        </w:rPr>
        <w:t>20</w:t>
      </w:r>
      <w:r>
        <w:rPr>
          <w:noProof/>
        </w:rPr>
        <w:fldChar w:fldCharType="end"/>
      </w:r>
    </w:p>
    <w:p w14:paraId="79B7CA0C" w14:textId="77777777" w:rsidR="00246C81" w:rsidRDefault="00246C81" w:rsidP="00246C81">
      <w:pPr>
        <w:pStyle w:val="TOC3"/>
        <w:rPr>
          <w:rFonts w:asciiTheme="minorHAnsi" w:eastAsiaTheme="minorEastAsia" w:hAnsiTheme="minorHAnsi" w:cstheme="minorBidi"/>
          <w:noProof/>
          <w:sz w:val="22"/>
          <w:lang w:eastAsia="en-GB"/>
        </w:rPr>
      </w:pPr>
      <w:r w:rsidRPr="00271414">
        <w:rPr>
          <w:noProof/>
        </w:rPr>
        <w:t>Figure 24. Compound annual growth rate of DVA embodied in gross exports by sector, 1996-2011 and 2006-2011</w:t>
      </w:r>
      <w:r>
        <w:rPr>
          <w:noProof/>
        </w:rPr>
        <w:t>, Gaza Strip</w:t>
      </w:r>
      <w:r>
        <w:rPr>
          <w:noProof/>
        </w:rPr>
        <w:tab/>
      </w:r>
      <w:r>
        <w:rPr>
          <w:noProof/>
        </w:rPr>
        <w:fldChar w:fldCharType="begin"/>
      </w:r>
      <w:r>
        <w:rPr>
          <w:noProof/>
        </w:rPr>
        <w:instrText xml:space="preserve"> PAGEREF _Toc428437730 \h </w:instrText>
      </w:r>
      <w:r>
        <w:rPr>
          <w:noProof/>
        </w:rPr>
      </w:r>
      <w:r>
        <w:rPr>
          <w:noProof/>
        </w:rPr>
        <w:fldChar w:fldCharType="separate"/>
      </w:r>
      <w:r>
        <w:rPr>
          <w:noProof/>
        </w:rPr>
        <w:t>21</w:t>
      </w:r>
      <w:r>
        <w:rPr>
          <w:noProof/>
        </w:rPr>
        <w:fldChar w:fldCharType="end"/>
      </w:r>
    </w:p>
    <w:p w14:paraId="1ACF2739" w14:textId="77777777" w:rsidR="00246C81" w:rsidRDefault="00246C81" w:rsidP="00246C81">
      <w:pPr>
        <w:pStyle w:val="TOC3"/>
        <w:rPr>
          <w:rFonts w:asciiTheme="minorHAnsi" w:eastAsiaTheme="minorEastAsia" w:hAnsiTheme="minorHAnsi" w:cstheme="minorBidi"/>
          <w:noProof/>
          <w:sz w:val="22"/>
          <w:lang w:eastAsia="en-GB"/>
        </w:rPr>
      </w:pPr>
      <w:r>
        <w:rPr>
          <w:noProof/>
        </w:rPr>
        <w:t>Figure 25.</w:t>
      </w:r>
      <w:r w:rsidRPr="00271414">
        <w:rPr>
          <w:noProof/>
        </w:rPr>
        <w:t xml:space="preserve"> Sectoral DVA embodied in exports as a share of sectoral gross exports, 2000 and 2011</w:t>
      </w:r>
      <w:r>
        <w:rPr>
          <w:noProof/>
        </w:rPr>
        <w:t>, Gaza Strip</w:t>
      </w:r>
      <w:r>
        <w:rPr>
          <w:noProof/>
        </w:rPr>
        <w:tab/>
      </w:r>
      <w:r>
        <w:rPr>
          <w:noProof/>
        </w:rPr>
        <w:fldChar w:fldCharType="begin"/>
      </w:r>
      <w:r>
        <w:rPr>
          <w:noProof/>
        </w:rPr>
        <w:instrText xml:space="preserve"> PAGEREF _Toc428437731 \h </w:instrText>
      </w:r>
      <w:r>
        <w:rPr>
          <w:noProof/>
        </w:rPr>
      </w:r>
      <w:r>
        <w:rPr>
          <w:noProof/>
        </w:rPr>
        <w:fldChar w:fldCharType="separate"/>
      </w:r>
      <w:r>
        <w:rPr>
          <w:noProof/>
        </w:rPr>
        <w:t>21</w:t>
      </w:r>
      <w:r>
        <w:rPr>
          <w:noProof/>
        </w:rPr>
        <w:fldChar w:fldCharType="end"/>
      </w:r>
    </w:p>
    <w:p w14:paraId="182068BC" w14:textId="77777777" w:rsidR="00246C81" w:rsidRDefault="00246C81" w:rsidP="00246C81">
      <w:pPr>
        <w:pStyle w:val="TOC3"/>
        <w:rPr>
          <w:rFonts w:asciiTheme="minorHAnsi" w:eastAsiaTheme="minorEastAsia" w:hAnsiTheme="minorHAnsi" w:cstheme="minorBidi"/>
          <w:noProof/>
          <w:sz w:val="22"/>
          <w:lang w:eastAsia="en-GB"/>
        </w:rPr>
      </w:pPr>
      <w:r>
        <w:rPr>
          <w:noProof/>
        </w:rPr>
        <w:t>Figure 26.</w:t>
      </w:r>
      <w:r w:rsidRPr="00271414">
        <w:rPr>
          <w:rFonts w:cs="Arial"/>
          <w:noProof/>
        </w:rPr>
        <w:t xml:space="preserve"> Sectoral DVA as a share of total DVA, 2000 and 2011</w:t>
      </w:r>
      <w:r>
        <w:rPr>
          <w:noProof/>
        </w:rPr>
        <w:t>, Gaza Strip</w:t>
      </w:r>
      <w:r>
        <w:rPr>
          <w:noProof/>
        </w:rPr>
        <w:tab/>
      </w:r>
      <w:r>
        <w:rPr>
          <w:noProof/>
        </w:rPr>
        <w:fldChar w:fldCharType="begin"/>
      </w:r>
      <w:r>
        <w:rPr>
          <w:noProof/>
        </w:rPr>
        <w:instrText xml:space="preserve"> PAGEREF _Toc428437732 \h </w:instrText>
      </w:r>
      <w:r>
        <w:rPr>
          <w:noProof/>
        </w:rPr>
      </w:r>
      <w:r>
        <w:rPr>
          <w:noProof/>
        </w:rPr>
        <w:fldChar w:fldCharType="separate"/>
      </w:r>
      <w:r>
        <w:rPr>
          <w:noProof/>
        </w:rPr>
        <w:t>22</w:t>
      </w:r>
      <w:r>
        <w:rPr>
          <w:noProof/>
        </w:rPr>
        <w:fldChar w:fldCharType="end"/>
      </w:r>
    </w:p>
    <w:p w14:paraId="2E5EC286" w14:textId="77777777" w:rsidR="00246C81" w:rsidRDefault="00246C81" w:rsidP="00246C81">
      <w:pPr>
        <w:pStyle w:val="TOC3"/>
        <w:rPr>
          <w:rFonts w:asciiTheme="minorHAnsi" w:eastAsiaTheme="minorEastAsia" w:hAnsiTheme="minorHAnsi" w:cstheme="minorBidi"/>
          <w:noProof/>
          <w:sz w:val="22"/>
          <w:lang w:eastAsia="en-GB"/>
        </w:rPr>
      </w:pPr>
      <w:r w:rsidRPr="00271414">
        <w:rPr>
          <w:noProof/>
        </w:rPr>
        <w:t>Figure 27. Compound annual growth rate of FVA embodied in gross exports by sector, 1996-2011 and 2006-2011</w:t>
      </w:r>
      <w:r>
        <w:rPr>
          <w:noProof/>
        </w:rPr>
        <w:t>, Gaza Strip</w:t>
      </w:r>
      <w:r>
        <w:rPr>
          <w:noProof/>
        </w:rPr>
        <w:tab/>
      </w:r>
      <w:r>
        <w:rPr>
          <w:noProof/>
        </w:rPr>
        <w:fldChar w:fldCharType="begin"/>
      </w:r>
      <w:r>
        <w:rPr>
          <w:noProof/>
        </w:rPr>
        <w:instrText xml:space="preserve"> PAGEREF _Toc428437733 \h </w:instrText>
      </w:r>
      <w:r>
        <w:rPr>
          <w:noProof/>
        </w:rPr>
      </w:r>
      <w:r>
        <w:rPr>
          <w:noProof/>
        </w:rPr>
        <w:fldChar w:fldCharType="separate"/>
      </w:r>
      <w:r>
        <w:rPr>
          <w:noProof/>
        </w:rPr>
        <w:t>23</w:t>
      </w:r>
      <w:r>
        <w:rPr>
          <w:noProof/>
        </w:rPr>
        <w:fldChar w:fldCharType="end"/>
      </w:r>
    </w:p>
    <w:p w14:paraId="04595A70" w14:textId="77777777" w:rsidR="00246C81" w:rsidRDefault="00246C81" w:rsidP="00246C81">
      <w:pPr>
        <w:pStyle w:val="TOC3"/>
        <w:rPr>
          <w:rFonts w:asciiTheme="minorHAnsi" w:eastAsiaTheme="minorEastAsia" w:hAnsiTheme="minorHAnsi" w:cstheme="minorBidi"/>
          <w:noProof/>
          <w:sz w:val="22"/>
          <w:lang w:eastAsia="en-GB"/>
        </w:rPr>
      </w:pPr>
      <w:r>
        <w:rPr>
          <w:noProof/>
        </w:rPr>
        <w:t>Figure 28.</w:t>
      </w:r>
      <w:r w:rsidRPr="00271414">
        <w:rPr>
          <w:noProof/>
        </w:rPr>
        <w:t xml:space="preserve"> Sectoral FVA embodied in exports as a share of sectoral gross exports, 2000 and 2011</w:t>
      </w:r>
      <w:r>
        <w:rPr>
          <w:noProof/>
        </w:rPr>
        <w:t>, Gaza Strip</w:t>
      </w:r>
      <w:r>
        <w:rPr>
          <w:noProof/>
        </w:rPr>
        <w:tab/>
      </w:r>
      <w:r>
        <w:rPr>
          <w:noProof/>
        </w:rPr>
        <w:fldChar w:fldCharType="begin"/>
      </w:r>
      <w:r>
        <w:rPr>
          <w:noProof/>
        </w:rPr>
        <w:instrText xml:space="preserve"> PAGEREF _Toc428437734 \h </w:instrText>
      </w:r>
      <w:r>
        <w:rPr>
          <w:noProof/>
        </w:rPr>
      </w:r>
      <w:r>
        <w:rPr>
          <w:noProof/>
        </w:rPr>
        <w:fldChar w:fldCharType="separate"/>
      </w:r>
      <w:r>
        <w:rPr>
          <w:noProof/>
        </w:rPr>
        <w:t>23</w:t>
      </w:r>
      <w:r>
        <w:rPr>
          <w:noProof/>
        </w:rPr>
        <w:fldChar w:fldCharType="end"/>
      </w:r>
    </w:p>
    <w:p w14:paraId="72EF204C" w14:textId="77777777" w:rsidR="00246C81" w:rsidRDefault="00246C81" w:rsidP="00246C81">
      <w:pPr>
        <w:pStyle w:val="TOC3"/>
        <w:rPr>
          <w:rFonts w:asciiTheme="minorHAnsi" w:eastAsiaTheme="minorEastAsia" w:hAnsiTheme="minorHAnsi" w:cstheme="minorBidi"/>
          <w:noProof/>
          <w:sz w:val="22"/>
          <w:lang w:eastAsia="en-GB"/>
        </w:rPr>
      </w:pPr>
      <w:r>
        <w:rPr>
          <w:noProof/>
        </w:rPr>
        <w:t>Figure 29.</w:t>
      </w:r>
      <w:r w:rsidRPr="00271414">
        <w:rPr>
          <w:rFonts w:cs="Arial"/>
          <w:noProof/>
        </w:rPr>
        <w:t xml:space="preserve"> Sectoral FVA as a share of total FVA, 2000 and 2011</w:t>
      </w:r>
      <w:r>
        <w:rPr>
          <w:noProof/>
        </w:rPr>
        <w:t>, Gaza Strip</w:t>
      </w:r>
      <w:r>
        <w:rPr>
          <w:noProof/>
        </w:rPr>
        <w:tab/>
      </w:r>
      <w:r>
        <w:rPr>
          <w:noProof/>
        </w:rPr>
        <w:fldChar w:fldCharType="begin"/>
      </w:r>
      <w:r>
        <w:rPr>
          <w:noProof/>
        </w:rPr>
        <w:instrText xml:space="preserve"> PAGEREF _Toc428437735 \h </w:instrText>
      </w:r>
      <w:r>
        <w:rPr>
          <w:noProof/>
        </w:rPr>
      </w:r>
      <w:r>
        <w:rPr>
          <w:noProof/>
        </w:rPr>
        <w:fldChar w:fldCharType="separate"/>
      </w:r>
      <w:r>
        <w:rPr>
          <w:noProof/>
        </w:rPr>
        <w:t>24</w:t>
      </w:r>
      <w:r>
        <w:rPr>
          <w:noProof/>
        </w:rPr>
        <w:fldChar w:fldCharType="end"/>
      </w:r>
    </w:p>
    <w:p w14:paraId="5AB70ADB" w14:textId="77777777" w:rsidR="00246C81" w:rsidRDefault="00246C81">
      <w:pPr>
        <w:pStyle w:val="TOC2"/>
        <w:rPr>
          <w:rFonts w:asciiTheme="minorHAnsi" w:eastAsiaTheme="minorEastAsia" w:hAnsiTheme="minorHAnsi" w:cstheme="minorBidi"/>
          <w:b w:val="0"/>
          <w:noProof/>
          <w:color w:val="auto"/>
          <w:sz w:val="22"/>
          <w:lang w:eastAsia="en-GB"/>
        </w:rPr>
      </w:pPr>
      <w:r>
        <w:rPr>
          <w:noProof/>
        </w:rPr>
        <w:t>Trade in services</w:t>
      </w:r>
      <w:r>
        <w:rPr>
          <w:noProof/>
        </w:rPr>
        <w:tab/>
      </w:r>
      <w:r>
        <w:rPr>
          <w:noProof/>
        </w:rPr>
        <w:fldChar w:fldCharType="begin"/>
      </w:r>
      <w:r>
        <w:rPr>
          <w:noProof/>
        </w:rPr>
        <w:instrText xml:space="preserve"> PAGEREF _Toc428437736 \h </w:instrText>
      </w:r>
      <w:r>
        <w:rPr>
          <w:noProof/>
        </w:rPr>
      </w:r>
      <w:r>
        <w:rPr>
          <w:noProof/>
        </w:rPr>
        <w:fldChar w:fldCharType="separate"/>
      </w:r>
      <w:r>
        <w:rPr>
          <w:noProof/>
        </w:rPr>
        <w:t>25</w:t>
      </w:r>
      <w:r>
        <w:rPr>
          <w:noProof/>
        </w:rPr>
        <w:fldChar w:fldCharType="end"/>
      </w:r>
    </w:p>
    <w:p w14:paraId="3B284827" w14:textId="77777777" w:rsidR="00246C81" w:rsidRDefault="00246C81" w:rsidP="00246C81">
      <w:pPr>
        <w:pStyle w:val="TOC3"/>
        <w:rPr>
          <w:rFonts w:asciiTheme="minorHAnsi" w:eastAsiaTheme="minorEastAsia" w:hAnsiTheme="minorHAnsi" w:cstheme="minorBidi"/>
          <w:noProof/>
          <w:sz w:val="22"/>
          <w:lang w:eastAsia="en-GB"/>
        </w:rPr>
      </w:pPr>
      <w:r>
        <w:rPr>
          <w:noProof/>
        </w:rPr>
        <w:t>Figure 30. Exports of goods and services, West Bank &amp; Gaza</w:t>
      </w:r>
      <w:r>
        <w:rPr>
          <w:noProof/>
        </w:rPr>
        <w:tab/>
      </w:r>
      <w:r>
        <w:rPr>
          <w:noProof/>
        </w:rPr>
        <w:fldChar w:fldCharType="begin"/>
      </w:r>
      <w:r>
        <w:rPr>
          <w:noProof/>
        </w:rPr>
        <w:instrText xml:space="preserve"> PAGEREF _Toc428437737 \h </w:instrText>
      </w:r>
      <w:r>
        <w:rPr>
          <w:noProof/>
        </w:rPr>
      </w:r>
      <w:r>
        <w:rPr>
          <w:noProof/>
        </w:rPr>
        <w:fldChar w:fldCharType="separate"/>
      </w:r>
      <w:r>
        <w:rPr>
          <w:noProof/>
        </w:rPr>
        <w:t>25</w:t>
      </w:r>
      <w:r>
        <w:rPr>
          <w:noProof/>
        </w:rPr>
        <w:fldChar w:fldCharType="end"/>
      </w:r>
    </w:p>
    <w:p w14:paraId="1364DCC8" w14:textId="77777777" w:rsidR="00246C81" w:rsidRDefault="00246C81" w:rsidP="00246C81">
      <w:pPr>
        <w:pStyle w:val="TOC3"/>
        <w:rPr>
          <w:rFonts w:asciiTheme="minorHAnsi" w:eastAsiaTheme="minorEastAsia" w:hAnsiTheme="minorHAnsi" w:cstheme="minorBidi"/>
          <w:noProof/>
          <w:sz w:val="22"/>
          <w:lang w:eastAsia="en-GB"/>
        </w:rPr>
      </w:pPr>
      <w:r>
        <w:rPr>
          <w:noProof/>
        </w:rPr>
        <w:t>Figure 31. Sectoral shares of services exports, West Bank &amp; Gaza</w:t>
      </w:r>
      <w:r>
        <w:rPr>
          <w:noProof/>
        </w:rPr>
        <w:tab/>
      </w:r>
      <w:r>
        <w:rPr>
          <w:noProof/>
        </w:rPr>
        <w:fldChar w:fldCharType="begin"/>
      </w:r>
      <w:r>
        <w:rPr>
          <w:noProof/>
        </w:rPr>
        <w:instrText xml:space="preserve"> PAGEREF _Toc428437738 \h </w:instrText>
      </w:r>
      <w:r>
        <w:rPr>
          <w:noProof/>
        </w:rPr>
      </w:r>
      <w:r>
        <w:rPr>
          <w:noProof/>
        </w:rPr>
        <w:fldChar w:fldCharType="separate"/>
      </w:r>
      <w:r>
        <w:rPr>
          <w:noProof/>
        </w:rPr>
        <w:t>25</w:t>
      </w:r>
      <w:r>
        <w:rPr>
          <w:noProof/>
        </w:rPr>
        <w:fldChar w:fldCharType="end"/>
      </w:r>
    </w:p>
    <w:p w14:paraId="1F76AB9E" w14:textId="77777777" w:rsidR="00246C81" w:rsidRDefault="00246C81">
      <w:pPr>
        <w:pStyle w:val="TOC1"/>
        <w:rPr>
          <w:rFonts w:asciiTheme="minorHAnsi" w:eastAsiaTheme="minorEastAsia" w:hAnsiTheme="minorHAnsi" w:cstheme="minorBidi"/>
          <w:b w:val="0"/>
          <w:noProof/>
          <w:color w:val="auto"/>
          <w:sz w:val="22"/>
          <w:lang w:eastAsia="en-GB"/>
        </w:rPr>
      </w:pPr>
      <w:r>
        <w:rPr>
          <w:noProof/>
        </w:rPr>
        <w:t>Estimates of total factor productivity at firm level</w:t>
      </w:r>
      <w:r>
        <w:rPr>
          <w:noProof/>
        </w:rPr>
        <w:tab/>
      </w:r>
      <w:r>
        <w:rPr>
          <w:noProof/>
        </w:rPr>
        <w:fldChar w:fldCharType="begin"/>
      </w:r>
      <w:r>
        <w:rPr>
          <w:noProof/>
        </w:rPr>
        <w:instrText xml:space="preserve"> PAGEREF _Toc428437739 \h </w:instrText>
      </w:r>
      <w:r>
        <w:rPr>
          <w:noProof/>
        </w:rPr>
      </w:r>
      <w:r>
        <w:rPr>
          <w:noProof/>
        </w:rPr>
        <w:fldChar w:fldCharType="separate"/>
      </w:r>
      <w:r>
        <w:rPr>
          <w:noProof/>
        </w:rPr>
        <w:t>26</w:t>
      </w:r>
      <w:r>
        <w:rPr>
          <w:noProof/>
        </w:rPr>
        <w:fldChar w:fldCharType="end"/>
      </w:r>
    </w:p>
    <w:p w14:paraId="26A28067" w14:textId="77777777" w:rsidR="00246C81" w:rsidRDefault="00246C81" w:rsidP="00246C81">
      <w:pPr>
        <w:pStyle w:val="TOC3"/>
        <w:rPr>
          <w:rFonts w:asciiTheme="minorHAnsi" w:eastAsiaTheme="minorEastAsia" w:hAnsiTheme="minorHAnsi" w:cstheme="minorBidi"/>
          <w:noProof/>
          <w:sz w:val="22"/>
          <w:lang w:eastAsia="en-GB"/>
        </w:rPr>
      </w:pPr>
      <w:r>
        <w:rPr>
          <w:noProof/>
        </w:rPr>
        <w:t>Figure 32. Dispersion in productivity across firms by sector – West Bank &amp; Gaza</w:t>
      </w:r>
      <w:r>
        <w:rPr>
          <w:noProof/>
        </w:rPr>
        <w:tab/>
      </w:r>
      <w:r>
        <w:rPr>
          <w:noProof/>
        </w:rPr>
        <w:fldChar w:fldCharType="begin"/>
      </w:r>
      <w:r>
        <w:rPr>
          <w:noProof/>
        </w:rPr>
        <w:instrText xml:space="preserve"> PAGEREF _Toc428437740 \h </w:instrText>
      </w:r>
      <w:r>
        <w:rPr>
          <w:noProof/>
        </w:rPr>
      </w:r>
      <w:r>
        <w:rPr>
          <w:noProof/>
        </w:rPr>
        <w:fldChar w:fldCharType="separate"/>
      </w:r>
      <w:r>
        <w:rPr>
          <w:noProof/>
        </w:rPr>
        <w:t>26</w:t>
      </w:r>
      <w:r>
        <w:rPr>
          <w:noProof/>
        </w:rPr>
        <w:fldChar w:fldCharType="end"/>
      </w:r>
    </w:p>
    <w:p w14:paraId="4324A524" w14:textId="77777777" w:rsidR="00246C81" w:rsidRDefault="00246C81" w:rsidP="00246C81">
      <w:pPr>
        <w:pStyle w:val="TOC3"/>
        <w:rPr>
          <w:rFonts w:asciiTheme="minorHAnsi" w:eastAsiaTheme="minorEastAsia" w:hAnsiTheme="minorHAnsi" w:cstheme="minorBidi"/>
          <w:noProof/>
          <w:sz w:val="22"/>
          <w:lang w:eastAsia="en-GB"/>
        </w:rPr>
      </w:pPr>
      <w:r>
        <w:rPr>
          <w:noProof/>
        </w:rPr>
        <w:t>Figure 33. Distribution in productivity in West Bank &amp; Gaza – comparing kernel and normal distributions</w:t>
      </w:r>
      <w:r>
        <w:rPr>
          <w:noProof/>
        </w:rPr>
        <w:tab/>
      </w:r>
      <w:r>
        <w:rPr>
          <w:noProof/>
        </w:rPr>
        <w:fldChar w:fldCharType="begin"/>
      </w:r>
      <w:r>
        <w:rPr>
          <w:noProof/>
        </w:rPr>
        <w:instrText xml:space="preserve"> PAGEREF _Toc428437741 \h </w:instrText>
      </w:r>
      <w:r>
        <w:rPr>
          <w:noProof/>
        </w:rPr>
      </w:r>
      <w:r>
        <w:rPr>
          <w:noProof/>
        </w:rPr>
        <w:fldChar w:fldCharType="separate"/>
      </w:r>
      <w:r>
        <w:rPr>
          <w:noProof/>
        </w:rPr>
        <w:t>27</w:t>
      </w:r>
      <w:r>
        <w:rPr>
          <w:noProof/>
        </w:rPr>
        <w:fldChar w:fldCharType="end"/>
      </w:r>
    </w:p>
    <w:p w14:paraId="69249DC5" w14:textId="77777777" w:rsidR="00F515DA" w:rsidRPr="009A2E9A" w:rsidRDefault="004D6FA5" w:rsidP="00246C81">
      <w:pPr>
        <w:pStyle w:val="TOC3"/>
      </w:pPr>
      <w:r w:rsidRPr="001006D4">
        <w:fldChar w:fldCharType="end"/>
      </w:r>
    </w:p>
    <w:p w14:paraId="69249DC6" w14:textId="77777777" w:rsidR="00F515DA" w:rsidRDefault="00F515DA"/>
    <w:p w14:paraId="69249DC7" w14:textId="77777777" w:rsidR="004B0FE9" w:rsidRPr="0010754B" w:rsidRDefault="004B0FE9">
      <w:pPr>
        <w:rPr>
          <w:rFonts w:asciiTheme="majorHAnsi" w:hAnsiTheme="majorHAnsi" w:cstheme="majorHAnsi"/>
        </w:rPr>
        <w:sectPr w:rsidR="004B0FE9" w:rsidRPr="0010754B" w:rsidSect="00B0147A">
          <w:headerReference w:type="default" r:id="rId13"/>
          <w:footerReference w:type="default" r:id="rId14"/>
          <w:headerReference w:type="first" r:id="rId15"/>
          <w:footerReference w:type="first" r:id="rId16"/>
          <w:pgSz w:w="11907" w:h="16839" w:code="9"/>
          <w:pgMar w:top="1469" w:right="2102" w:bottom="1368" w:left="965" w:header="706" w:footer="706" w:gutter="0"/>
          <w:pgNumType w:start="1"/>
          <w:cols w:space="708"/>
          <w:titlePg/>
          <w:docGrid w:linePitch="360"/>
        </w:sectPr>
      </w:pPr>
    </w:p>
    <w:p w14:paraId="69249DC8" w14:textId="77777777" w:rsidR="001228CD" w:rsidRDefault="00B12AEC" w:rsidP="00B12AEC">
      <w:pPr>
        <w:pStyle w:val="Heading1"/>
      </w:pPr>
      <w:bookmarkStart w:id="1" w:name="Start"/>
      <w:bookmarkStart w:id="2" w:name="_Toc428437696"/>
      <w:bookmarkStart w:id="3" w:name="_Toc404327254"/>
      <w:bookmarkStart w:id="4" w:name="_Toc404327348"/>
      <w:bookmarkStart w:id="5" w:name="_Toc404327524"/>
      <w:bookmarkStart w:id="6" w:name="_Toc404327736"/>
      <w:bookmarkEnd w:id="1"/>
      <w:r>
        <w:lastRenderedPageBreak/>
        <w:t>Economic structure</w:t>
      </w:r>
      <w:r w:rsidR="004565AC">
        <w:t>s</w:t>
      </w:r>
      <w:bookmarkEnd w:id="2"/>
    </w:p>
    <w:p w14:paraId="69249DC9" w14:textId="77777777" w:rsidR="001228CD" w:rsidRDefault="001228CD" w:rsidP="00127793">
      <w:pPr>
        <w:pStyle w:val="Caption"/>
      </w:pPr>
    </w:p>
    <w:p w14:paraId="69249DCA" w14:textId="761FC460" w:rsidR="0030081A" w:rsidRDefault="00E65B70" w:rsidP="00BA5FA0">
      <w:pPr>
        <w:pStyle w:val="TableHeading"/>
      </w:pPr>
      <w:bookmarkStart w:id="7" w:name="_Toc404582441"/>
      <w:bookmarkStart w:id="8" w:name="_Toc406411739"/>
      <w:bookmarkStart w:id="9" w:name="_Toc428437697"/>
      <w:r>
        <w:t xml:space="preserve">GDP, </w:t>
      </w:r>
      <w:r w:rsidRPr="00E65B70">
        <w:t>employment</w:t>
      </w:r>
      <w:r>
        <w:t xml:space="preserve"> and relative productivity levels, </w:t>
      </w:r>
      <w:r w:rsidR="006D469D">
        <w:t>West Bank &amp; Gaza</w:t>
      </w:r>
      <w:bookmarkEnd w:id="3"/>
      <w:bookmarkEnd w:id="4"/>
      <w:bookmarkEnd w:id="5"/>
      <w:bookmarkEnd w:id="6"/>
      <w:bookmarkEnd w:id="7"/>
      <w:bookmarkEnd w:id="8"/>
      <w:r w:rsidR="008A6062">
        <w:t xml:space="preserve"> (</w:t>
      </w:r>
      <w:proofErr w:type="spellStart"/>
      <w:r w:rsidR="008A6062">
        <w:t>WDI</w:t>
      </w:r>
      <w:proofErr w:type="spellEnd"/>
      <w:r w:rsidR="008A6062">
        <w:t>/ILO GET data)</w:t>
      </w:r>
      <w:bookmarkEnd w:id="9"/>
    </w:p>
    <w:tbl>
      <w:tblPr>
        <w:tblStyle w:val="ODITable"/>
        <w:tblW w:w="4689" w:type="pct"/>
        <w:tblInd w:w="0" w:type="dxa"/>
        <w:tblLayout w:type="fixed"/>
        <w:tblCellMar>
          <w:top w:w="14" w:type="dxa"/>
          <w:left w:w="0" w:type="dxa"/>
          <w:bottom w:w="14" w:type="dxa"/>
          <w:right w:w="0" w:type="dxa"/>
        </w:tblCellMar>
        <w:tblLook w:val="04A0" w:firstRow="1" w:lastRow="0" w:firstColumn="1" w:lastColumn="0" w:noHBand="0" w:noVBand="1"/>
      </w:tblPr>
      <w:tblGrid>
        <w:gridCol w:w="2693"/>
        <w:gridCol w:w="869"/>
        <w:gridCol w:w="870"/>
        <w:gridCol w:w="870"/>
        <w:gridCol w:w="870"/>
        <w:gridCol w:w="870"/>
        <w:gridCol w:w="869"/>
        <w:gridCol w:w="870"/>
        <w:gridCol w:w="870"/>
        <w:gridCol w:w="870"/>
        <w:gridCol w:w="870"/>
        <w:gridCol w:w="870"/>
        <w:gridCol w:w="870"/>
      </w:tblGrid>
      <w:tr w:rsidR="00A967DF" w:rsidRPr="00E65B70" w14:paraId="69249DCF" w14:textId="77777777" w:rsidTr="008A6062">
        <w:trPr>
          <w:cnfStyle w:val="100000000000" w:firstRow="1" w:lastRow="0" w:firstColumn="0" w:lastColumn="0" w:oddVBand="0" w:evenVBand="0" w:oddHBand="0" w:evenHBand="0" w:firstRowFirstColumn="0" w:firstRowLastColumn="0" w:lastRowFirstColumn="0" w:lastRowLastColumn="0"/>
        </w:trPr>
        <w:tc>
          <w:tcPr>
            <w:tcW w:w="2693" w:type="dxa"/>
            <w:tcBorders>
              <w:right w:val="single" w:sz="4" w:space="0" w:color="auto"/>
            </w:tcBorders>
            <w:noWrap/>
            <w:vAlign w:val="center"/>
          </w:tcPr>
          <w:p w14:paraId="69249DCB" w14:textId="77777777" w:rsidR="00A967DF" w:rsidRPr="00E65B70" w:rsidRDefault="00A967DF" w:rsidP="00A967DF">
            <w:pPr>
              <w:pStyle w:val="TableText"/>
              <w:jc w:val="center"/>
              <w:rPr>
                <w:rFonts w:asciiTheme="majorHAnsi" w:hAnsiTheme="majorHAnsi" w:cstheme="majorHAnsi"/>
                <w:i/>
                <w:szCs w:val="17"/>
                <w:lang w:eastAsia="en-GB"/>
              </w:rPr>
            </w:pPr>
          </w:p>
        </w:tc>
        <w:tc>
          <w:tcPr>
            <w:tcW w:w="3479" w:type="dxa"/>
            <w:gridSpan w:val="4"/>
            <w:tcBorders>
              <w:left w:val="single" w:sz="4" w:space="0" w:color="auto"/>
            </w:tcBorders>
            <w:noWrap/>
            <w:vAlign w:val="center"/>
          </w:tcPr>
          <w:p w14:paraId="69249DCC" w14:textId="77777777" w:rsidR="00A967DF" w:rsidRPr="002E67CD" w:rsidRDefault="00A967DF" w:rsidP="00A967DF">
            <w:pPr>
              <w:jc w:val="center"/>
              <w:rPr>
                <w:rFonts w:asciiTheme="majorHAnsi" w:eastAsia="Times New Roman" w:hAnsiTheme="majorHAnsi" w:cstheme="majorHAnsi"/>
                <w:b w:val="0"/>
                <w:i/>
                <w:iCs/>
                <w:color w:val="000000"/>
                <w:szCs w:val="17"/>
                <w:lang w:eastAsia="en-GB"/>
              </w:rPr>
            </w:pPr>
            <w:r w:rsidRPr="002E67CD">
              <w:rPr>
                <w:rFonts w:asciiTheme="majorHAnsi" w:hAnsiTheme="majorHAnsi" w:cstheme="majorHAnsi"/>
                <w:szCs w:val="17"/>
                <w:lang w:eastAsia="en-GB"/>
              </w:rPr>
              <w:t>Value added (% of GDP)</w:t>
            </w:r>
          </w:p>
        </w:tc>
        <w:tc>
          <w:tcPr>
            <w:tcW w:w="3479" w:type="dxa"/>
            <w:gridSpan w:val="4"/>
            <w:tcBorders>
              <w:left w:val="single" w:sz="4" w:space="0" w:color="auto"/>
            </w:tcBorders>
            <w:noWrap/>
            <w:vAlign w:val="center"/>
          </w:tcPr>
          <w:p w14:paraId="69249DCD" w14:textId="77777777" w:rsidR="00A967DF" w:rsidRPr="002E67CD" w:rsidRDefault="00A967DF" w:rsidP="00A967DF">
            <w:pPr>
              <w:jc w:val="center"/>
              <w:rPr>
                <w:rFonts w:asciiTheme="majorHAnsi" w:eastAsia="Times New Roman" w:hAnsiTheme="majorHAnsi" w:cstheme="majorHAnsi"/>
                <w:i/>
                <w:iCs/>
                <w:color w:val="000000"/>
                <w:szCs w:val="17"/>
                <w:lang w:eastAsia="en-GB"/>
              </w:rPr>
            </w:pPr>
            <w:r w:rsidRPr="002E67CD">
              <w:rPr>
                <w:rFonts w:asciiTheme="majorHAnsi" w:eastAsia="Times New Roman" w:hAnsiTheme="majorHAnsi" w:cstheme="majorHAnsi"/>
                <w:bCs/>
                <w:color w:val="000000"/>
                <w:szCs w:val="17"/>
                <w:lang w:eastAsia="en-GB"/>
              </w:rPr>
              <w:t>% of total employment</w:t>
            </w:r>
          </w:p>
        </w:tc>
        <w:tc>
          <w:tcPr>
            <w:tcW w:w="3480" w:type="dxa"/>
            <w:gridSpan w:val="4"/>
            <w:tcBorders>
              <w:left w:val="single" w:sz="4" w:space="0" w:color="auto"/>
            </w:tcBorders>
            <w:noWrap/>
            <w:vAlign w:val="center"/>
          </w:tcPr>
          <w:p w14:paraId="69249DCE" w14:textId="77777777" w:rsidR="00A967DF" w:rsidRPr="002E67CD" w:rsidRDefault="00A967DF" w:rsidP="00A967DF">
            <w:pPr>
              <w:jc w:val="center"/>
              <w:rPr>
                <w:rFonts w:asciiTheme="majorHAnsi" w:eastAsia="Times New Roman" w:hAnsiTheme="majorHAnsi" w:cstheme="majorHAnsi"/>
                <w:i/>
                <w:iCs/>
                <w:color w:val="000000"/>
                <w:szCs w:val="17"/>
                <w:lang w:eastAsia="en-GB"/>
              </w:rPr>
            </w:pPr>
            <w:r w:rsidRPr="002E67CD">
              <w:rPr>
                <w:rFonts w:asciiTheme="majorHAnsi" w:eastAsia="Times New Roman" w:hAnsiTheme="majorHAnsi" w:cstheme="majorHAnsi"/>
                <w:bCs/>
                <w:color w:val="000000"/>
                <w:szCs w:val="17"/>
                <w:lang w:eastAsia="en-GB"/>
              </w:rPr>
              <w:t>Relative productivity levels</w:t>
            </w:r>
            <w:r w:rsidR="00042E9C">
              <w:rPr>
                <w:rFonts w:asciiTheme="majorHAnsi" w:eastAsia="Times New Roman" w:hAnsiTheme="majorHAnsi" w:cstheme="majorHAnsi"/>
                <w:bCs/>
                <w:color w:val="000000"/>
                <w:szCs w:val="17"/>
                <w:vertAlign w:val="superscript"/>
                <w:lang w:eastAsia="en-GB"/>
              </w:rPr>
              <w:t xml:space="preserve"> d</w:t>
            </w:r>
          </w:p>
        </w:tc>
      </w:tr>
      <w:tr w:rsidR="00A967DF" w:rsidRPr="00E65B70" w14:paraId="69249DDD" w14:textId="77777777" w:rsidTr="008A6062">
        <w:trPr>
          <w:cnfStyle w:val="000000100000" w:firstRow="0" w:lastRow="0" w:firstColumn="0" w:lastColumn="0" w:oddVBand="0" w:evenVBand="0" w:oddHBand="1" w:evenHBand="0" w:firstRowFirstColumn="0" w:firstRowLastColumn="0" w:lastRowFirstColumn="0" w:lastRowLastColumn="0"/>
        </w:trPr>
        <w:tc>
          <w:tcPr>
            <w:tcW w:w="2693" w:type="dxa"/>
            <w:tcBorders>
              <w:top w:val="nil"/>
              <w:bottom w:val="single" w:sz="4" w:space="0" w:color="auto"/>
              <w:right w:val="single" w:sz="4" w:space="0" w:color="auto"/>
            </w:tcBorders>
            <w:shd w:val="clear" w:color="auto" w:fill="E0E0E0" w:themeFill="accent4"/>
            <w:noWrap/>
            <w:vAlign w:val="center"/>
            <w:hideMark/>
          </w:tcPr>
          <w:p w14:paraId="69249DD0" w14:textId="77777777" w:rsidR="00A967DF" w:rsidRPr="00E65B70" w:rsidRDefault="00A967DF" w:rsidP="00A967DF">
            <w:pPr>
              <w:pStyle w:val="TableText"/>
              <w:jc w:val="center"/>
              <w:rPr>
                <w:rFonts w:asciiTheme="majorHAnsi" w:hAnsiTheme="majorHAnsi" w:cstheme="majorHAnsi"/>
                <w:i/>
                <w:szCs w:val="17"/>
                <w:lang w:eastAsia="en-GB"/>
              </w:rPr>
            </w:pPr>
          </w:p>
        </w:tc>
        <w:tc>
          <w:tcPr>
            <w:tcW w:w="869" w:type="dxa"/>
            <w:tcBorders>
              <w:top w:val="nil"/>
              <w:left w:val="single" w:sz="4" w:space="0" w:color="auto"/>
              <w:bottom w:val="single" w:sz="4" w:space="0" w:color="auto"/>
            </w:tcBorders>
            <w:shd w:val="clear" w:color="auto" w:fill="E0E0E0" w:themeFill="accent4"/>
            <w:noWrap/>
            <w:vAlign w:val="center"/>
            <w:hideMark/>
          </w:tcPr>
          <w:p w14:paraId="69249DD1"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w:t>
            </w:r>
          </w:p>
        </w:tc>
        <w:tc>
          <w:tcPr>
            <w:tcW w:w="870" w:type="dxa"/>
            <w:tcBorders>
              <w:top w:val="nil"/>
              <w:bottom w:val="single" w:sz="4" w:space="0" w:color="auto"/>
            </w:tcBorders>
            <w:shd w:val="clear" w:color="auto" w:fill="E0E0E0" w:themeFill="accent4"/>
            <w:noWrap/>
            <w:vAlign w:val="center"/>
            <w:hideMark/>
          </w:tcPr>
          <w:p w14:paraId="69249DD2"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2000</w:t>
            </w:r>
          </w:p>
        </w:tc>
        <w:tc>
          <w:tcPr>
            <w:tcW w:w="870" w:type="dxa"/>
            <w:tcBorders>
              <w:top w:val="nil"/>
              <w:bottom w:val="single" w:sz="4" w:space="0" w:color="auto"/>
            </w:tcBorders>
            <w:shd w:val="clear" w:color="auto" w:fill="E0E0E0" w:themeFill="accent4"/>
            <w:noWrap/>
            <w:vAlign w:val="center"/>
            <w:hideMark/>
          </w:tcPr>
          <w:p w14:paraId="69249DD3"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2006</w:t>
            </w:r>
          </w:p>
        </w:tc>
        <w:tc>
          <w:tcPr>
            <w:tcW w:w="870" w:type="dxa"/>
            <w:tcBorders>
              <w:top w:val="nil"/>
              <w:bottom w:val="single" w:sz="4" w:space="0" w:color="auto"/>
            </w:tcBorders>
            <w:shd w:val="clear" w:color="auto" w:fill="E0E0E0" w:themeFill="accent4"/>
            <w:noWrap/>
            <w:vAlign w:val="center"/>
            <w:hideMark/>
          </w:tcPr>
          <w:p w14:paraId="69249DD4"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2012</w:t>
            </w:r>
          </w:p>
        </w:tc>
        <w:tc>
          <w:tcPr>
            <w:tcW w:w="870" w:type="dxa"/>
            <w:tcBorders>
              <w:top w:val="nil"/>
              <w:left w:val="single" w:sz="4" w:space="0" w:color="auto"/>
              <w:bottom w:val="single" w:sz="4" w:space="0" w:color="auto"/>
            </w:tcBorders>
            <w:shd w:val="clear" w:color="auto" w:fill="E0E0E0" w:themeFill="accent4"/>
            <w:noWrap/>
            <w:vAlign w:val="center"/>
          </w:tcPr>
          <w:p w14:paraId="69249DD5"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w:t>
            </w:r>
          </w:p>
        </w:tc>
        <w:tc>
          <w:tcPr>
            <w:tcW w:w="869" w:type="dxa"/>
            <w:tcBorders>
              <w:top w:val="nil"/>
              <w:bottom w:val="single" w:sz="4" w:space="0" w:color="auto"/>
            </w:tcBorders>
            <w:shd w:val="clear" w:color="auto" w:fill="E0E0E0" w:themeFill="accent4"/>
            <w:noWrap/>
            <w:vAlign w:val="center"/>
          </w:tcPr>
          <w:p w14:paraId="69249DD6"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2000</w:t>
            </w:r>
          </w:p>
        </w:tc>
        <w:tc>
          <w:tcPr>
            <w:tcW w:w="870" w:type="dxa"/>
            <w:tcBorders>
              <w:top w:val="nil"/>
              <w:bottom w:val="single" w:sz="4" w:space="0" w:color="auto"/>
            </w:tcBorders>
            <w:shd w:val="clear" w:color="auto" w:fill="E0E0E0" w:themeFill="accent4"/>
            <w:noWrap/>
            <w:vAlign w:val="center"/>
          </w:tcPr>
          <w:p w14:paraId="69249DD7"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2006</w:t>
            </w:r>
          </w:p>
        </w:tc>
        <w:tc>
          <w:tcPr>
            <w:tcW w:w="870" w:type="dxa"/>
            <w:tcBorders>
              <w:top w:val="nil"/>
              <w:bottom w:val="single" w:sz="4" w:space="0" w:color="auto"/>
            </w:tcBorders>
            <w:shd w:val="clear" w:color="auto" w:fill="E0E0E0" w:themeFill="accent4"/>
            <w:noWrap/>
            <w:vAlign w:val="center"/>
          </w:tcPr>
          <w:p w14:paraId="69249DD8"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2012</w:t>
            </w:r>
          </w:p>
        </w:tc>
        <w:tc>
          <w:tcPr>
            <w:tcW w:w="870" w:type="dxa"/>
            <w:tcBorders>
              <w:top w:val="nil"/>
              <w:left w:val="single" w:sz="4" w:space="0" w:color="auto"/>
              <w:bottom w:val="single" w:sz="4" w:space="0" w:color="auto"/>
            </w:tcBorders>
            <w:shd w:val="clear" w:color="auto" w:fill="E0E0E0" w:themeFill="accent4"/>
            <w:noWrap/>
            <w:vAlign w:val="center"/>
          </w:tcPr>
          <w:p w14:paraId="69249DD9"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w:t>
            </w:r>
          </w:p>
        </w:tc>
        <w:tc>
          <w:tcPr>
            <w:tcW w:w="870" w:type="dxa"/>
            <w:tcBorders>
              <w:top w:val="nil"/>
              <w:bottom w:val="single" w:sz="4" w:space="0" w:color="auto"/>
            </w:tcBorders>
            <w:shd w:val="clear" w:color="auto" w:fill="E0E0E0" w:themeFill="accent4"/>
            <w:noWrap/>
            <w:vAlign w:val="center"/>
          </w:tcPr>
          <w:p w14:paraId="69249DDA"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2000</w:t>
            </w:r>
          </w:p>
        </w:tc>
        <w:tc>
          <w:tcPr>
            <w:tcW w:w="870" w:type="dxa"/>
            <w:tcBorders>
              <w:top w:val="nil"/>
              <w:bottom w:val="single" w:sz="4" w:space="0" w:color="auto"/>
            </w:tcBorders>
            <w:shd w:val="clear" w:color="auto" w:fill="E0E0E0" w:themeFill="accent4"/>
            <w:noWrap/>
            <w:vAlign w:val="center"/>
          </w:tcPr>
          <w:p w14:paraId="69249DDB"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2006</w:t>
            </w:r>
          </w:p>
        </w:tc>
        <w:tc>
          <w:tcPr>
            <w:tcW w:w="870" w:type="dxa"/>
            <w:tcBorders>
              <w:top w:val="nil"/>
              <w:bottom w:val="single" w:sz="4" w:space="0" w:color="auto"/>
            </w:tcBorders>
            <w:shd w:val="clear" w:color="auto" w:fill="E0E0E0" w:themeFill="accent4"/>
            <w:noWrap/>
            <w:vAlign w:val="center"/>
          </w:tcPr>
          <w:p w14:paraId="69249DDC" w14:textId="77777777" w:rsidR="00A967DF" w:rsidRPr="00A967DF" w:rsidRDefault="00A967DF" w:rsidP="00A967DF">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2012</w:t>
            </w:r>
          </w:p>
        </w:tc>
      </w:tr>
      <w:tr w:rsidR="00A967DF" w:rsidRPr="0013568E" w14:paraId="69249DEB" w14:textId="77777777" w:rsidTr="008A6062">
        <w:trPr>
          <w:cnfStyle w:val="000000010000" w:firstRow="0" w:lastRow="0" w:firstColumn="0" w:lastColumn="0" w:oddVBand="0" w:evenVBand="0" w:oddHBand="0" w:evenHBand="1" w:firstRowFirstColumn="0" w:firstRowLastColumn="0" w:lastRowFirstColumn="0" w:lastRowLastColumn="0"/>
        </w:trPr>
        <w:tc>
          <w:tcPr>
            <w:tcW w:w="2693" w:type="dxa"/>
            <w:tcBorders>
              <w:top w:val="single" w:sz="4" w:space="0" w:color="auto"/>
              <w:bottom w:val="nil"/>
              <w:right w:val="single" w:sz="4" w:space="0" w:color="auto"/>
            </w:tcBorders>
            <w:noWrap/>
            <w:vAlign w:val="center"/>
            <w:hideMark/>
          </w:tcPr>
          <w:p w14:paraId="69249DDE" w14:textId="77777777" w:rsidR="00A967DF" w:rsidRPr="002E67CD" w:rsidRDefault="00A967DF" w:rsidP="00A967DF">
            <w:pPr>
              <w:pStyle w:val="TableText"/>
              <w:rPr>
                <w:rFonts w:asciiTheme="majorHAnsi" w:hAnsiTheme="majorHAnsi" w:cstheme="majorHAnsi"/>
                <w:color w:val="000000"/>
                <w:szCs w:val="17"/>
                <w:lang w:eastAsia="en-GB"/>
              </w:rPr>
            </w:pPr>
            <w:r w:rsidRPr="002E67CD">
              <w:rPr>
                <w:rFonts w:asciiTheme="majorHAnsi" w:hAnsiTheme="majorHAnsi" w:cstheme="majorHAnsi"/>
                <w:color w:val="000000"/>
                <w:szCs w:val="17"/>
                <w:lang w:eastAsia="en-GB"/>
              </w:rPr>
              <w:t>Agriculture</w:t>
            </w:r>
            <w:r w:rsidRPr="00D57D60">
              <w:rPr>
                <w:rFonts w:asciiTheme="majorHAnsi" w:hAnsiTheme="majorHAnsi" w:cstheme="majorHAnsi"/>
                <w:color w:val="000000"/>
                <w:szCs w:val="17"/>
                <w:vertAlign w:val="superscript"/>
                <w:lang w:eastAsia="en-GB"/>
              </w:rPr>
              <w:t xml:space="preserve"> a</w:t>
            </w:r>
          </w:p>
        </w:tc>
        <w:tc>
          <w:tcPr>
            <w:tcW w:w="869" w:type="dxa"/>
            <w:tcBorders>
              <w:top w:val="single" w:sz="4" w:space="0" w:color="auto"/>
              <w:left w:val="single" w:sz="4" w:space="0" w:color="auto"/>
              <w:bottom w:val="nil"/>
            </w:tcBorders>
            <w:noWrap/>
            <w:vAlign w:val="center"/>
          </w:tcPr>
          <w:p w14:paraId="69249DDF"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13.4</w:t>
            </w:r>
          </w:p>
        </w:tc>
        <w:tc>
          <w:tcPr>
            <w:tcW w:w="870" w:type="dxa"/>
            <w:tcBorders>
              <w:top w:val="single" w:sz="4" w:space="0" w:color="auto"/>
              <w:bottom w:val="nil"/>
            </w:tcBorders>
            <w:noWrap/>
            <w:vAlign w:val="center"/>
          </w:tcPr>
          <w:p w14:paraId="69249DE0"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11.2</w:t>
            </w:r>
          </w:p>
        </w:tc>
        <w:tc>
          <w:tcPr>
            <w:tcW w:w="870" w:type="dxa"/>
            <w:tcBorders>
              <w:top w:val="single" w:sz="4" w:space="0" w:color="auto"/>
              <w:bottom w:val="nil"/>
            </w:tcBorders>
            <w:noWrap/>
            <w:vAlign w:val="center"/>
          </w:tcPr>
          <w:p w14:paraId="69249DE1"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6.7</w:t>
            </w:r>
          </w:p>
        </w:tc>
        <w:tc>
          <w:tcPr>
            <w:tcW w:w="870" w:type="dxa"/>
            <w:tcBorders>
              <w:top w:val="single" w:sz="4" w:space="0" w:color="auto"/>
              <w:bottom w:val="nil"/>
            </w:tcBorders>
            <w:noWrap/>
            <w:vAlign w:val="center"/>
          </w:tcPr>
          <w:p w14:paraId="69249DE2"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n/a</w:t>
            </w:r>
          </w:p>
        </w:tc>
        <w:tc>
          <w:tcPr>
            <w:tcW w:w="870" w:type="dxa"/>
            <w:tcBorders>
              <w:top w:val="single" w:sz="4" w:space="0" w:color="auto"/>
              <w:left w:val="single" w:sz="4" w:space="0" w:color="auto"/>
              <w:bottom w:val="nil"/>
            </w:tcBorders>
            <w:noWrap/>
            <w:vAlign w:val="center"/>
          </w:tcPr>
          <w:p w14:paraId="69249DE3"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14.3</w:t>
            </w:r>
          </w:p>
        </w:tc>
        <w:tc>
          <w:tcPr>
            <w:tcW w:w="869" w:type="dxa"/>
            <w:tcBorders>
              <w:top w:val="single" w:sz="4" w:space="0" w:color="auto"/>
              <w:bottom w:val="nil"/>
            </w:tcBorders>
            <w:noWrap/>
            <w:vAlign w:val="center"/>
          </w:tcPr>
          <w:p w14:paraId="69249DE4"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13.7</w:t>
            </w:r>
          </w:p>
        </w:tc>
        <w:tc>
          <w:tcPr>
            <w:tcW w:w="870" w:type="dxa"/>
            <w:tcBorders>
              <w:top w:val="single" w:sz="4" w:space="0" w:color="auto"/>
              <w:bottom w:val="nil"/>
            </w:tcBorders>
            <w:noWrap/>
            <w:vAlign w:val="center"/>
          </w:tcPr>
          <w:p w14:paraId="69249DE5"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16.1</w:t>
            </w:r>
          </w:p>
        </w:tc>
        <w:tc>
          <w:tcPr>
            <w:tcW w:w="870" w:type="dxa"/>
            <w:tcBorders>
              <w:top w:val="single" w:sz="4" w:space="0" w:color="auto"/>
              <w:bottom w:val="nil"/>
            </w:tcBorders>
            <w:noWrap/>
            <w:vAlign w:val="center"/>
          </w:tcPr>
          <w:p w14:paraId="69249DE6"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11.5</w:t>
            </w:r>
          </w:p>
        </w:tc>
        <w:tc>
          <w:tcPr>
            <w:tcW w:w="870" w:type="dxa"/>
            <w:tcBorders>
              <w:top w:val="single" w:sz="4" w:space="0" w:color="auto"/>
              <w:left w:val="single" w:sz="4" w:space="0" w:color="auto"/>
              <w:bottom w:val="nil"/>
            </w:tcBorders>
            <w:noWrap/>
            <w:vAlign w:val="center"/>
          </w:tcPr>
          <w:p w14:paraId="69249DE7"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w:t>
            </w:r>
          </w:p>
        </w:tc>
        <w:tc>
          <w:tcPr>
            <w:tcW w:w="870" w:type="dxa"/>
            <w:tcBorders>
              <w:top w:val="single" w:sz="4" w:space="0" w:color="auto"/>
              <w:bottom w:val="nil"/>
            </w:tcBorders>
            <w:noWrap/>
            <w:vAlign w:val="center"/>
          </w:tcPr>
          <w:p w14:paraId="69249DE8"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0.8</w:t>
            </w:r>
          </w:p>
        </w:tc>
        <w:tc>
          <w:tcPr>
            <w:tcW w:w="870" w:type="dxa"/>
            <w:tcBorders>
              <w:top w:val="single" w:sz="4" w:space="0" w:color="auto"/>
              <w:bottom w:val="nil"/>
            </w:tcBorders>
            <w:noWrap/>
            <w:vAlign w:val="center"/>
          </w:tcPr>
          <w:p w14:paraId="69249DE9"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0.4</w:t>
            </w:r>
          </w:p>
        </w:tc>
        <w:tc>
          <w:tcPr>
            <w:tcW w:w="870" w:type="dxa"/>
            <w:tcBorders>
              <w:top w:val="single" w:sz="4" w:space="0" w:color="auto"/>
              <w:bottom w:val="nil"/>
            </w:tcBorders>
            <w:noWrap/>
            <w:vAlign w:val="center"/>
          </w:tcPr>
          <w:p w14:paraId="69249DEA"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0.5</w:t>
            </w:r>
          </w:p>
        </w:tc>
      </w:tr>
      <w:tr w:rsidR="00A967DF" w:rsidRPr="0013568E" w14:paraId="69249DF9" w14:textId="77777777" w:rsidTr="008A6062">
        <w:trPr>
          <w:cnfStyle w:val="000000100000" w:firstRow="0" w:lastRow="0" w:firstColumn="0" w:lastColumn="0" w:oddVBand="0" w:evenVBand="0" w:oddHBand="1" w:evenHBand="0" w:firstRowFirstColumn="0" w:firstRowLastColumn="0" w:lastRowFirstColumn="0" w:lastRowLastColumn="0"/>
        </w:trPr>
        <w:tc>
          <w:tcPr>
            <w:tcW w:w="2693" w:type="dxa"/>
            <w:tcBorders>
              <w:top w:val="nil"/>
              <w:bottom w:val="nil"/>
              <w:right w:val="single" w:sz="4" w:space="0" w:color="auto"/>
            </w:tcBorders>
            <w:noWrap/>
            <w:vAlign w:val="center"/>
            <w:hideMark/>
          </w:tcPr>
          <w:p w14:paraId="69249DEC" w14:textId="77777777" w:rsidR="00A967DF" w:rsidRPr="002E67CD" w:rsidRDefault="00A967DF" w:rsidP="00A967DF">
            <w:pPr>
              <w:pStyle w:val="TableText"/>
              <w:rPr>
                <w:rFonts w:asciiTheme="majorHAnsi" w:hAnsiTheme="majorHAnsi" w:cstheme="majorHAnsi"/>
                <w:color w:val="000000"/>
                <w:szCs w:val="17"/>
                <w:lang w:eastAsia="en-GB"/>
              </w:rPr>
            </w:pPr>
            <w:r w:rsidRPr="002E67CD">
              <w:rPr>
                <w:rFonts w:asciiTheme="majorHAnsi" w:hAnsiTheme="majorHAnsi" w:cstheme="majorHAnsi"/>
                <w:color w:val="000000"/>
                <w:szCs w:val="17"/>
                <w:lang w:eastAsia="en-GB"/>
              </w:rPr>
              <w:t>Industry</w:t>
            </w:r>
            <w:r w:rsidRPr="00D57D60">
              <w:rPr>
                <w:rFonts w:asciiTheme="majorHAnsi" w:hAnsiTheme="majorHAnsi" w:cstheme="majorHAnsi"/>
                <w:color w:val="000000"/>
                <w:szCs w:val="17"/>
                <w:vertAlign w:val="superscript"/>
                <w:lang w:eastAsia="en-GB"/>
              </w:rPr>
              <w:t xml:space="preserve"> b</w:t>
            </w:r>
          </w:p>
        </w:tc>
        <w:tc>
          <w:tcPr>
            <w:tcW w:w="869" w:type="dxa"/>
            <w:tcBorders>
              <w:top w:val="nil"/>
              <w:left w:val="single" w:sz="4" w:space="0" w:color="auto"/>
              <w:bottom w:val="nil"/>
            </w:tcBorders>
            <w:noWrap/>
            <w:vAlign w:val="center"/>
          </w:tcPr>
          <w:p w14:paraId="69249DED"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32.8</w:t>
            </w:r>
          </w:p>
        </w:tc>
        <w:tc>
          <w:tcPr>
            <w:tcW w:w="870" w:type="dxa"/>
            <w:tcBorders>
              <w:top w:val="nil"/>
              <w:bottom w:val="nil"/>
            </w:tcBorders>
            <w:noWrap/>
            <w:vAlign w:val="center"/>
          </w:tcPr>
          <w:p w14:paraId="69249DEE"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25.4</w:t>
            </w:r>
          </w:p>
        </w:tc>
        <w:tc>
          <w:tcPr>
            <w:tcW w:w="870" w:type="dxa"/>
            <w:tcBorders>
              <w:top w:val="nil"/>
              <w:bottom w:val="nil"/>
            </w:tcBorders>
            <w:noWrap/>
            <w:vAlign w:val="center"/>
          </w:tcPr>
          <w:p w14:paraId="69249DEF"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26.9</w:t>
            </w:r>
          </w:p>
        </w:tc>
        <w:tc>
          <w:tcPr>
            <w:tcW w:w="870" w:type="dxa"/>
            <w:tcBorders>
              <w:top w:val="nil"/>
              <w:bottom w:val="nil"/>
            </w:tcBorders>
            <w:noWrap/>
            <w:vAlign w:val="center"/>
          </w:tcPr>
          <w:p w14:paraId="69249DF0"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n/a</w:t>
            </w:r>
          </w:p>
        </w:tc>
        <w:tc>
          <w:tcPr>
            <w:tcW w:w="870" w:type="dxa"/>
            <w:tcBorders>
              <w:top w:val="nil"/>
              <w:left w:val="single" w:sz="4" w:space="0" w:color="auto"/>
              <w:bottom w:val="nil"/>
            </w:tcBorders>
            <w:noWrap/>
            <w:vAlign w:val="center"/>
          </w:tcPr>
          <w:p w14:paraId="69249DF1"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28.4</w:t>
            </w:r>
          </w:p>
        </w:tc>
        <w:tc>
          <w:tcPr>
            <w:tcW w:w="869" w:type="dxa"/>
            <w:tcBorders>
              <w:top w:val="nil"/>
              <w:bottom w:val="nil"/>
            </w:tcBorders>
            <w:noWrap/>
            <w:vAlign w:val="center"/>
          </w:tcPr>
          <w:p w14:paraId="69249DF2"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34.4</w:t>
            </w:r>
          </w:p>
        </w:tc>
        <w:tc>
          <w:tcPr>
            <w:tcW w:w="870" w:type="dxa"/>
            <w:tcBorders>
              <w:top w:val="nil"/>
              <w:bottom w:val="nil"/>
            </w:tcBorders>
            <w:noWrap/>
            <w:vAlign w:val="center"/>
          </w:tcPr>
          <w:p w14:paraId="69249DF3"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23.9</w:t>
            </w:r>
          </w:p>
        </w:tc>
        <w:tc>
          <w:tcPr>
            <w:tcW w:w="870" w:type="dxa"/>
            <w:tcBorders>
              <w:top w:val="nil"/>
              <w:bottom w:val="nil"/>
            </w:tcBorders>
            <w:noWrap/>
            <w:vAlign w:val="center"/>
          </w:tcPr>
          <w:p w14:paraId="69249DF4"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26.3</w:t>
            </w:r>
          </w:p>
        </w:tc>
        <w:tc>
          <w:tcPr>
            <w:tcW w:w="870" w:type="dxa"/>
            <w:tcBorders>
              <w:top w:val="nil"/>
              <w:left w:val="single" w:sz="4" w:space="0" w:color="auto"/>
              <w:bottom w:val="nil"/>
            </w:tcBorders>
            <w:noWrap/>
            <w:vAlign w:val="center"/>
          </w:tcPr>
          <w:p w14:paraId="69249DF5"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0.9</w:t>
            </w:r>
          </w:p>
        </w:tc>
        <w:tc>
          <w:tcPr>
            <w:tcW w:w="870" w:type="dxa"/>
            <w:tcBorders>
              <w:top w:val="nil"/>
              <w:bottom w:val="nil"/>
            </w:tcBorders>
            <w:noWrap/>
            <w:vAlign w:val="center"/>
          </w:tcPr>
          <w:p w14:paraId="69249DF6"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0.7</w:t>
            </w:r>
          </w:p>
        </w:tc>
        <w:tc>
          <w:tcPr>
            <w:tcW w:w="870" w:type="dxa"/>
            <w:tcBorders>
              <w:top w:val="nil"/>
              <w:bottom w:val="nil"/>
            </w:tcBorders>
            <w:noWrap/>
            <w:vAlign w:val="center"/>
          </w:tcPr>
          <w:p w14:paraId="69249DF7"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w:t>
            </w:r>
          </w:p>
        </w:tc>
        <w:tc>
          <w:tcPr>
            <w:tcW w:w="870" w:type="dxa"/>
            <w:tcBorders>
              <w:top w:val="nil"/>
              <w:bottom w:val="nil"/>
            </w:tcBorders>
            <w:noWrap/>
            <w:vAlign w:val="center"/>
          </w:tcPr>
          <w:p w14:paraId="69249DF8"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w:t>
            </w:r>
          </w:p>
        </w:tc>
      </w:tr>
      <w:tr w:rsidR="00A967DF" w:rsidRPr="00A967DF" w14:paraId="69249E07" w14:textId="77777777" w:rsidTr="008A6062">
        <w:trPr>
          <w:cnfStyle w:val="000000010000" w:firstRow="0" w:lastRow="0" w:firstColumn="0" w:lastColumn="0" w:oddVBand="0" w:evenVBand="0" w:oddHBand="0" w:evenHBand="1" w:firstRowFirstColumn="0" w:firstRowLastColumn="0" w:lastRowFirstColumn="0" w:lastRowLastColumn="0"/>
        </w:trPr>
        <w:tc>
          <w:tcPr>
            <w:tcW w:w="2693" w:type="dxa"/>
            <w:tcBorders>
              <w:top w:val="nil"/>
              <w:bottom w:val="nil"/>
              <w:right w:val="single" w:sz="4" w:space="0" w:color="auto"/>
            </w:tcBorders>
            <w:noWrap/>
            <w:vAlign w:val="center"/>
          </w:tcPr>
          <w:p w14:paraId="69249DFA" w14:textId="77777777" w:rsidR="00A967DF" w:rsidRPr="00A967DF" w:rsidRDefault="00A967DF" w:rsidP="00A967DF">
            <w:pPr>
              <w:pStyle w:val="TableText"/>
              <w:rPr>
                <w:rFonts w:asciiTheme="majorHAnsi" w:hAnsiTheme="majorHAnsi" w:cstheme="majorHAnsi"/>
                <w:i/>
                <w:color w:val="000000"/>
                <w:szCs w:val="17"/>
                <w:lang w:eastAsia="en-GB"/>
              </w:rPr>
            </w:pPr>
            <w:r w:rsidRPr="00A967DF">
              <w:rPr>
                <w:rFonts w:asciiTheme="majorHAnsi" w:hAnsiTheme="majorHAnsi" w:cstheme="majorHAnsi"/>
                <w:i/>
                <w:color w:val="000000"/>
                <w:szCs w:val="17"/>
                <w:lang w:eastAsia="en-GB"/>
              </w:rPr>
              <w:t>Of which: Manufacturing</w:t>
            </w:r>
          </w:p>
        </w:tc>
        <w:tc>
          <w:tcPr>
            <w:tcW w:w="869" w:type="dxa"/>
            <w:tcBorders>
              <w:top w:val="nil"/>
              <w:left w:val="single" w:sz="4" w:space="0" w:color="auto"/>
              <w:bottom w:val="nil"/>
            </w:tcBorders>
            <w:noWrap/>
            <w:vAlign w:val="center"/>
          </w:tcPr>
          <w:p w14:paraId="69249DFB"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17.0</w:t>
            </w:r>
          </w:p>
        </w:tc>
        <w:tc>
          <w:tcPr>
            <w:tcW w:w="870" w:type="dxa"/>
            <w:tcBorders>
              <w:top w:val="nil"/>
              <w:bottom w:val="nil"/>
            </w:tcBorders>
            <w:noWrap/>
            <w:vAlign w:val="center"/>
          </w:tcPr>
          <w:p w14:paraId="69249DFC"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12.9</w:t>
            </w:r>
          </w:p>
        </w:tc>
        <w:tc>
          <w:tcPr>
            <w:tcW w:w="870" w:type="dxa"/>
            <w:tcBorders>
              <w:top w:val="nil"/>
              <w:bottom w:val="nil"/>
            </w:tcBorders>
            <w:noWrap/>
            <w:vAlign w:val="center"/>
          </w:tcPr>
          <w:p w14:paraId="69249DFD"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14.2</w:t>
            </w:r>
          </w:p>
        </w:tc>
        <w:tc>
          <w:tcPr>
            <w:tcW w:w="870" w:type="dxa"/>
            <w:tcBorders>
              <w:top w:val="nil"/>
              <w:bottom w:val="nil"/>
            </w:tcBorders>
            <w:noWrap/>
            <w:vAlign w:val="center"/>
          </w:tcPr>
          <w:p w14:paraId="69249DFE"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n/a</w:t>
            </w:r>
          </w:p>
        </w:tc>
        <w:tc>
          <w:tcPr>
            <w:tcW w:w="870" w:type="dxa"/>
            <w:tcBorders>
              <w:top w:val="nil"/>
              <w:left w:val="single" w:sz="4" w:space="0" w:color="auto"/>
              <w:bottom w:val="nil"/>
            </w:tcBorders>
            <w:noWrap/>
            <w:vAlign w:val="center"/>
          </w:tcPr>
          <w:p w14:paraId="69249DFF"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n/a</w:t>
            </w:r>
          </w:p>
        </w:tc>
        <w:tc>
          <w:tcPr>
            <w:tcW w:w="869" w:type="dxa"/>
            <w:tcBorders>
              <w:top w:val="nil"/>
              <w:bottom w:val="nil"/>
            </w:tcBorders>
            <w:noWrap/>
            <w:vAlign w:val="center"/>
          </w:tcPr>
          <w:p w14:paraId="69249E00"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n/a</w:t>
            </w:r>
          </w:p>
        </w:tc>
        <w:tc>
          <w:tcPr>
            <w:tcW w:w="870" w:type="dxa"/>
            <w:tcBorders>
              <w:top w:val="nil"/>
              <w:bottom w:val="nil"/>
            </w:tcBorders>
            <w:noWrap/>
            <w:vAlign w:val="center"/>
          </w:tcPr>
          <w:p w14:paraId="69249E01"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n/a</w:t>
            </w:r>
          </w:p>
        </w:tc>
        <w:tc>
          <w:tcPr>
            <w:tcW w:w="870" w:type="dxa"/>
            <w:tcBorders>
              <w:top w:val="nil"/>
              <w:bottom w:val="nil"/>
            </w:tcBorders>
            <w:noWrap/>
            <w:vAlign w:val="center"/>
          </w:tcPr>
          <w:p w14:paraId="69249E02" w14:textId="77777777" w:rsidR="00A967DF" w:rsidRPr="00A967DF" w:rsidRDefault="00A967DF" w:rsidP="00A967DF">
            <w:pPr>
              <w:ind w:right="144"/>
              <w:jc w:val="right"/>
              <w:rPr>
                <w:rFonts w:asciiTheme="majorHAnsi" w:eastAsia="Times New Roman" w:hAnsiTheme="majorHAnsi" w:cstheme="majorHAnsi"/>
                <w:i/>
                <w:color w:val="000000"/>
                <w:sz w:val="17"/>
                <w:szCs w:val="17"/>
                <w:lang w:eastAsia="en-GB"/>
              </w:rPr>
            </w:pPr>
            <w:r w:rsidRPr="00A967DF">
              <w:rPr>
                <w:rFonts w:asciiTheme="majorHAnsi" w:eastAsia="Times New Roman" w:hAnsiTheme="majorHAnsi" w:cstheme="majorHAnsi"/>
                <w:i/>
                <w:color w:val="000000"/>
                <w:sz w:val="17"/>
                <w:szCs w:val="17"/>
                <w:lang w:eastAsia="en-GB"/>
              </w:rPr>
              <w:t>n/a</w:t>
            </w:r>
          </w:p>
        </w:tc>
        <w:tc>
          <w:tcPr>
            <w:tcW w:w="870" w:type="dxa"/>
            <w:tcBorders>
              <w:top w:val="nil"/>
              <w:left w:val="single" w:sz="4" w:space="0" w:color="auto"/>
              <w:bottom w:val="nil"/>
            </w:tcBorders>
            <w:noWrap/>
            <w:vAlign w:val="center"/>
          </w:tcPr>
          <w:p w14:paraId="69249E03" w14:textId="77777777" w:rsidR="00A967DF" w:rsidRPr="00A967DF" w:rsidRDefault="00A967DF" w:rsidP="00A967DF">
            <w:pPr>
              <w:ind w:right="288"/>
              <w:jc w:val="right"/>
              <w:rPr>
                <w:rFonts w:asciiTheme="majorHAnsi" w:eastAsia="Times New Roman" w:hAnsiTheme="majorHAnsi" w:cstheme="majorHAnsi"/>
                <w:i/>
                <w:sz w:val="17"/>
                <w:szCs w:val="17"/>
                <w:lang w:eastAsia="en-GB"/>
              </w:rPr>
            </w:pPr>
          </w:p>
        </w:tc>
        <w:tc>
          <w:tcPr>
            <w:tcW w:w="870" w:type="dxa"/>
            <w:tcBorders>
              <w:top w:val="nil"/>
              <w:bottom w:val="nil"/>
            </w:tcBorders>
            <w:noWrap/>
            <w:vAlign w:val="center"/>
          </w:tcPr>
          <w:p w14:paraId="69249E04" w14:textId="77777777" w:rsidR="00A967DF" w:rsidRPr="00A967DF" w:rsidRDefault="00A967DF" w:rsidP="00A967DF">
            <w:pPr>
              <w:ind w:right="288"/>
              <w:jc w:val="right"/>
              <w:rPr>
                <w:rFonts w:asciiTheme="majorHAnsi" w:eastAsia="Times New Roman" w:hAnsiTheme="majorHAnsi" w:cstheme="majorHAnsi"/>
                <w:i/>
                <w:sz w:val="17"/>
                <w:szCs w:val="17"/>
                <w:lang w:eastAsia="en-GB"/>
              </w:rPr>
            </w:pPr>
          </w:p>
        </w:tc>
        <w:tc>
          <w:tcPr>
            <w:tcW w:w="870" w:type="dxa"/>
            <w:tcBorders>
              <w:top w:val="nil"/>
              <w:bottom w:val="nil"/>
            </w:tcBorders>
            <w:noWrap/>
            <w:vAlign w:val="center"/>
          </w:tcPr>
          <w:p w14:paraId="69249E05" w14:textId="77777777" w:rsidR="00A967DF" w:rsidRPr="00A967DF" w:rsidRDefault="00A967DF" w:rsidP="00A967DF">
            <w:pPr>
              <w:ind w:right="288"/>
              <w:jc w:val="right"/>
              <w:rPr>
                <w:rFonts w:asciiTheme="majorHAnsi" w:eastAsia="Times New Roman" w:hAnsiTheme="majorHAnsi" w:cstheme="majorHAnsi"/>
                <w:i/>
                <w:sz w:val="17"/>
                <w:szCs w:val="17"/>
                <w:lang w:eastAsia="en-GB"/>
              </w:rPr>
            </w:pPr>
          </w:p>
        </w:tc>
        <w:tc>
          <w:tcPr>
            <w:tcW w:w="870" w:type="dxa"/>
            <w:tcBorders>
              <w:top w:val="nil"/>
              <w:bottom w:val="nil"/>
            </w:tcBorders>
            <w:noWrap/>
            <w:vAlign w:val="center"/>
          </w:tcPr>
          <w:p w14:paraId="69249E06" w14:textId="77777777" w:rsidR="00A967DF" w:rsidRPr="00A967DF" w:rsidRDefault="00A967DF" w:rsidP="00A967DF">
            <w:pPr>
              <w:ind w:right="288"/>
              <w:jc w:val="right"/>
              <w:rPr>
                <w:rFonts w:asciiTheme="majorHAnsi" w:eastAsia="Times New Roman" w:hAnsiTheme="majorHAnsi" w:cstheme="majorHAnsi"/>
                <w:i/>
                <w:sz w:val="17"/>
                <w:szCs w:val="17"/>
                <w:lang w:eastAsia="en-GB"/>
              </w:rPr>
            </w:pPr>
          </w:p>
        </w:tc>
      </w:tr>
      <w:tr w:rsidR="00A967DF" w:rsidRPr="0013568E" w14:paraId="69249E15" w14:textId="77777777" w:rsidTr="008A6062">
        <w:trPr>
          <w:cnfStyle w:val="000000100000" w:firstRow="0" w:lastRow="0" w:firstColumn="0" w:lastColumn="0" w:oddVBand="0" w:evenVBand="0" w:oddHBand="1" w:evenHBand="0" w:firstRowFirstColumn="0" w:firstRowLastColumn="0" w:lastRowFirstColumn="0" w:lastRowLastColumn="0"/>
        </w:trPr>
        <w:tc>
          <w:tcPr>
            <w:tcW w:w="2693" w:type="dxa"/>
            <w:tcBorders>
              <w:top w:val="nil"/>
              <w:bottom w:val="single" w:sz="4" w:space="0" w:color="auto"/>
              <w:right w:val="single" w:sz="4" w:space="0" w:color="auto"/>
            </w:tcBorders>
            <w:noWrap/>
            <w:vAlign w:val="center"/>
            <w:hideMark/>
          </w:tcPr>
          <w:p w14:paraId="69249E08" w14:textId="77777777" w:rsidR="00A967DF" w:rsidRPr="002E67CD" w:rsidRDefault="00A967DF" w:rsidP="00A967DF">
            <w:pPr>
              <w:pStyle w:val="TableText"/>
              <w:rPr>
                <w:rFonts w:asciiTheme="majorHAnsi" w:hAnsiTheme="majorHAnsi" w:cstheme="majorHAnsi"/>
                <w:color w:val="000000"/>
                <w:szCs w:val="17"/>
                <w:lang w:eastAsia="en-GB"/>
              </w:rPr>
            </w:pPr>
            <w:r w:rsidRPr="002E67CD">
              <w:rPr>
                <w:rFonts w:asciiTheme="majorHAnsi" w:hAnsiTheme="majorHAnsi" w:cstheme="majorHAnsi"/>
                <w:color w:val="000000"/>
                <w:szCs w:val="17"/>
                <w:lang w:eastAsia="en-GB"/>
              </w:rPr>
              <w:t>Services</w:t>
            </w:r>
            <w:r>
              <w:rPr>
                <w:rFonts w:asciiTheme="majorHAnsi" w:hAnsiTheme="majorHAnsi" w:cstheme="majorHAnsi"/>
                <w:color w:val="000000"/>
                <w:szCs w:val="17"/>
                <w:vertAlign w:val="superscript"/>
                <w:lang w:eastAsia="en-GB"/>
              </w:rPr>
              <w:t xml:space="preserve"> c</w:t>
            </w:r>
          </w:p>
        </w:tc>
        <w:tc>
          <w:tcPr>
            <w:tcW w:w="869" w:type="dxa"/>
            <w:tcBorders>
              <w:top w:val="nil"/>
              <w:left w:val="single" w:sz="4" w:space="0" w:color="auto"/>
              <w:bottom w:val="single" w:sz="4" w:space="0" w:color="auto"/>
            </w:tcBorders>
            <w:noWrap/>
            <w:vAlign w:val="center"/>
          </w:tcPr>
          <w:p w14:paraId="69249E09"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53.8</w:t>
            </w:r>
          </w:p>
        </w:tc>
        <w:tc>
          <w:tcPr>
            <w:tcW w:w="870" w:type="dxa"/>
            <w:tcBorders>
              <w:top w:val="nil"/>
              <w:bottom w:val="single" w:sz="4" w:space="0" w:color="auto"/>
            </w:tcBorders>
            <w:noWrap/>
            <w:vAlign w:val="center"/>
          </w:tcPr>
          <w:p w14:paraId="69249E0A"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63.4</w:t>
            </w:r>
          </w:p>
        </w:tc>
        <w:tc>
          <w:tcPr>
            <w:tcW w:w="870" w:type="dxa"/>
            <w:tcBorders>
              <w:top w:val="nil"/>
              <w:bottom w:val="single" w:sz="4" w:space="0" w:color="auto"/>
            </w:tcBorders>
            <w:noWrap/>
            <w:vAlign w:val="center"/>
          </w:tcPr>
          <w:p w14:paraId="69249E0B"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66.4</w:t>
            </w:r>
          </w:p>
        </w:tc>
        <w:tc>
          <w:tcPr>
            <w:tcW w:w="870" w:type="dxa"/>
            <w:tcBorders>
              <w:top w:val="nil"/>
              <w:bottom w:val="single" w:sz="4" w:space="0" w:color="auto"/>
            </w:tcBorders>
            <w:noWrap/>
            <w:vAlign w:val="center"/>
          </w:tcPr>
          <w:p w14:paraId="69249E0C"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n/a</w:t>
            </w:r>
          </w:p>
        </w:tc>
        <w:tc>
          <w:tcPr>
            <w:tcW w:w="870" w:type="dxa"/>
            <w:tcBorders>
              <w:top w:val="nil"/>
              <w:left w:val="single" w:sz="4" w:space="0" w:color="auto"/>
              <w:bottom w:val="single" w:sz="4" w:space="0" w:color="auto"/>
            </w:tcBorders>
            <w:noWrap/>
            <w:vAlign w:val="center"/>
          </w:tcPr>
          <w:p w14:paraId="69249E0D"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57.3</w:t>
            </w:r>
          </w:p>
        </w:tc>
        <w:tc>
          <w:tcPr>
            <w:tcW w:w="869" w:type="dxa"/>
            <w:tcBorders>
              <w:top w:val="nil"/>
              <w:bottom w:val="single" w:sz="4" w:space="0" w:color="auto"/>
            </w:tcBorders>
            <w:noWrap/>
            <w:vAlign w:val="center"/>
          </w:tcPr>
          <w:p w14:paraId="69249E0E"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51.9</w:t>
            </w:r>
          </w:p>
        </w:tc>
        <w:tc>
          <w:tcPr>
            <w:tcW w:w="870" w:type="dxa"/>
            <w:tcBorders>
              <w:top w:val="nil"/>
              <w:bottom w:val="single" w:sz="4" w:space="0" w:color="auto"/>
            </w:tcBorders>
            <w:noWrap/>
            <w:vAlign w:val="center"/>
          </w:tcPr>
          <w:p w14:paraId="69249E0F"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60.0</w:t>
            </w:r>
          </w:p>
        </w:tc>
        <w:tc>
          <w:tcPr>
            <w:tcW w:w="870" w:type="dxa"/>
            <w:tcBorders>
              <w:top w:val="nil"/>
              <w:bottom w:val="single" w:sz="4" w:space="0" w:color="auto"/>
            </w:tcBorders>
            <w:noWrap/>
            <w:vAlign w:val="center"/>
          </w:tcPr>
          <w:p w14:paraId="69249E10" w14:textId="77777777" w:rsidR="00A967DF" w:rsidRPr="00A967DF" w:rsidRDefault="00A967DF" w:rsidP="00A967DF">
            <w:pPr>
              <w:ind w:right="144"/>
              <w:jc w:val="right"/>
              <w:rPr>
                <w:rFonts w:asciiTheme="majorHAnsi" w:eastAsia="Times New Roman" w:hAnsiTheme="majorHAnsi" w:cstheme="majorHAnsi"/>
                <w:color w:val="000000"/>
                <w:sz w:val="17"/>
                <w:szCs w:val="17"/>
                <w:lang w:eastAsia="en-GB"/>
              </w:rPr>
            </w:pPr>
            <w:r w:rsidRPr="00A967DF">
              <w:rPr>
                <w:rFonts w:asciiTheme="majorHAnsi" w:eastAsia="Times New Roman" w:hAnsiTheme="majorHAnsi" w:cstheme="majorHAnsi"/>
                <w:color w:val="000000"/>
                <w:sz w:val="17"/>
                <w:szCs w:val="17"/>
                <w:lang w:eastAsia="en-GB"/>
              </w:rPr>
              <w:t>62.2</w:t>
            </w:r>
          </w:p>
        </w:tc>
        <w:tc>
          <w:tcPr>
            <w:tcW w:w="870" w:type="dxa"/>
            <w:tcBorders>
              <w:top w:val="nil"/>
              <w:left w:val="single" w:sz="4" w:space="0" w:color="auto"/>
              <w:bottom w:val="single" w:sz="4" w:space="0" w:color="auto"/>
            </w:tcBorders>
            <w:noWrap/>
            <w:vAlign w:val="center"/>
          </w:tcPr>
          <w:p w14:paraId="69249E11"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1.0</w:t>
            </w:r>
          </w:p>
        </w:tc>
        <w:tc>
          <w:tcPr>
            <w:tcW w:w="870" w:type="dxa"/>
            <w:tcBorders>
              <w:top w:val="nil"/>
              <w:bottom w:val="single" w:sz="4" w:space="0" w:color="auto"/>
            </w:tcBorders>
            <w:noWrap/>
            <w:vAlign w:val="center"/>
          </w:tcPr>
          <w:p w14:paraId="69249E12"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1.3</w:t>
            </w:r>
          </w:p>
        </w:tc>
        <w:tc>
          <w:tcPr>
            <w:tcW w:w="870" w:type="dxa"/>
            <w:tcBorders>
              <w:top w:val="nil"/>
              <w:bottom w:val="single" w:sz="4" w:space="0" w:color="auto"/>
            </w:tcBorders>
            <w:noWrap/>
            <w:vAlign w:val="center"/>
          </w:tcPr>
          <w:p w14:paraId="69249E13"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w:t>
            </w:r>
          </w:p>
        </w:tc>
        <w:tc>
          <w:tcPr>
            <w:tcW w:w="870" w:type="dxa"/>
            <w:tcBorders>
              <w:top w:val="nil"/>
              <w:bottom w:val="single" w:sz="4" w:space="0" w:color="auto"/>
            </w:tcBorders>
            <w:noWrap/>
            <w:vAlign w:val="center"/>
          </w:tcPr>
          <w:p w14:paraId="69249E14" w14:textId="77777777" w:rsidR="00A967DF" w:rsidRPr="00A967DF" w:rsidRDefault="00A967DF" w:rsidP="00A967DF">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1.0</w:t>
            </w:r>
          </w:p>
        </w:tc>
      </w:tr>
      <w:tr w:rsidR="00A967DF" w:rsidRPr="0013568E" w14:paraId="69249E23" w14:textId="77777777" w:rsidTr="008A6062">
        <w:trPr>
          <w:cnfStyle w:val="000000010000" w:firstRow="0" w:lastRow="0" w:firstColumn="0" w:lastColumn="0" w:oddVBand="0" w:evenVBand="0" w:oddHBand="0" w:evenHBand="1" w:firstRowFirstColumn="0" w:firstRowLastColumn="0" w:lastRowFirstColumn="0" w:lastRowLastColumn="0"/>
        </w:trPr>
        <w:tc>
          <w:tcPr>
            <w:tcW w:w="2693" w:type="dxa"/>
            <w:tcBorders>
              <w:top w:val="single" w:sz="4" w:space="0" w:color="auto"/>
              <w:right w:val="single" w:sz="4" w:space="0" w:color="auto"/>
            </w:tcBorders>
            <w:noWrap/>
            <w:vAlign w:val="center"/>
            <w:hideMark/>
          </w:tcPr>
          <w:p w14:paraId="69249E16" w14:textId="77777777" w:rsidR="00A967DF" w:rsidRPr="0013568E" w:rsidRDefault="00A967DF" w:rsidP="00A967DF">
            <w:pPr>
              <w:pStyle w:val="TableText"/>
              <w:rPr>
                <w:rFonts w:asciiTheme="majorHAnsi" w:hAnsiTheme="majorHAnsi" w:cstheme="majorHAnsi"/>
                <w:b/>
                <w:color w:val="000000"/>
                <w:szCs w:val="17"/>
                <w:lang w:eastAsia="en-GB"/>
              </w:rPr>
            </w:pPr>
            <w:r w:rsidRPr="0013568E">
              <w:rPr>
                <w:rFonts w:asciiTheme="majorHAnsi" w:hAnsiTheme="majorHAnsi" w:cstheme="majorHAnsi"/>
                <w:b/>
                <w:color w:val="000000"/>
                <w:szCs w:val="17"/>
                <w:lang w:eastAsia="en-GB"/>
              </w:rPr>
              <w:t xml:space="preserve">Total </w:t>
            </w:r>
          </w:p>
        </w:tc>
        <w:tc>
          <w:tcPr>
            <w:tcW w:w="869" w:type="dxa"/>
            <w:tcBorders>
              <w:top w:val="single" w:sz="4" w:space="0" w:color="auto"/>
              <w:left w:val="single" w:sz="4" w:space="0" w:color="auto"/>
            </w:tcBorders>
            <w:noWrap/>
            <w:vAlign w:val="center"/>
          </w:tcPr>
          <w:p w14:paraId="69249E17" w14:textId="77777777" w:rsidR="00A967DF" w:rsidRPr="00A967DF" w:rsidRDefault="00A967DF" w:rsidP="00A967DF">
            <w:pPr>
              <w:ind w:right="144"/>
              <w:jc w:val="right"/>
              <w:rPr>
                <w:rFonts w:asciiTheme="majorHAnsi" w:eastAsia="Times New Roman" w:hAnsiTheme="majorHAnsi" w:cstheme="majorHAnsi"/>
                <w:b/>
                <w:bCs/>
                <w:color w:val="000000"/>
                <w:sz w:val="17"/>
                <w:szCs w:val="17"/>
                <w:lang w:eastAsia="en-GB"/>
              </w:rPr>
            </w:pPr>
            <w:r w:rsidRPr="00A967DF">
              <w:rPr>
                <w:rFonts w:asciiTheme="majorHAnsi" w:eastAsia="Times New Roman" w:hAnsiTheme="majorHAnsi" w:cstheme="majorHAnsi"/>
                <w:b/>
                <w:bCs/>
                <w:color w:val="000000"/>
                <w:sz w:val="17"/>
                <w:szCs w:val="17"/>
                <w:lang w:eastAsia="en-GB"/>
              </w:rPr>
              <w:t>100.0</w:t>
            </w:r>
          </w:p>
        </w:tc>
        <w:tc>
          <w:tcPr>
            <w:tcW w:w="870" w:type="dxa"/>
            <w:tcBorders>
              <w:top w:val="single" w:sz="4" w:space="0" w:color="auto"/>
            </w:tcBorders>
            <w:noWrap/>
            <w:vAlign w:val="center"/>
          </w:tcPr>
          <w:p w14:paraId="69249E18" w14:textId="77777777" w:rsidR="00A967DF" w:rsidRPr="00A967DF" w:rsidRDefault="00A967DF" w:rsidP="00A967DF">
            <w:pPr>
              <w:ind w:right="144"/>
              <w:jc w:val="right"/>
              <w:rPr>
                <w:rFonts w:asciiTheme="majorHAnsi" w:eastAsia="Times New Roman" w:hAnsiTheme="majorHAnsi" w:cstheme="majorHAnsi"/>
                <w:b/>
                <w:bCs/>
                <w:color w:val="000000"/>
                <w:sz w:val="17"/>
                <w:szCs w:val="17"/>
                <w:lang w:eastAsia="en-GB"/>
              </w:rPr>
            </w:pPr>
            <w:r w:rsidRPr="00A967DF">
              <w:rPr>
                <w:rFonts w:asciiTheme="majorHAnsi" w:eastAsia="Times New Roman" w:hAnsiTheme="majorHAnsi" w:cstheme="majorHAnsi"/>
                <w:b/>
                <w:bCs/>
                <w:color w:val="000000"/>
                <w:sz w:val="17"/>
                <w:szCs w:val="17"/>
                <w:lang w:eastAsia="en-GB"/>
              </w:rPr>
              <w:t>100.0</w:t>
            </w:r>
          </w:p>
        </w:tc>
        <w:tc>
          <w:tcPr>
            <w:tcW w:w="870" w:type="dxa"/>
            <w:tcBorders>
              <w:top w:val="single" w:sz="4" w:space="0" w:color="auto"/>
            </w:tcBorders>
            <w:noWrap/>
            <w:vAlign w:val="center"/>
          </w:tcPr>
          <w:p w14:paraId="69249E19" w14:textId="77777777" w:rsidR="00A967DF" w:rsidRPr="00A967DF" w:rsidRDefault="00A967DF" w:rsidP="00A967DF">
            <w:pPr>
              <w:ind w:right="144"/>
              <w:jc w:val="right"/>
              <w:rPr>
                <w:rFonts w:asciiTheme="majorHAnsi" w:eastAsia="Times New Roman" w:hAnsiTheme="majorHAnsi" w:cstheme="majorHAnsi"/>
                <w:b/>
                <w:bCs/>
                <w:color w:val="000000"/>
                <w:sz w:val="17"/>
                <w:szCs w:val="17"/>
                <w:lang w:eastAsia="en-GB"/>
              </w:rPr>
            </w:pPr>
            <w:r w:rsidRPr="00A967DF">
              <w:rPr>
                <w:rFonts w:asciiTheme="majorHAnsi" w:eastAsia="Times New Roman" w:hAnsiTheme="majorHAnsi" w:cstheme="majorHAnsi"/>
                <w:b/>
                <w:bCs/>
                <w:color w:val="000000"/>
                <w:sz w:val="17"/>
                <w:szCs w:val="17"/>
                <w:lang w:eastAsia="en-GB"/>
              </w:rPr>
              <w:t>100.0</w:t>
            </w:r>
          </w:p>
        </w:tc>
        <w:tc>
          <w:tcPr>
            <w:tcW w:w="870" w:type="dxa"/>
            <w:tcBorders>
              <w:top w:val="single" w:sz="4" w:space="0" w:color="auto"/>
            </w:tcBorders>
            <w:noWrap/>
            <w:vAlign w:val="center"/>
          </w:tcPr>
          <w:p w14:paraId="69249E1A" w14:textId="77777777" w:rsidR="00A967DF" w:rsidRPr="00A967DF" w:rsidRDefault="00A967DF" w:rsidP="00A967DF">
            <w:pPr>
              <w:ind w:right="144"/>
              <w:jc w:val="right"/>
              <w:rPr>
                <w:rFonts w:asciiTheme="majorHAnsi" w:eastAsia="Times New Roman" w:hAnsiTheme="majorHAnsi" w:cstheme="majorHAnsi"/>
                <w:b/>
                <w:bCs/>
                <w:color w:val="000000"/>
                <w:sz w:val="17"/>
                <w:szCs w:val="17"/>
                <w:lang w:eastAsia="en-GB"/>
              </w:rPr>
            </w:pPr>
          </w:p>
        </w:tc>
        <w:tc>
          <w:tcPr>
            <w:tcW w:w="870" w:type="dxa"/>
            <w:tcBorders>
              <w:top w:val="single" w:sz="4" w:space="0" w:color="auto"/>
              <w:left w:val="single" w:sz="4" w:space="0" w:color="auto"/>
            </w:tcBorders>
            <w:noWrap/>
            <w:vAlign w:val="center"/>
          </w:tcPr>
          <w:p w14:paraId="69249E1B" w14:textId="77777777" w:rsidR="00A967DF" w:rsidRPr="00A967DF" w:rsidRDefault="00A967DF" w:rsidP="00A967DF">
            <w:pPr>
              <w:ind w:right="144"/>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100.0</w:t>
            </w:r>
          </w:p>
        </w:tc>
        <w:tc>
          <w:tcPr>
            <w:tcW w:w="869" w:type="dxa"/>
            <w:tcBorders>
              <w:top w:val="single" w:sz="4" w:space="0" w:color="auto"/>
            </w:tcBorders>
            <w:noWrap/>
            <w:vAlign w:val="center"/>
          </w:tcPr>
          <w:p w14:paraId="69249E1C" w14:textId="77777777" w:rsidR="00A967DF" w:rsidRPr="00A967DF" w:rsidRDefault="00A967DF" w:rsidP="00A967DF">
            <w:pPr>
              <w:ind w:right="144"/>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100.0</w:t>
            </w:r>
          </w:p>
        </w:tc>
        <w:tc>
          <w:tcPr>
            <w:tcW w:w="870" w:type="dxa"/>
            <w:tcBorders>
              <w:top w:val="single" w:sz="4" w:space="0" w:color="auto"/>
            </w:tcBorders>
            <w:noWrap/>
            <w:vAlign w:val="center"/>
          </w:tcPr>
          <w:p w14:paraId="69249E1D" w14:textId="77777777" w:rsidR="00A967DF" w:rsidRPr="00A967DF" w:rsidRDefault="00A967DF" w:rsidP="00A967DF">
            <w:pPr>
              <w:ind w:right="144"/>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100.0</w:t>
            </w:r>
          </w:p>
        </w:tc>
        <w:tc>
          <w:tcPr>
            <w:tcW w:w="870" w:type="dxa"/>
            <w:tcBorders>
              <w:top w:val="single" w:sz="4" w:space="0" w:color="auto"/>
            </w:tcBorders>
            <w:noWrap/>
            <w:vAlign w:val="center"/>
          </w:tcPr>
          <w:p w14:paraId="69249E1E" w14:textId="77777777" w:rsidR="00A967DF" w:rsidRPr="00A967DF" w:rsidRDefault="00A967DF" w:rsidP="00A967DF">
            <w:pPr>
              <w:ind w:right="144"/>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100.0</w:t>
            </w:r>
          </w:p>
        </w:tc>
        <w:tc>
          <w:tcPr>
            <w:tcW w:w="870" w:type="dxa"/>
            <w:tcBorders>
              <w:top w:val="single" w:sz="4" w:space="0" w:color="auto"/>
              <w:left w:val="single" w:sz="4" w:space="0" w:color="auto"/>
            </w:tcBorders>
            <w:noWrap/>
            <w:vAlign w:val="center"/>
          </w:tcPr>
          <w:p w14:paraId="69249E1F" w14:textId="77777777" w:rsidR="00A967DF" w:rsidRPr="00A967DF" w:rsidRDefault="00A967DF" w:rsidP="00A967DF">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w:t>
            </w:r>
          </w:p>
        </w:tc>
        <w:tc>
          <w:tcPr>
            <w:tcW w:w="870" w:type="dxa"/>
            <w:tcBorders>
              <w:top w:val="single" w:sz="4" w:space="0" w:color="auto"/>
            </w:tcBorders>
            <w:noWrap/>
            <w:vAlign w:val="center"/>
          </w:tcPr>
          <w:p w14:paraId="69249E20" w14:textId="77777777" w:rsidR="00A967DF" w:rsidRPr="00A967DF" w:rsidRDefault="00A967DF" w:rsidP="00A967DF">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w:t>
            </w:r>
          </w:p>
        </w:tc>
        <w:tc>
          <w:tcPr>
            <w:tcW w:w="870" w:type="dxa"/>
            <w:tcBorders>
              <w:top w:val="single" w:sz="4" w:space="0" w:color="auto"/>
            </w:tcBorders>
            <w:noWrap/>
            <w:vAlign w:val="center"/>
          </w:tcPr>
          <w:p w14:paraId="69249E21" w14:textId="77777777" w:rsidR="00A967DF" w:rsidRPr="00A967DF" w:rsidRDefault="00A967DF" w:rsidP="00A967DF">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w:t>
            </w:r>
          </w:p>
        </w:tc>
        <w:tc>
          <w:tcPr>
            <w:tcW w:w="870" w:type="dxa"/>
            <w:tcBorders>
              <w:top w:val="single" w:sz="4" w:space="0" w:color="auto"/>
            </w:tcBorders>
            <w:noWrap/>
            <w:vAlign w:val="center"/>
          </w:tcPr>
          <w:p w14:paraId="69249E22" w14:textId="77777777" w:rsidR="00A967DF" w:rsidRPr="00A967DF" w:rsidRDefault="00A967DF" w:rsidP="00A967DF">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w:t>
            </w:r>
          </w:p>
        </w:tc>
      </w:tr>
    </w:tbl>
    <w:p w14:paraId="69249E24" w14:textId="77777777" w:rsidR="00F67A4C" w:rsidRDefault="00F67A4C" w:rsidP="00F67A4C">
      <w:pPr>
        <w:pStyle w:val="Source"/>
      </w:pPr>
      <w:r>
        <w:t>Notes</w:t>
      </w:r>
      <w:proofErr w:type="gramStart"/>
      <w:r>
        <w:t>:</w:t>
      </w:r>
      <w:proofErr w:type="gramEnd"/>
      <w:r>
        <w:br/>
        <w:t xml:space="preserve">(a) </w:t>
      </w:r>
      <w:r w:rsidRPr="00D57D60">
        <w:t xml:space="preserve">Agriculture corresponds to ISIC divisions 1-5 and includes forestry, hunting, and fishing, as well as cultivation of crops and livestock production. </w:t>
      </w:r>
      <w:r>
        <w:br/>
        <w:t xml:space="preserve">(b) </w:t>
      </w:r>
      <w:r w:rsidRPr="00D57D60">
        <w:t>Industry corresponds to ISIC divisions 10-45 and includes manufacturing (ISIC divisions 15-37). It comprises value added in mining, manufacturing (also reported as a separate subgroup), construction, electricity, water, and gas.</w:t>
      </w:r>
      <w:r>
        <w:br/>
        <w:t xml:space="preserve">(c) </w:t>
      </w:r>
      <w:r w:rsidRPr="00F64D70">
        <w:t>Services correspond to ISIC divisions 50-99 and they include value added in wholesale and retail trade (including hotels and restaurants), transport, and government, financial, professional, and personal services such as education, health care, and real estate services. Also included are imputed bank service charges, import duties, and any statistical discrepancies noted by national compilers as well as discrepancies arising from rescaling.</w:t>
      </w:r>
      <w:r>
        <w:br/>
        <w:t xml:space="preserve">(d) Derived by calculating labour productivity levels (value added at constant prices divided by number of persons employed) and expressing the result as a ratio of </w:t>
      </w:r>
      <w:r w:rsidR="00830168">
        <w:t>total economy labour productivity</w:t>
      </w:r>
      <w:r>
        <w:t>.</w:t>
      </w:r>
      <w:r>
        <w:br/>
        <w:t>Numbers may not sum due to rounding.</w:t>
      </w:r>
      <w:r>
        <w:br/>
        <w:t xml:space="preserve">Source: </w:t>
      </w:r>
      <w:r w:rsidRPr="000B7E15">
        <w:t>Authors’ calculations using sectoral</w:t>
      </w:r>
      <w:r>
        <w:t xml:space="preserve"> value added and employment share data from the World Bank’s World Development Indicators (</w:t>
      </w:r>
      <w:hyperlink r:id="rId17" w:history="1">
        <w:r w:rsidRPr="00C54E63">
          <w:rPr>
            <w:rStyle w:val="Hyperlink"/>
          </w:rPr>
          <w:t>http://databank.worldbank.org/data/views/variableSelection/selectvariables.aspx?source=world-development-indicators</w:t>
        </w:r>
      </w:hyperlink>
      <w:r>
        <w:t>) and total employment data from the ILO’s Global Employment Trends 2014 (</w:t>
      </w:r>
      <w:hyperlink r:id="rId18" w:history="1">
        <w:r w:rsidRPr="000B7E15">
          <w:rPr>
            <w:rStyle w:val="Hyperlink"/>
          </w:rPr>
          <w:t>http://www.ilo.org/global/research/global-reports/global-employment-trends/2014/WCMS_234879/lang--en/index.htm</w:t>
        </w:r>
      </w:hyperlink>
      <w:r>
        <w:t xml:space="preserve">). </w:t>
      </w:r>
    </w:p>
    <w:p w14:paraId="0A12C199" w14:textId="124FAFC7" w:rsidR="008A6062" w:rsidRDefault="008A6062" w:rsidP="008A6062">
      <w:pPr>
        <w:pStyle w:val="BodyText"/>
      </w:pPr>
    </w:p>
    <w:p w14:paraId="271601CC" w14:textId="77777777" w:rsidR="008A6062" w:rsidRDefault="008A6062" w:rsidP="008A6062">
      <w:pPr>
        <w:pStyle w:val="BodyText"/>
      </w:pPr>
    </w:p>
    <w:p w14:paraId="1352912E" w14:textId="77777777" w:rsidR="008A6062" w:rsidRDefault="008A6062" w:rsidP="008A6062">
      <w:pPr>
        <w:pStyle w:val="BodyText"/>
      </w:pPr>
    </w:p>
    <w:p w14:paraId="5F15381D" w14:textId="77777777" w:rsidR="008A6062" w:rsidRDefault="008A6062" w:rsidP="008A6062">
      <w:pPr>
        <w:pStyle w:val="BodyText"/>
      </w:pPr>
    </w:p>
    <w:p w14:paraId="2844BD0C" w14:textId="77777777" w:rsidR="008A6062" w:rsidRDefault="008A6062" w:rsidP="008A6062">
      <w:pPr>
        <w:pStyle w:val="BodyText"/>
      </w:pPr>
    </w:p>
    <w:p w14:paraId="31D6F72D" w14:textId="77777777" w:rsidR="008A6062" w:rsidRPr="008A6062" w:rsidRDefault="008A6062" w:rsidP="008A6062">
      <w:pPr>
        <w:pStyle w:val="BodyText"/>
        <w:rPr>
          <w:noProof/>
        </w:rPr>
      </w:pPr>
    </w:p>
    <w:p w14:paraId="1ED54195" w14:textId="77777777" w:rsidR="008A6062" w:rsidRPr="008A6062" w:rsidRDefault="008A6062" w:rsidP="008A6062">
      <w:pPr>
        <w:pStyle w:val="BodyText"/>
        <w:rPr>
          <w:noProof/>
        </w:rPr>
      </w:pPr>
    </w:p>
    <w:p w14:paraId="7641A87F" w14:textId="77777777" w:rsidR="008A6062" w:rsidRPr="008A6062" w:rsidRDefault="008A6062" w:rsidP="008A6062">
      <w:pPr>
        <w:pStyle w:val="BodyText"/>
        <w:rPr>
          <w:noProof/>
        </w:rPr>
      </w:pPr>
    </w:p>
    <w:p w14:paraId="4FEA1941" w14:textId="77777777" w:rsidR="008A6062" w:rsidRPr="008A6062" w:rsidRDefault="008A6062" w:rsidP="008A6062">
      <w:pPr>
        <w:pStyle w:val="BodyText"/>
        <w:rPr>
          <w:noProof/>
        </w:rPr>
      </w:pPr>
    </w:p>
    <w:p w14:paraId="62D7BBE3" w14:textId="77777777" w:rsidR="008A6062" w:rsidRPr="008A6062" w:rsidRDefault="008A6062" w:rsidP="008A6062">
      <w:pPr>
        <w:pStyle w:val="BodyText"/>
        <w:rPr>
          <w:noProof/>
        </w:rPr>
      </w:pPr>
    </w:p>
    <w:p w14:paraId="702CFB63" w14:textId="028C9B07" w:rsidR="008A6062" w:rsidRPr="001B0E3C" w:rsidRDefault="008A6062" w:rsidP="008A6062">
      <w:pPr>
        <w:pStyle w:val="TableHeading"/>
        <w:numPr>
          <w:ilvl w:val="0"/>
          <w:numId w:val="13"/>
        </w:numPr>
        <w:tabs>
          <w:tab w:val="right" w:pos="9806"/>
          <w:tab w:val="right" w:pos="13950"/>
        </w:tabs>
        <w:rPr>
          <w:noProof/>
          <w:color w:val="FF0000"/>
        </w:rPr>
      </w:pPr>
      <w:bookmarkStart w:id="10" w:name="_Toc428437698"/>
      <w:r>
        <w:rPr>
          <w:noProof/>
        </w:rPr>
        <w:t xml:space="preserve">GDP, employment and relative productivity levels, West Bank </w:t>
      </w:r>
      <w:r w:rsidR="00246C81">
        <w:rPr>
          <w:noProof/>
        </w:rPr>
        <w:t>&amp;</w:t>
      </w:r>
      <w:r>
        <w:rPr>
          <w:noProof/>
        </w:rPr>
        <w:t xml:space="preserve"> Gaza, 1991–2013 (UNSD/ILO WESO data)</w:t>
      </w:r>
      <w:r>
        <w:rPr>
          <w:noProof/>
        </w:rPr>
        <w:tab/>
      </w:r>
      <w:r w:rsidRPr="001B0E3C">
        <w:rPr>
          <w:noProof/>
          <w:color w:val="FF0000"/>
        </w:rPr>
        <w:t>NEW</w:t>
      </w:r>
      <w:bookmarkEnd w:id="10"/>
    </w:p>
    <w:tbl>
      <w:tblPr>
        <w:tblW w:w="5000" w:type="pct"/>
        <w:tblLayout w:type="fixed"/>
        <w:tblCellMar>
          <w:top w:w="14" w:type="dxa"/>
          <w:left w:w="0" w:type="dxa"/>
          <w:bottom w:w="14" w:type="dxa"/>
          <w:right w:w="0" w:type="dxa"/>
        </w:tblCellMar>
        <w:tblLook w:val="04A0" w:firstRow="1" w:lastRow="0" w:firstColumn="1" w:lastColumn="0" w:noHBand="0" w:noVBand="1"/>
      </w:tblPr>
      <w:tblGrid>
        <w:gridCol w:w="2426"/>
        <w:gridCol w:w="642"/>
        <w:gridCol w:w="643"/>
        <w:gridCol w:w="642"/>
        <w:gridCol w:w="643"/>
        <w:gridCol w:w="642"/>
        <w:gridCol w:w="643"/>
        <w:gridCol w:w="642"/>
        <w:gridCol w:w="644"/>
        <w:gridCol w:w="643"/>
        <w:gridCol w:w="644"/>
        <w:gridCol w:w="643"/>
        <w:gridCol w:w="644"/>
        <w:gridCol w:w="643"/>
        <w:gridCol w:w="644"/>
        <w:gridCol w:w="643"/>
        <w:gridCol w:w="644"/>
        <w:gridCol w:w="643"/>
        <w:gridCol w:w="644"/>
      </w:tblGrid>
      <w:tr w:rsidR="008A6062" w:rsidRPr="000B49EB" w14:paraId="5CF96F8D" w14:textId="77777777" w:rsidTr="008A6062">
        <w:tc>
          <w:tcPr>
            <w:tcW w:w="2426" w:type="dxa"/>
            <w:tcBorders>
              <w:right w:val="single" w:sz="4" w:space="0" w:color="auto"/>
            </w:tcBorders>
            <w:shd w:val="clear" w:color="auto" w:fill="D9D9D9" w:themeFill="background1" w:themeFillShade="D9"/>
            <w:noWrap/>
            <w:vAlign w:val="center"/>
            <w:hideMark/>
          </w:tcPr>
          <w:p w14:paraId="08B4E567" w14:textId="77777777" w:rsidR="008A6062" w:rsidRPr="000B49EB" w:rsidRDefault="008A6062" w:rsidP="00904CFC">
            <w:pPr>
              <w:jc w:val="center"/>
              <w:rPr>
                <w:rFonts w:ascii="Arial" w:eastAsia="Times New Roman" w:hAnsi="Arial" w:cs="Arial"/>
                <w:b/>
                <w:bCs/>
                <w:sz w:val="17"/>
                <w:szCs w:val="17"/>
                <w:lang w:eastAsia="en-GB"/>
              </w:rPr>
            </w:pPr>
            <w:r w:rsidRPr="000B49EB">
              <w:rPr>
                <w:rFonts w:ascii="Arial" w:eastAsia="Times New Roman" w:hAnsi="Arial" w:cs="Arial"/>
                <w:b/>
                <w:bCs/>
                <w:sz w:val="17"/>
                <w:szCs w:val="17"/>
                <w:lang w:eastAsia="en-GB"/>
              </w:rPr>
              <w:t>Economic activity</w:t>
            </w:r>
          </w:p>
        </w:tc>
        <w:tc>
          <w:tcPr>
            <w:tcW w:w="3855" w:type="dxa"/>
            <w:gridSpan w:val="6"/>
            <w:tcBorders>
              <w:left w:val="single" w:sz="4" w:space="0" w:color="auto"/>
              <w:right w:val="single" w:sz="4" w:space="0" w:color="auto"/>
            </w:tcBorders>
            <w:shd w:val="clear" w:color="auto" w:fill="D9D9D9" w:themeFill="background1" w:themeFillShade="D9"/>
            <w:vAlign w:val="center"/>
          </w:tcPr>
          <w:p w14:paraId="1ED14B34" w14:textId="77777777" w:rsidR="008A6062" w:rsidRPr="000B49EB" w:rsidRDefault="008A6062" w:rsidP="00904CFC">
            <w:pPr>
              <w:ind w:left="144" w:right="144"/>
              <w:jc w:val="center"/>
              <w:rPr>
                <w:rFonts w:ascii="Arial" w:eastAsia="Times New Roman" w:hAnsi="Arial" w:cs="Arial"/>
                <w:sz w:val="17"/>
                <w:szCs w:val="17"/>
                <w:lang w:eastAsia="en-GB"/>
              </w:rPr>
            </w:pPr>
            <w:r w:rsidRPr="000B49EB">
              <w:rPr>
                <w:rFonts w:ascii="Arial" w:hAnsi="Arial" w:cs="Arial"/>
                <w:b/>
                <w:bCs/>
                <w:sz w:val="17"/>
                <w:szCs w:val="17"/>
              </w:rPr>
              <w:t>Gross value added (current US$, %)</w:t>
            </w:r>
          </w:p>
        </w:tc>
        <w:tc>
          <w:tcPr>
            <w:tcW w:w="3860" w:type="dxa"/>
            <w:gridSpan w:val="6"/>
            <w:tcBorders>
              <w:left w:val="single" w:sz="4" w:space="0" w:color="auto"/>
              <w:right w:val="single" w:sz="4" w:space="0" w:color="auto"/>
            </w:tcBorders>
            <w:shd w:val="clear" w:color="auto" w:fill="D9D9D9" w:themeFill="background1" w:themeFillShade="D9"/>
            <w:vAlign w:val="center"/>
          </w:tcPr>
          <w:p w14:paraId="5E3ED8DD" w14:textId="77777777" w:rsidR="008A6062" w:rsidRPr="000B49EB" w:rsidRDefault="008A6062" w:rsidP="00904CFC">
            <w:pPr>
              <w:ind w:left="144" w:right="144"/>
              <w:jc w:val="center"/>
              <w:rPr>
                <w:rFonts w:ascii="Arial" w:hAnsi="Arial" w:cs="Arial"/>
                <w:b/>
                <w:bCs/>
                <w:sz w:val="17"/>
                <w:szCs w:val="17"/>
              </w:rPr>
            </w:pPr>
            <w:r w:rsidRPr="000B49EB">
              <w:rPr>
                <w:rFonts w:ascii="Arial" w:eastAsia="Times New Roman" w:hAnsi="Arial" w:cs="Arial"/>
                <w:b/>
                <w:bCs/>
                <w:sz w:val="17"/>
                <w:szCs w:val="17"/>
                <w:lang w:eastAsia="en-GB"/>
              </w:rPr>
              <w:t>Employment by sector (%)</w:t>
            </w:r>
          </w:p>
        </w:tc>
        <w:tc>
          <w:tcPr>
            <w:tcW w:w="3861" w:type="dxa"/>
            <w:gridSpan w:val="6"/>
            <w:tcBorders>
              <w:left w:val="single" w:sz="4" w:space="0" w:color="auto"/>
            </w:tcBorders>
            <w:shd w:val="clear" w:color="auto" w:fill="D9D9D9" w:themeFill="background1" w:themeFillShade="D9"/>
            <w:vAlign w:val="center"/>
          </w:tcPr>
          <w:p w14:paraId="2C12815C" w14:textId="77777777" w:rsidR="008A6062" w:rsidRPr="000B49EB" w:rsidRDefault="008A6062" w:rsidP="00904CFC">
            <w:pPr>
              <w:ind w:left="144" w:right="144"/>
              <w:jc w:val="center"/>
              <w:rPr>
                <w:rFonts w:ascii="Arial" w:eastAsia="Times New Roman" w:hAnsi="Arial" w:cs="Arial"/>
                <w:b/>
                <w:bCs/>
                <w:sz w:val="17"/>
                <w:szCs w:val="17"/>
                <w:lang w:eastAsia="en-GB"/>
              </w:rPr>
            </w:pPr>
            <w:r w:rsidRPr="000B49EB">
              <w:rPr>
                <w:rFonts w:ascii="Arial" w:eastAsia="Times New Roman" w:hAnsi="Arial" w:cs="Arial"/>
                <w:b/>
                <w:bCs/>
                <w:sz w:val="17"/>
                <w:szCs w:val="17"/>
                <w:lang w:eastAsia="en-GB"/>
              </w:rPr>
              <w:t xml:space="preserve">Relative productivity levels </w:t>
            </w:r>
            <w:r w:rsidRPr="000B49EB">
              <w:rPr>
                <w:rFonts w:ascii="Arial" w:eastAsia="Times New Roman" w:hAnsi="Arial" w:cs="Arial"/>
                <w:b/>
                <w:bCs/>
                <w:sz w:val="17"/>
                <w:szCs w:val="17"/>
                <w:vertAlign w:val="superscript"/>
                <w:lang w:eastAsia="en-GB"/>
              </w:rPr>
              <w:t>a</w:t>
            </w:r>
          </w:p>
        </w:tc>
      </w:tr>
      <w:tr w:rsidR="008A6062" w:rsidRPr="000B49EB" w14:paraId="1F058364" w14:textId="77777777" w:rsidTr="008A6062">
        <w:trPr>
          <w:trHeight w:val="240"/>
        </w:trPr>
        <w:tc>
          <w:tcPr>
            <w:tcW w:w="2426" w:type="dxa"/>
            <w:tcBorders>
              <w:bottom w:val="single" w:sz="4" w:space="0" w:color="auto"/>
              <w:right w:val="single" w:sz="4" w:space="0" w:color="auto"/>
            </w:tcBorders>
            <w:shd w:val="clear" w:color="auto" w:fill="D9D9D9" w:themeFill="background1" w:themeFillShade="D9"/>
            <w:noWrap/>
            <w:vAlign w:val="center"/>
            <w:hideMark/>
          </w:tcPr>
          <w:p w14:paraId="683958D9" w14:textId="77777777" w:rsidR="008A6062" w:rsidRPr="000B49EB" w:rsidRDefault="008A6062" w:rsidP="00904CFC">
            <w:pPr>
              <w:jc w:val="center"/>
              <w:rPr>
                <w:rFonts w:ascii="Arial" w:eastAsia="Times New Roman" w:hAnsi="Arial" w:cs="Arial"/>
                <w:bCs/>
                <w:i/>
                <w:sz w:val="17"/>
                <w:szCs w:val="17"/>
                <w:lang w:eastAsia="en-GB"/>
              </w:rPr>
            </w:pPr>
          </w:p>
        </w:tc>
        <w:tc>
          <w:tcPr>
            <w:tcW w:w="642" w:type="dxa"/>
            <w:tcBorders>
              <w:left w:val="single" w:sz="4" w:space="0" w:color="auto"/>
              <w:bottom w:val="single" w:sz="4" w:space="0" w:color="auto"/>
            </w:tcBorders>
            <w:shd w:val="clear" w:color="auto" w:fill="D9D9D9" w:themeFill="background1" w:themeFillShade="D9"/>
            <w:vAlign w:val="center"/>
          </w:tcPr>
          <w:p w14:paraId="7B127ADC"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1975</w:t>
            </w:r>
          </w:p>
        </w:tc>
        <w:tc>
          <w:tcPr>
            <w:tcW w:w="643" w:type="dxa"/>
            <w:tcBorders>
              <w:bottom w:val="single" w:sz="4" w:space="0" w:color="auto"/>
            </w:tcBorders>
            <w:shd w:val="clear" w:color="auto" w:fill="D9D9D9" w:themeFill="background1" w:themeFillShade="D9"/>
            <w:vAlign w:val="center"/>
          </w:tcPr>
          <w:p w14:paraId="0F0037B2"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1991</w:t>
            </w:r>
          </w:p>
        </w:tc>
        <w:tc>
          <w:tcPr>
            <w:tcW w:w="642" w:type="dxa"/>
            <w:tcBorders>
              <w:bottom w:val="single" w:sz="4" w:space="0" w:color="auto"/>
            </w:tcBorders>
            <w:shd w:val="clear" w:color="auto" w:fill="D9D9D9" w:themeFill="background1" w:themeFillShade="D9"/>
            <w:vAlign w:val="center"/>
          </w:tcPr>
          <w:p w14:paraId="16655F30"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2000</w:t>
            </w:r>
          </w:p>
        </w:tc>
        <w:tc>
          <w:tcPr>
            <w:tcW w:w="643" w:type="dxa"/>
            <w:tcBorders>
              <w:bottom w:val="single" w:sz="4" w:space="0" w:color="auto"/>
            </w:tcBorders>
            <w:shd w:val="clear" w:color="auto" w:fill="D9D9D9" w:themeFill="background1" w:themeFillShade="D9"/>
            <w:vAlign w:val="center"/>
          </w:tcPr>
          <w:p w14:paraId="4A017EC4"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2005</w:t>
            </w:r>
          </w:p>
        </w:tc>
        <w:tc>
          <w:tcPr>
            <w:tcW w:w="642" w:type="dxa"/>
            <w:tcBorders>
              <w:bottom w:val="single" w:sz="4" w:space="0" w:color="auto"/>
            </w:tcBorders>
            <w:shd w:val="clear" w:color="auto" w:fill="D9D9D9" w:themeFill="background1" w:themeFillShade="D9"/>
            <w:vAlign w:val="center"/>
          </w:tcPr>
          <w:p w14:paraId="3669063C"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2010</w:t>
            </w:r>
          </w:p>
        </w:tc>
        <w:tc>
          <w:tcPr>
            <w:tcW w:w="643" w:type="dxa"/>
            <w:tcBorders>
              <w:bottom w:val="single" w:sz="4" w:space="0" w:color="auto"/>
              <w:right w:val="single" w:sz="4" w:space="0" w:color="auto"/>
            </w:tcBorders>
            <w:shd w:val="clear" w:color="auto" w:fill="D9D9D9" w:themeFill="background1" w:themeFillShade="D9"/>
            <w:vAlign w:val="center"/>
          </w:tcPr>
          <w:p w14:paraId="76210E40"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hAnsi="Arial" w:cs="Arial"/>
                <w:bCs/>
                <w:i/>
                <w:sz w:val="17"/>
                <w:szCs w:val="17"/>
              </w:rPr>
              <w:t>2013</w:t>
            </w:r>
          </w:p>
        </w:tc>
        <w:tc>
          <w:tcPr>
            <w:tcW w:w="642" w:type="dxa"/>
            <w:tcBorders>
              <w:left w:val="single" w:sz="4" w:space="0" w:color="auto"/>
              <w:bottom w:val="single" w:sz="4" w:space="0" w:color="auto"/>
            </w:tcBorders>
            <w:shd w:val="clear" w:color="auto" w:fill="D9D9D9" w:themeFill="background1" w:themeFillShade="D9"/>
            <w:vAlign w:val="center"/>
          </w:tcPr>
          <w:p w14:paraId="6D2CA103"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1975</w:t>
            </w:r>
          </w:p>
        </w:tc>
        <w:tc>
          <w:tcPr>
            <w:tcW w:w="644" w:type="dxa"/>
            <w:tcBorders>
              <w:bottom w:val="single" w:sz="4" w:space="0" w:color="auto"/>
            </w:tcBorders>
            <w:shd w:val="clear" w:color="auto" w:fill="D9D9D9" w:themeFill="background1" w:themeFillShade="D9"/>
            <w:vAlign w:val="center"/>
          </w:tcPr>
          <w:p w14:paraId="6429E25B"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1991</w:t>
            </w:r>
          </w:p>
        </w:tc>
        <w:tc>
          <w:tcPr>
            <w:tcW w:w="643" w:type="dxa"/>
            <w:tcBorders>
              <w:bottom w:val="single" w:sz="4" w:space="0" w:color="auto"/>
            </w:tcBorders>
            <w:shd w:val="clear" w:color="auto" w:fill="D9D9D9" w:themeFill="background1" w:themeFillShade="D9"/>
            <w:vAlign w:val="center"/>
          </w:tcPr>
          <w:p w14:paraId="35DD970C"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2000</w:t>
            </w:r>
          </w:p>
        </w:tc>
        <w:tc>
          <w:tcPr>
            <w:tcW w:w="644" w:type="dxa"/>
            <w:tcBorders>
              <w:bottom w:val="single" w:sz="4" w:space="0" w:color="auto"/>
            </w:tcBorders>
            <w:shd w:val="clear" w:color="auto" w:fill="D9D9D9" w:themeFill="background1" w:themeFillShade="D9"/>
            <w:vAlign w:val="center"/>
          </w:tcPr>
          <w:p w14:paraId="10F886F9"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2005</w:t>
            </w:r>
          </w:p>
        </w:tc>
        <w:tc>
          <w:tcPr>
            <w:tcW w:w="643" w:type="dxa"/>
            <w:tcBorders>
              <w:bottom w:val="single" w:sz="4" w:space="0" w:color="auto"/>
            </w:tcBorders>
            <w:shd w:val="clear" w:color="auto" w:fill="D9D9D9" w:themeFill="background1" w:themeFillShade="D9"/>
            <w:vAlign w:val="center"/>
          </w:tcPr>
          <w:p w14:paraId="295EA93E"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2010</w:t>
            </w:r>
          </w:p>
        </w:tc>
        <w:tc>
          <w:tcPr>
            <w:tcW w:w="644" w:type="dxa"/>
            <w:tcBorders>
              <w:bottom w:val="single" w:sz="4" w:space="0" w:color="auto"/>
              <w:right w:val="single" w:sz="4" w:space="0" w:color="auto"/>
            </w:tcBorders>
            <w:shd w:val="clear" w:color="auto" w:fill="D9D9D9" w:themeFill="background1" w:themeFillShade="D9"/>
            <w:vAlign w:val="center"/>
          </w:tcPr>
          <w:p w14:paraId="2F8F7E80"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2013</w:t>
            </w:r>
          </w:p>
        </w:tc>
        <w:tc>
          <w:tcPr>
            <w:tcW w:w="643" w:type="dxa"/>
            <w:tcBorders>
              <w:left w:val="single" w:sz="4" w:space="0" w:color="auto"/>
              <w:bottom w:val="single" w:sz="4" w:space="0" w:color="auto"/>
            </w:tcBorders>
            <w:shd w:val="clear" w:color="auto" w:fill="D9D9D9" w:themeFill="background1" w:themeFillShade="D9"/>
            <w:vAlign w:val="center"/>
          </w:tcPr>
          <w:p w14:paraId="2EF4B936"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1975</w:t>
            </w:r>
          </w:p>
        </w:tc>
        <w:tc>
          <w:tcPr>
            <w:tcW w:w="644" w:type="dxa"/>
            <w:tcBorders>
              <w:bottom w:val="single" w:sz="4" w:space="0" w:color="auto"/>
            </w:tcBorders>
            <w:shd w:val="clear" w:color="auto" w:fill="D9D9D9" w:themeFill="background1" w:themeFillShade="D9"/>
            <w:vAlign w:val="center"/>
          </w:tcPr>
          <w:p w14:paraId="7D7215BE"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1991</w:t>
            </w:r>
          </w:p>
        </w:tc>
        <w:tc>
          <w:tcPr>
            <w:tcW w:w="643" w:type="dxa"/>
            <w:tcBorders>
              <w:bottom w:val="single" w:sz="4" w:space="0" w:color="auto"/>
            </w:tcBorders>
            <w:shd w:val="clear" w:color="auto" w:fill="D9D9D9" w:themeFill="background1" w:themeFillShade="D9"/>
            <w:vAlign w:val="center"/>
          </w:tcPr>
          <w:p w14:paraId="1CB92505"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2000</w:t>
            </w:r>
          </w:p>
        </w:tc>
        <w:tc>
          <w:tcPr>
            <w:tcW w:w="644" w:type="dxa"/>
            <w:tcBorders>
              <w:bottom w:val="single" w:sz="4" w:space="0" w:color="auto"/>
            </w:tcBorders>
            <w:shd w:val="clear" w:color="auto" w:fill="D9D9D9" w:themeFill="background1" w:themeFillShade="D9"/>
            <w:vAlign w:val="center"/>
          </w:tcPr>
          <w:p w14:paraId="05CDE233"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2005</w:t>
            </w:r>
          </w:p>
        </w:tc>
        <w:tc>
          <w:tcPr>
            <w:tcW w:w="643" w:type="dxa"/>
            <w:tcBorders>
              <w:bottom w:val="single" w:sz="4" w:space="0" w:color="auto"/>
            </w:tcBorders>
            <w:shd w:val="clear" w:color="auto" w:fill="D9D9D9" w:themeFill="background1" w:themeFillShade="D9"/>
            <w:vAlign w:val="center"/>
          </w:tcPr>
          <w:p w14:paraId="466B668A"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2010</w:t>
            </w:r>
          </w:p>
        </w:tc>
        <w:tc>
          <w:tcPr>
            <w:tcW w:w="644" w:type="dxa"/>
            <w:tcBorders>
              <w:bottom w:val="single" w:sz="4" w:space="0" w:color="auto"/>
            </w:tcBorders>
            <w:shd w:val="clear" w:color="auto" w:fill="D9D9D9" w:themeFill="background1" w:themeFillShade="D9"/>
            <w:vAlign w:val="center"/>
          </w:tcPr>
          <w:p w14:paraId="214995D3" w14:textId="77777777" w:rsidR="008A6062" w:rsidRPr="000B49EB" w:rsidRDefault="008A6062" w:rsidP="00904CFC">
            <w:pPr>
              <w:jc w:val="center"/>
              <w:rPr>
                <w:rFonts w:ascii="Arial" w:eastAsia="Times New Roman" w:hAnsi="Arial" w:cs="Arial"/>
                <w:bCs/>
                <w:i/>
                <w:sz w:val="17"/>
                <w:szCs w:val="17"/>
                <w:lang w:eastAsia="en-GB"/>
              </w:rPr>
            </w:pPr>
            <w:r w:rsidRPr="000B49EB">
              <w:rPr>
                <w:rFonts w:ascii="Arial" w:eastAsia="Times New Roman" w:hAnsi="Arial" w:cs="Arial"/>
                <w:bCs/>
                <w:i/>
                <w:sz w:val="17"/>
                <w:szCs w:val="17"/>
                <w:lang w:eastAsia="en-GB"/>
              </w:rPr>
              <w:t>2013</w:t>
            </w:r>
          </w:p>
        </w:tc>
      </w:tr>
      <w:tr w:rsidR="008A6062" w:rsidRPr="000B49EB" w14:paraId="06526407" w14:textId="77777777" w:rsidTr="008A6062">
        <w:trPr>
          <w:trHeight w:val="240"/>
        </w:trPr>
        <w:tc>
          <w:tcPr>
            <w:tcW w:w="2426" w:type="dxa"/>
            <w:tcBorders>
              <w:top w:val="single" w:sz="4" w:space="0" w:color="auto"/>
              <w:right w:val="single" w:sz="4" w:space="0" w:color="auto"/>
            </w:tcBorders>
            <w:shd w:val="clear" w:color="auto" w:fill="auto"/>
            <w:noWrap/>
            <w:vAlign w:val="center"/>
            <w:hideMark/>
          </w:tcPr>
          <w:p w14:paraId="318E4E99" w14:textId="77777777" w:rsidR="008A6062" w:rsidRPr="000B49EB" w:rsidRDefault="008A6062" w:rsidP="00904CFC">
            <w:pPr>
              <w:tabs>
                <w:tab w:val="left" w:pos="1217"/>
              </w:tabs>
              <w:rPr>
                <w:rFonts w:ascii="Arial" w:eastAsia="Times New Roman" w:hAnsi="Arial" w:cs="Arial"/>
                <w:sz w:val="17"/>
                <w:szCs w:val="17"/>
                <w:lang w:eastAsia="en-GB"/>
              </w:rPr>
            </w:pPr>
            <w:r w:rsidRPr="000B49EB">
              <w:rPr>
                <w:rFonts w:ascii="Arial" w:eastAsia="Times New Roman" w:hAnsi="Arial" w:cs="Arial"/>
                <w:sz w:val="17"/>
                <w:szCs w:val="17"/>
                <w:lang w:eastAsia="en-GB"/>
              </w:rPr>
              <w:t>Agriculture</w:t>
            </w:r>
            <w:r w:rsidRPr="000B49EB">
              <w:rPr>
                <w:rFonts w:ascii="Arial" w:eastAsia="Times New Roman" w:hAnsi="Arial" w:cs="Arial"/>
                <w:sz w:val="17"/>
                <w:szCs w:val="17"/>
                <w:lang w:eastAsia="en-GB"/>
              </w:rPr>
              <w:tab/>
            </w:r>
          </w:p>
        </w:tc>
        <w:tc>
          <w:tcPr>
            <w:tcW w:w="642" w:type="dxa"/>
            <w:tcBorders>
              <w:top w:val="single" w:sz="4" w:space="0" w:color="auto"/>
              <w:left w:val="single" w:sz="4" w:space="0" w:color="auto"/>
            </w:tcBorders>
            <w:vAlign w:val="center"/>
          </w:tcPr>
          <w:p w14:paraId="3B6A110F" w14:textId="1BB212DA"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13.2</w:t>
            </w:r>
          </w:p>
        </w:tc>
        <w:tc>
          <w:tcPr>
            <w:tcW w:w="643" w:type="dxa"/>
            <w:tcBorders>
              <w:top w:val="single" w:sz="4" w:space="0" w:color="auto"/>
            </w:tcBorders>
            <w:vAlign w:val="center"/>
          </w:tcPr>
          <w:p w14:paraId="6F1D3F3E" w14:textId="1989E6BA"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13.3</w:t>
            </w:r>
          </w:p>
        </w:tc>
        <w:tc>
          <w:tcPr>
            <w:tcW w:w="642" w:type="dxa"/>
            <w:tcBorders>
              <w:top w:val="single" w:sz="4" w:space="0" w:color="auto"/>
            </w:tcBorders>
            <w:vAlign w:val="center"/>
          </w:tcPr>
          <w:p w14:paraId="501022B6" w14:textId="5A65238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10.8</w:t>
            </w:r>
          </w:p>
        </w:tc>
        <w:tc>
          <w:tcPr>
            <w:tcW w:w="643" w:type="dxa"/>
            <w:tcBorders>
              <w:top w:val="single" w:sz="4" w:space="0" w:color="auto"/>
            </w:tcBorders>
            <w:vAlign w:val="center"/>
          </w:tcPr>
          <w:p w14:paraId="16107D42" w14:textId="751076C3"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5.8</w:t>
            </w:r>
          </w:p>
        </w:tc>
        <w:tc>
          <w:tcPr>
            <w:tcW w:w="642" w:type="dxa"/>
            <w:tcBorders>
              <w:top w:val="single" w:sz="4" w:space="0" w:color="auto"/>
            </w:tcBorders>
            <w:vAlign w:val="center"/>
          </w:tcPr>
          <w:p w14:paraId="11A1F7FD" w14:textId="13A901B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6.4</w:t>
            </w:r>
          </w:p>
        </w:tc>
        <w:tc>
          <w:tcPr>
            <w:tcW w:w="643" w:type="dxa"/>
            <w:tcBorders>
              <w:top w:val="single" w:sz="4" w:space="0" w:color="auto"/>
              <w:right w:val="single" w:sz="4" w:space="0" w:color="auto"/>
            </w:tcBorders>
            <w:vAlign w:val="center"/>
          </w:tcPr>
          <w:p w14:paraId="0DB3626E" w14:textId="55B29786"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4.6</w:t>
            </w:r>
          </w:p>
        </w:tc>
        <w:tc>
          <w:tcPr>
            <w:tcW w:w="642" w:type="dxa"/>
            <w:tcBorders>
              <w:top w:val="single" w:sz="4" w:space="0" w:color="auto"/>
              <w:left w:val="single" w:sz="4" w:space="0" w:color="auto"/>
            </w:tcBorders>
            <w:vAlign w:val="center"/>
          </w:tcPr>
          <w:p w14:paraId="35D3CE4F" w14:textId="1619EEEF"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tcBorders>
              <w:top w:val="single" w:sz="4" w:space="0" w:color="auto"/>
            </w:tcBorders>
            <w:vAlign w:val="center"/>
          </w:tcPr>
          <w:p w14:paraId="199E76F5" w14:textId="0459D0ED"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15.6</w:t>
            </w:r>
          </w:p>
        </w:tc>
        <w:tc>
          <w:tcPr>
            <w:tcW w:w="643" w:type="dxa"/>
            <w:tcBorders>
              <w:top w:val="single" w:sz="4" w:space="0" w:color="auto"/>
            </w:tcBorders>
            <w:vAlign w:val="center"/>
          </w:tcPr>
          <w:p w14:paraId="6F4648B4" w14:textId="4141F2A6"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13.5</w:t>
            </w:r>
          </w:p>
        </w:tc>
        <w:tc>
          <w:tcPr>
            <w:tcW w:w="644" w:type="dxa"/>
            <w:tcBorders>
              <w:top w:val="single" w:sz="4" w:space="0" w:color="auto"/>
            </w:tcBorders>
            <w:vAlign w:val="center"/>
          </w:tcPr>
          <w:p w14:paraId="766007F7" w14:textId="159104CB"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14.5</w:t>
            </w:r>
          </w:p>
        </w:tc>
        <w:tc>
          <w:tcPr>
            <w:tcW w:w="643" w:type="dxa"/>
            <w:tcBorders>
              <w:top w:val="single" w:sz="4" w:space="0" w:color="auto"/>
            </w:tcBorders>
            <w:vAlign w:val="center"/>
          </w:tcPr>
          <w:p w14:paraId="5D1E8232" w14:textId="59238816"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11.9</w:t>
            </w:r>
          </w:p>
        </w:tc>
        <w:tc>
          <w:tcPr>
            <w:tcW w:w="644" w:type="dxa"/>
            <w:tcBorders>
              <w:top w:val="single" w:sz="4" w:space="0" w:color="auto"/>
              <w:right w:val="single" w:sz="4" w:space="0" w:color="auto"/>
            </w:tcBorders>
            <w:vAlign w:val="center"/>
          </w:tcPr>
          <w:p w14:paraId="76758E8E" w14:textId="08C87FAF"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10.5</w:t>
            </w:r>
          </w:p>
        </w:tc>
        <w:tc>
          <w:tcPr>
            <w:tcW w:w="643" w:type="dxa"/>
            <w:tcBorders>
              <w:top w:val="single" w:sz="4" w:space="0" w:color="auto"/>
              <w:left w:val="single" w:sz="4" w:space="0" w:color="auto"/>
            </w:tcBorders>
            <w:vAlign w:val="center"/>
          </w:tcPr>
          <w:p w14:paraId="16EAC7FD" w14:textId="7432370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tcBorders>
              <w:top w:val="single" w:sz="4" w:space="0" w:color="auto"/>
            </w:tcBorders>
            <w:vAlign w:val="center"/>
          </w:tcPr>
          <w:p w14:paraId="4806E5B0" w14:textId="738A01D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0.8</w:t>
            </w:r>
          </w:p>
        </w:tc>
        <w:tc>
          <w:tcPr>
            <w:tcW w:w="643" w:type="dxa"/>
            <w:tcBorders>
              <w:top w:val="single" w:sz="4" w:space="0" w:color="auto"/>
            </w:tcBorders>
            <w:vAlign w:val="center"/>
          </w:tcPr>
          <w:p w14:paraId="4BA6744B" w14:textId="0DE1FEA3"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0.7</w:t>
            </w:r>
          </w:p>
        </w:tc>
        <w:tc>
          <w:tcPr>
            <w:tcW w:w="644" w:type="dxa"/>
            <w:tcBorders>
              <w:top w:val="single" w:sz="4" w:space="0" w:color="auto"/>
            </w:tcBorders>
            <w:vAlign w:val="center"/>
          </w:tcPr>
          <w:p w14:paraId="4BC8358A" w14:textId="2680645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0.4</w:t>
            </w:r>
          </w:p>
        </w:tc>
        <w:tc>
          <w:tcPr>
            <w:tcW w:w="643" w:type="dxa"/>
            <w:tcBorders>
              <w:top w:val="single" w:sz="4" w:space="0" w:color="auto"/>
            </w:tcBorders>
            <w:vAlign w:val="center"/>
          </w:tcPr>
          <w:p w14:paraId="5ABAD63C" w14:textId="7762556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0.6</w:t>
            </w:r>
          </w:p>
        </w:tc>
        <w:tc>
          <w:tcPr>
            <w:tcW w:w="644" w:type="dxa"/>
            <w:tcBorders>
              <w:top w:val="single" w:sz="4" w:space="0" w:color="auto"/>
            </w:tcBorders>
            <w:vAlign w:val="center"/>
          </w:tcPr>
          <w:p w14:paraId="4CB9933D" w14:textId="67D3C77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0.5</w:t>
            </w:r>
          </w:p>
        </w:tc>
      </w:tr>
      <w:tr w:rsidR="008A6062" w:rsidRPr="000B49EB" w14:paraId="6E2A5D71" w14:textId="77777777" w:rsidTr="008A6062">
        <w:trPr>
          <w:trHeight w:val="240"/>
        </w:trPr>
        <w:tc>
          <w:tcPr>
            <w:tcW w:w="2426" w:type="dxa"/>
            <w:tcBorders>
              <w:right w:val="single" w:sz="4" w:space="0" w:color="auto"/>
            </w:tcBorders>
            <w:shd w:val="clear" w:color="auto" w:fill="auto"/>
            <w:noWrap/>
            <w:vAlign w:val="center"/>
            <w:hideMark/>
          </w:tcPr>
          <w:p w14:paraId="21D4245B"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 xml:space="preserve">Mining &amp; utilities </w:t>
            </w:r>
          </w:p>
        </w:tc>
        <w:tc>
          <w:tcPr>
            <w:tcW w:w="642" w:type="dxa"/>
            <w:tcBorders>
              <w:left w:val="single" w:sz="4" w:space="0" w:color="auto"/>
            </w:tcBorders>
            <w:vAlign w:val="center"/>
          </w:tcPr>
          <w:p w14:paraId="6283794B" w14:textId="3F6BE0AC"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3.3</w:t>
            </w:r>
          </w:p>
        </w:tc>
        <w:tc>
          <w:tcPr>
            <w:tcW w:w="643" w:type="dxa"/>
            <w:vAlign w:val="center"/>
          </w:tcPr>
          <w:p w14:paraId="68D121F6" w14:textId="2896FD0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3.3</w:t>
            </w:r>
          </w:p>
        </w:tc>
        <w:tc>
          <w:tcPr>
            <w:tcW w:w="642" w:type="dxa"/>
            <w:vAlign w:val="center"/>
          </w:tcPr>
          <w:p w14:paraId="3A10D3E7" w14:textId="4375C78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4.2</w:t>
            </w:r>
          </w:p>
        </w:tc>
        <w:tc>
          <w:tcPr>
            <w:tcW w:w="643" w:type="dxa"/>
            <w:vAlign w:val="center"/>
          </w:tcPr>
          <w:p w14:paraId="329E1039" w14:textId="1873E1DB"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5.2</w:t>
            </w:r>
          </w:p>
        </w:tc>
        <w:tc>
          <w:tcPr>
            <w:tcW w:w="642" w:type="dxa"/>
            <w:vAlign w:val="center"/>
          </w:tcPr>
          <w:p w14:paraId="74E1233C" w14:textId="30AC4C4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3.3</w:t>
            </w:r>
          </w:p>
        </w:tc>
        <w:tc>
          <w:tcPr>
            <w:tcW w:w="643" w:type="dxa"/>
            <w:tcBorders>
              <w:right w:val="single" w:sz="4" w:space="0" w:color="auto"/>
            </w:tcBorders>
            <w:vAlign w:val="center"/>
          </w:tcPr>
          <w:p w14:paraId="7C11AE67" w14:textId="5CF7F339"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2.7</w:t>
            </w:r>
          </w:p>
        </w:tc>
        <w:tc>
          <w:tcPr>
            <w:tcW w:w="642" w:type="dxa"/>
            <w:tcBorders>
              <w:left w:val="single" w:sz="4" w:space="0" w:color="auto"/>
            </w:tcBorders>
            <w:vAlign w:val="center"/>
          </w:tcPr>
          <w:p w14:paraId="4D5C9E21" w14:textId="4912F960"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vAlign w:val="center"/>
          </w:tcPr>
          <w:p w14:paraId="752B2370" w14:textId="2E9280B8"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w:t>
            </w:r>
          </w:p>
        </w:tc>
        <w:tc>
          <w:tcPr>
            <w:tcW w:w="643" w:type="dxa"/>
            <w:vAlign w:val="center"/>
          </w:tcPr>
          <w:p w14:paraId="12FB7C85" w14:textId="3C8B924E"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0.5</w:t>
            </w:r>
          </w:p>
        </w:tc>
        <w:tc>
          <w:tcPr>
            <w:tcW w:w="644" w:type="dxa"/>
            <w:vAlign w:val="center"/>
          </w:tcPr>
          <w:p w14:paraId="54E4C552" w14:textId="1DF77CEA"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0.5</w:t>
            </w:r>
          </w:p>
        </w:tc>
        <w:tc>
          <w:tcPr>
            <w:tcW w:w="643" w:type="dxa"/>
            <w:vAlign w:val="center"/>
          </w:tcPr>
          <w:p w14:paraId="6772ADCF" w14:textId="0BE858B5"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0.7</w:t>
            </w:r>
          </w:p>
        </w:tc>
        <w:tc>
          <w:tcPr>
            <w:tcW w:w="644" w:type="dxa"/>
            <w:tcBorders>
              <w:right w:val="single" w:sz="4" w:space="0" w:color="auto"/>
            </w:tcBorders>
            <w:vAlign w:val="center"/>
          </w:tcPr>
          <w:p w14:paraId="3582C1EE" w14:textId="784B813B"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w:t>
            </w:r>
          </w:p>
        </w:tc>
        <w:tc>
          <w:tcPr>
            <w:tcW w:w="643" w:type="dxa"/>
            <w:tcBorders>
              <w:left w:val="single" w:sz="4" w:space="0" w:color="auto"/>
            </w:tcBorders>
            <w:vAlign w:val="center"/>
          </w:tcPr>
          <w:p w14:paraId="7456983B" w14:textId="6EA9407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vAlign w:val="center"/>
          </w:tcPr>
          <w:p w14:paraId="391B084B" w14:textId="547CC09C"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3.2</w:t>
            </w:r>
          </w:p>
        </w:tc>
        <w:tc>
          <w:tcPr>
            <w:tcW w:w="643" w:type="dxa"/>
            <w:vAlign w:val="center"/>
          </w:tcPr>
          <w:p w14:paraId="5D19FEA2" w14:textId="190C0CCA"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5.5</w:t>
            </w:r>
          </w:p>
        </w:tc>
        <w:tc>
          <w:tcPr>
            <w:tcW w:w="644" w:type="dxa"/>
            <w:vAlign w:val="center"/>
          </w:tcPr>
          <w:p w14:paraId="494A8171" w14:textId="6826CC5C"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10.2</w:t>
            </w:r>
          </w:p>
        </w:tc>
        <w:tc>
          <w:tcPr>
            <w:tcW w:w="643" w:type="dxa"/>
            <w:vAlign w:val="center"/>
          </w:tcPr>
          <w:p w14:paraId="4A5497CE" w14:textId="34F1579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4.6</w:t>
            </w:r>
          </w:p>
        </w:tc>
        <w:tc>
          <w:tcPr>
            <w:tcW w:w="644" w:type="dxa"/>
            <w:vAlign w:val="center"/>
          </w:tcPr>
          <w:p w14:paraId="2A5085D1" w14:textId="450A4E6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2.7</w:t>
            </w:r>
          </w:p>
        </w:tc>
      </w:tr>
      <w:tr w:rsidR="008A6062" w:rsidRPr="000B49EB" w14:paraId="135A377C" w14:textId="77777777" w:rsidTr="008A6062">
        <w:trPr>
          <w:trHeight w:val="240"/>
        </w:trPr>
        <w:tc>
          <w:tcPr>
            <w:tcW w:w="2426" w:type="dxa"/>
            <w:tcBorders>
              <w:right w:val="single" w:sz="4" w:space="0" w:color="auto"/>
            </w:tcBorders>
            <w:shd w:val="clear" w:color="auto" w:fill="auto"/>
            <w:noWrap/>
            <w:vAlign w:val="center"/>
            <w:hideMark/>
          </w:tcPr>
          <w:p w14:paraId="6A4FB2EE"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Manufacturing</w:t>
            </w:r>
          </w:p>
        </w:tc>
        <w:tc>
          <w:tcPr>
            <w:tcW w:w="642" w:type="dxa"/>
            <w:tcBorders>
              <w:left w:val="single" w:sz="4" w:space="0" w:color="auto"/>
            </w:tcBorders>
            <w:vAlign w:val="center"/>
          </w:tcPr>
          <w:p w14:paraId="0E905078" w14:textId="2F3AB5F6"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17.2</w:t>
            </w:r>
          </w:p>
        </w:tc>
        <w:tc>
          <w:tcPr>
            <w:tcW w:w="643" w:type="dxa"/>
            <w:vAlign w:val="center"/>
          </w:tcPr>
          <w:p w14:paraId="516BD6AC" w14:textId="7A63798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17.2</w:t>
            </w:r>
          </w:p>
        </w:tc>
        <w:tc>
          <w:tcPr>
            <w:tcW w:w="642" w:type="dxa"/>
            <w:vAlign w:val="center"/>
          </w:tcPr>
          <w:p w14:paraId="31175E79" w14:textId="553B1899"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11.7</w:t>
            </w:r>
          </w:p>
        </w:tc>
        <w:tc>
          <w:tcPr>
            <w:tcW w:w="643" w:type="dxa"/>
            <w:vAlign w:val="center"/>
          </w:tcPr>
          <w:p w14:paraId="68902790" w14:textId="572B818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14.0</w:t>
            </w:r>
          </w:p>
        </w:tc>
        <w:tc>
          <w:tcPr>
            <w:tcW w:w="642" w:type="dxa"/>
            <w:vAlign w:val="center"/>
          </w:tcPr>
          <w:p w14:paraId="7D4AB6D2" w14:textId="3B14A049"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15.3</w:t>
            </w:r>
          </w:p>
        </w:tc>
        <w:tc>
          <w:tcPr>
            <w:tcW w:w="643" w:type="dxa"/>
            <w:tcBorders>
              <w:right w:val="single" w:sz="4" w:space="0" w:color="auto"/>
            </w:tcBorders>
            <w:vAlign w:val="center"/>
          </w:tcPr>
          <w:p w14:paraId="36548BA1" w14:textId="2155E99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16.6</w:t>
            </w:r>
          </w:p>
        </w:tc>
        <w:tc>
          <w:tcPr>
            <w:tcW w:w="642" w:type="dxa"/>
            <w:tcBorders>
              <w:left w:val="single" w:sz="4" w:space="0" w:color="auto"/>
            </w:tcBorders>
            <w:vAlign w:val="center"/>
          </w:tcPr>
          <w:p w14:paraId="647D6432" w14:textId="1AB6447F"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vAlign w:val="center"/>
          </w:tcPr>
          <w:p w14:paraId="3979C1A8" w14:textId="3CC60741"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18.3</w:t>
            </w:r>
          </w:p>
        </w:tc>
        <w:tc>
          <w:tcPr>
            <w:tcW w:w="643" w:type="dxa"/>
            <w:vAlign w:val="center"/>
          </w:tcPr>
          <w:p w14:paraId="0F072EAA" w14:textId="0425B4B3"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14.1</w:t>
            </w:r>
          </w:p>
        </w:tc>
        <w:tc>
          <w:tcPr>
            <w:tcW w:w="644" w:type="dxa"/>
            <w:vAlign w:val="center"/>
          </w:tcPr>
          <w:p w14:paraId="2195E110" w14:textId="1FF2F2AD"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12.8</w:t>
            </w:r>
          </w:p>
        </w:tc>
        <w:tc>
          <w:tcPr>
            <w:tcW w:w="643" w:type="dxa"/>
            <w:vAlign w:val="center"/>
          </w:tcPr>
          <w:p w14:paraId="0DE7EA39" w14:textId="732C40C2"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12.6</w:t>
            </w:r>
          </w:p>
        </w:tc>
        <w:tc>
          <w:tcPr>
            <w:tcW w:w="644" w:type="dxa"/>
            <w:tcBorders>
              <w:right w:val="single" w:sz="4" w:space="0" w:color="auto"/>
            </w:tcBorders>
            <w:vAlign w:val="center"/>
          </w:tcPr>
          <w:p w14:paraId="15114428" w14:textId="1547B80E"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11.6</w:t>
            </w:r>
          </w:p>
        </w:tc>
        <w:tc>
          <w:tcPr>
            <w:tcW w:w="643" w:type="dxa"/>
            <w:tcBorders>
              <w:left w:val="single" w:sz="4" w:space="0" w:color="auto"/>
            </w:tcBorders>
            <w:vAlign w:val="center"/>
          </w:tcPr>
          <w:p w14:paraId="527075E4" w14:textId="26D9286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vAlign w:val="center"/>
          </w:tcPr>
          <w:p w14:paraId="3F6790FB" w14:textId="18A678A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w:t>
            </w:r>
          </w:p>
        </w:tc>
        <w:tc>
          <w:tcPr>
            <w:tcW w:w="643" w:type="dxa"/>
            <w:vAlign w:val="center"/>
          </w:tcPr>
          <w:p w14:paraId="0331CF45" w14:textId="2F8BD1A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0.9</w:t>
            </w:r>
          </w:p>
        </w:tc>
        <w:tc>
          <w:tcPr>
            <w:tcW w:w="644" w:type="dxa"/>
            <w:vAlign w:val="center"/>
          </w:tcPr>
          <w:p w14:paraId="28E934A1" w14:textId="3665AF2B"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1.1</w:t>
            </w:r>
          </w:p>
        </w:tc>
        <w:tc>
          <w:tcPr>
            <w:tcW w:w="643" w:type="dxa"/>
            <w:vAlign w:val="center"/>
          </w:tcPr>
          <w:p w14:paraId="1594BE90" w14:textId="12F8890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w:t>
            </w:r>
          </w:p>
        </w:tc>
        <w:tc>
          <w:tcPr>
            <w:tcW w:w="644" w:type="dxa"/>
            <w:vAlign w:val="center"/>
          </w:tcPr>
          <w:p w14:paraId="065F5C07" w14:textId="4F28F8F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w:t>
            </w:r>
          </w:p>
        </w:tc>
      </w:tr>
      <w:tr w:rsidR="008A6062" w:rsidRPr="000B49EB" w14:paraId="37E9DAF8" w14:textId="77777777" w:rsidTr="008A6062">
        <w:trPr>
          <w:trHeight w:val="240"/>
        </w:trPr>
        <w:tc>
          <w:tcPr>
            <w:tcW w:w="2426" w:type="dxa"/>
            <w:tcBorders>
              <w:right w:val="single" w:sz="4" w:space="0" w:color="auto"/>
            </w:tcBorders>
            <w:shd w:val="clear" w:color="auto" w:fill="auto"/>
            <w:noWrap/>
            <w:vAlign w:val="center"/>
            <w:hideMark/>
          </w:tcPr>
          <w:p w14:paraId="070F59B5"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Construction</w:t>
            </w:r>
          </w:p>
        </w:tc>
        <w:tc>
          <w:tcPr>
            <w:tcW w:w="642" w:type="dxa"/>
            <w:tcBorders>
              <w:left w:val="single" w:sz="4" w:space="0" w:color="auto"/>
            </w:tcBorders>
            <w:vAlign w:val="center"/>
          </w:tcPr>
          <w:p w14:paraId="72F11711" w14:textId="77EFDE62"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10.1</w:t>
            </w:r>
          </w:p>
        </w:tc>
        <w:tc>
          <w:tcPr>
            <w:tcW w:w="643" w:type="dxa"/>
            <w:vAlign w:val="center"/>
          </w:tcPr>
          <w:p w14:paraId="260EEEB9" w14:textId="4833583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10.1</w:t>
            </w:r>
          </w:p>
        </w:tc>
        <w:tc>
          <w:tcPr>
            <w:tcW w:w="642" w:type="dxa"/>
            <w:vAlign w:val="center"/>
          </w:tcPr>
          <w:p w14:paraId="25E8F950" w14:textId="74CB8D7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8.1</w:t>
            </w:r>
          </w:p>
        </w:tc>
        <w:tc>
          <w:tcPr>
            <w:tcW w:w="643" w:type="dxa"/>
            <w:vAlign w:val="center"/>
          </w:tcPr>
          <w:p w14:paraId="75B13E30" w14:textId="3FFE1DF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6.6</w:t>
            </w:r>
          </w:p>
        </w:tc>
        <w:tc>
          <w:tcPr>
            <w:tcW w:w="642" w:type="dxa"/>
            <w:vAlign w:val="center"/>
          </w:tcPr>
          <w:p w14:paraId="2BABA642" w14:textId="12D1490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4.7</w:t>
            </w:r>
          </w:p>
        </w:tc>
        <w:tc>
          <w:tcPr>
            <w:tcW w:w="643" w:type="dxa"/>
            <w:tcBorders>
              <w:right w:val="single" w:sz="4" w:space="0" w:color="auto"/>
            </w:tcBorders>
            <w:vAlign w:val="center"/>
          </w:tcPr>
          <w:p w14:paraId="7315FE53" w14:textId="01EA79E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6.6</w:t>
            </w:r>
          </w:p>
        </w:tc>
        <w:tc>
          <w:tcPr>
            <w:tcW w:w="642" w:type="dxa"/>
            <w:tcBorders>
              <w:left w:val="single" w:sz="4" w:space="0" w:color="auto"/>
            </w:tcBorders>
            <w:vAlign w:val="center"/>
          </w:tcPr>
          <w:p w14:paraId="2DCAB9E1" w14:textId="7B26526F"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vAlign w:val="center"/>
          </w:tcPr>
          <w:p w14:paraId="5549ACA7" w14:textId="34F2F541"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10.2</w:t>
            </w:r>
          </w:p>
        </w:tc>
        <w:tc>
          <w:tcPr>
            <w:tcW w:w="643" w:type="dxa"/>
            <w:vAlign w:val="center"/>
          </w:tcPr>
          <w:p w14:paraId="06715A30" w14:textId="6666D4C2"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19.7</w:t>
            </w:r>
          </w:p>
        </w:tc>
        <w:tc>
          <w:tcPr>
            <w:tcW w:w="644" w:type="dxa"/>
            <w:vAlign w:val="center"/>
          </w:tcPr>
          <w:p w14:paraId="459D9CE8" w14:textId="66212FBA"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12.8</w:t>
            </w:r>
          </w:p>
        </w:tc>
        <w:tc>
          <w:tcPr>
            <w:tcW w:w="643" w:type="dxa"/>
            <w:vAlign w:val="center"/>
          </w:tcPr>
          <w:p w14:paraId="4A995655" w14:textId="64236D4B"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13.3</w:t>
            </w:r>
          </w:p>
        </w:tc>
        <w:tc>
          <w:tcPr>
            <w:tcW w:w="644" w:type="dxa"/>
            <w:tcBorders>
              <w:right w:val="single" w:sz="4" w:space="0" w:color="auto"/>
            </w:tcBorders>
            <w:vAlign w:val="center"/>
          </w:tcPr>
          <w:p w14:paraId="7791E3DA" w14:textId="26EB1803"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15.5</w:t>
            </w:r>
          </w:p>
        </w:tc>
        <w:tc>
          <w:tcPr>
            <w:tcW w:w="643" w:type="dxa"/>
            <w:tcBorders>
              <w:left w:val="single" w:sz="4" w:space="0" w:color="auto"/>
            </w:tcBorders>
            <w:vAlign w:val="center"/>
          </w:tcPr>
          <w:p w14:paraId="32DF0E65" w14:textId="6C6DF95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vAlign w:val="center"/>
          </w:tcPr>
          <w:p w14:paraId="3237F742" w14:textId="358C4CD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0.6</w:t>
            </w:r>
          </w:p>
        </w:tc>
        <w:tc>
          <w:tcPr>
            <w:tcW w:w="643" w:type="dxa"/>
            <w:vAlign w:val="center"/>
          </w:tcPr>
          <w:p w14:paraId="28156C28" w14:textId="2E4AE93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0.4</w:t>
            </w:r>
          </w:p>
        </w:tc>
        <w:tc>
          <w:tcPr>
            <w:tcW w:w="644" w:type="dxa"/>
            <w:vAlign w:val="center"/>
          </w:tcPr>
          <w:p w14:paraId="58E2F174" w14:textId="265E948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0.5</w:t>
            </w:r>
          </w:p>
        </w:tc>
        <w:tc>
          <w:tcPr>
            <w:tcW w:w="643" w:type="dxa"/>
            <w:vAlign w:val="center"/>
          </w:tcPr>
          <w:p w14:paraId="1555CE74" w14:textId="38E0D6C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0.7</w:t>
            </w:r>
          </w:p>
        </w:tc>
        <w:tc>
          <w:tcPr>
            <w:tcW w:w="644" w:type="dxa"/>
            <w:vAlign w:val="center"/>
          </w:tcPr>
          <w:p w14:paraId="17DDED6B" w14:textId="34317A9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0.7</w:t>
            </w:r>
          </w:p>
        </w:tc>
      </w:tr>
      <w:tr w:rsidR="008A6062" w:rsidRPr="000B49EB" w14:paraId="0124CD16" w14:textId="77777777" w:rsidTr="008A6062">
        <w:trPr>
          <w:trHeight w:val="240"/>
        </w:trPr>
        <w:tc>
          <w:tcPr>
            <w:tcW w:w="2426" w:type="dxa"/>
            <w:tcBorders>
              <w:right w:val="single" w:sz="4" w:space="0" w:color="auto"/>
            </w:tcBorders>
            <w:shd w:val="clear" w:color="auto" w:fill="auto"/>
            <w:noWrap/>
            <w:vAlign w:val="center"/>
            <w:hideMark/>
          </w:tcPr>
          <w:p w14:paraId="21821F4E"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Wholesale, retail, hotels</w:t>
            </w:r>
          </w:p>
        </w:tc>
        <w:tc>
          <w:tcPr>
            <w:tcW w:w="642" w:type="dxa"/>
            <w:tcBorders>
              <w:left w:val="single" w:sz="4" w:space="0" w:color="auto"/>
            </w:tcBorders>
            <w:vAlign w:val="center"/>
          </w:tcPr>
          <w:p w14:paraId="17F7CA8E" w14:textId="1B52E11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14.5</w:t>
            </w:r>
          </w:p>
        </w:tc>
        <w:tc>
          <w:tcPr>
            <w:tcW w:w="643" w:type="dxa"/>
            <w:vAlign w:val="center"/>
          </w:tcPr>
          <w:p w14:paraId="18226D8C" w14:textId="5592113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14.3</w:t>
            </w:r>
          </w:p>
        </w:tc>
        <w:tc>
          <w:tcPr>
            <w:tcW w:w="642" w:type="dxa"/>
            <w:vAlign w:val="center"/>
          </w:tcPr>
          <w:p w14:paraId="7BD16408" w14:textId="5FAB3E0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13.8</w:t>
            </w:r>
          </w:p>
        </w:tc>
        <w:tc>
          <w:tcPr>
            <w:tcW w:w="643" w:type="dxa"/>
            <w:vAlign w:val="center"/>
          </w:tcPr>
          <w:p w14:paraId="2AF76E62" w14:textId="477669BB"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13.2</w:t>
            </w:r>
          </w:p>
        </w:tc>
        <w:tc>
          <w:tcPr>
            <w:tcW w:w="642" w:type="dxa"/>
            <w:vAlign w:val="center"/>
          </w:tcPr>
          <w:p w14:paraId="71527998" w14:textId="24C2FBB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20.6</w:t>
            </w:r>
          </w:p>
        </w:tc>
        <w:tc>
          <w:tcPr>
            <w:tcW w:w="643" w:type="dxa"/>
            <w:tcBorders>
              <w:right w:val="single" w:sz="4" w:space="0" w:color="auto"/>
            </w:tcBorders>
            <w:vAlign w:val="center"/>
          </w:tcPr>
          <w:p w14:paraId="040FADD0" w14:textId="673F213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21.7</w:t>
            </w:r>
          </w:p>
        </w:tc>
        <w:tc>
          <w:tcPr>
            <w:tcW w:w="642" w:type="dxa"/>
            <w:tcBorders>
              <w:left w:val="single" w:sz="4" w:space="0" w:color="auto"/>
            </w:tcBorders>
            <w:vAlign w:val="center"/>
          </w:tcPr>
          <w:p w14:paraId="688BC61F" w14:textId="123DBA81"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vAlign w:val="center"/>
          </w:tcPr>
          <w:p w14:paraId="553C90FE" w14:textId="7AF15F89"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19.1</w:t>
            </w:r>
          </w:p>
        </w:tc>
        <w:tc>
          <w:tcPr>
            <w:tcW w:w="643" w:type="dxa"/>
            <w:vAlign w:val="center"/>
          </w:tcPr>
          <w:p w14:paraId="0F93322C" w14:textId="522C398D"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17.5</w:t>
            </w:r>
          </w:p>
        </w:tc>
        <w:tc>
          <w:tcPr>
            <w:tcW w:w="644" w:type="dxa"/>
            <w:vAlign w:val="center"/>
          </w:tcPr>
          <w:p w14:paraId="1CF889EB" w14:textId="27F6A6C1"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19.5</w:t>
            </w:r>
          </w:p>
        </w:tc>
        <w:tc>
          <w:tcPr>
            <w:tcW w:w="643" w:type="dxa"/>
            <w:vAlign w:val="center"/>
          </w:tcPr>
          <w:p w14:paraId="05CFBE3D" w14:textId="67E8EF4D"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20.1</w:t>
            </w:r>
          </w:p>
        </w:tc>
        <w:tc>
          <w:tcPr>
            <w:tcW w:w="644" w:type="dxa"/>
            <w:tcBorders>
              <w:right w:val="single" w:sz="4" w:space="0" w:color="auto"/>
            </w:tcBorders>
            <w:vAlign w:val="center"/>
          </w:tcPr>
          <w:p w14:paraId="0DC1D0AD" w14:textId="6123524B"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19.6</w:t>
            </w:r>
          </w:p>
        </w:tc>
        <w:tc>
          <w:tcPr>
            <w:tcW w:w="643" w:type="dxa"/>
            <w:tcBorders>
              <w:left w:val="single" w:sz="4" w:space="0" w:color="auto"/>
            </w:tcBorders>
            <w:vAlign w:val="center"/>
          </w:tcPr>
          <w:p w14:paraId="5F6F3E42" w14:textId="19735FC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vAlign w:val="center"/>
          </w:tcPr>
          <w:p w14:paraId="49B459C5" w14:textId="7DC6C8C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0.9</w:t>
            </w:r>
          </w:p>
        </w:tc>
        <w:tc>
          <w:tcPr>
            <w:tcW w:w="643" w:type="dxa"/>
            <w:vAlign w:val="center"/>
          </w:tcPr>
          <w:p w14:paraId="26E4B4B5" w14:textId="2B10591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0.9</w:t>
            </w:r>
          </w:p>
        </w:tc>
        <w:tc>
          <w:tcPr>
            <w:tcW w:w="644" w:type="dxa"/>
            <w:vAlign w:val="center"/>
          </w:tcPr>
          <w:p w14:paraId="2EF54AF0" w14:textId="569A9042"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0.7</w:t>
            </w:r>
          </w:p>
        </w:tc>
        <w:tc>
          <w:tcPr>
            <w:tcW w:w="643" w:type="dxa"/>
            <w:vAlign w:val="center"/>
          </w:tcPr>
          <w:p w14:paraId="1348A219" w14:textId="7B60FA32"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w:t>
            </w:r>
          </w:p>
        </w:tc>
        <w:tc>
          <w:tcPr>
            <w:tcW w:w="644" w:type="dxa"/>
            <w:vAlign w:val="center"/>
          </w:tcPr>
          <w:p w14:paraId="647F4271" w14:textId="25D4B134"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1.1</w:t>
            </w:r>
          </w:p>
        </w:tc>
      </w:tr>
      <w:tr w:rsidR="008A6062" w:rsidRPr="000B49EB" w14:paraId="1952F631" w14:textId="77777777" w:rsidTr="008A6062">
        <w:trPr>
          <w:trHeight w:val="240"/>
        </w:trPr>
        <w:tc>
          <w:tcPr>
            <w:tcW w:w="2426" w:type="dxa"/>
            <w:tcBorders>
              <w:right w:val="single" w:sz="4" w:space="0" w:color="auto"/>
            </w:tcBorders>
            <w:shd w:val="clear" w:color="auto" w:fill="auto"/>
            <w:noWrap/>
            <w:vAlign w:val="center"/>
            <w:hideMark/>
          </w:tcPr>
          <w:p w14:paraId="7BDC64E9"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 xml:space="preserve">Transport, storage, </w:t>
            </w:r>
            <w:proofErr w:type="spellStart"/>
            <w:r w:rsidRPr="000B49EB">
              <w:rPr>
                <w:rFonts w:ascii="Arial" w:eastAsia="Times New Roman" w:hAnsi="Arial" w:cs="Arial"/>
                <w:sz w:val="17"/>
                <w:szCs w:val="17"/>
                <w:lang w:eastAsia="en-GB"/>
              </w:rPr>
              <w:t>comms</w:t>
            </w:r>
            <w:proofErr w:type="spellEnd"/>
          </w:p>
        </w:tc>
        <w:tc>
          <w:tcPr>
            <w:tcW w:w="642" w:type="dxa"/>
            <w:tcBorders>
              <w:left w:val="single" w:sz="4" w:space="0" w:color="auto"/>
            </w:tcBorders>
            <w:vAlign w:val="center"/>
          </w:tcPr>
          <w:p w14:paraId="51182705" w14:textId="7BEB6D9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3.7</w:t>
            </w:r>
          </w:p>
        </w:tc>
        <w:tc>
          <w:tcPr>
            <w:tcW w:w="643" w:type="dxa"/>
            <w:vAlign w:val="center"/>
          </w:tcPr>
          <w:p w14:paraId="269DD118" w14:textId="11D71AF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3.6</w:t>
            </w:r>
          </w:p>
        </w:tc>
        <w:tc>
          <w:tcPr>
            <w:tcW w:w="642" w:type="dxa"/>
            <w:vAlign w:val="center"/>
          </w:tcPr>
          <w:p w14:paraId="0F6B5D3D" w14:textId="043112C7"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5.3</w:t>
            </w:r>
          </w:p>
        </w:tc>
        <w:tc>
          <w:tcPr>
            <w:tcW w:w="643" w:type="dxa"/>
            <w:vAlign w:val="center"/>
          </w:tcPr>
          <w:p w14:paraId="24E4A6A2" w14:textId="69AA088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6.2</w:t>
            </w:r>
          </w:p>
        </w:tc>
        <w:tc>
          <w:tcPr>
            <w:tcW w:w="642" w:type="dxa"/>
            <w:vAlign w:val="center"/>
          </w:tcPr>
          <w:p w14:paraId="72D9548A" w14:textId="3B14F6C9"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8.8</w:t>
            </w:r>
          </w:p>
        </w:tc>
        <w:tc>
          <w:tcPr>
            <w:tcW w:w="643" w:type="dxa"/>
            <w:tcBorders>
              <w:right w:val="single" w:sz="4" w:space="0" w:color="auto"/>
            </w:tcBorders>
            <w:vAlign w:val="center"/>
          </w:tcPr>
          <w:p w14:paraId="168D1B1C" w14:textId="2E4C402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7.9</w:t>
            </w:r>
          </w:p>
        </w:tc>
        <w:tc>
          <w:tcPr>
            <w:tcW w:w="642" w:type="dxa"/>
            <w:tcBorders>
              <w:left w:val="single" w:sz="4" w:space="0" w:color="auto"/>
            </w:tcBorders>
            <w:vAlign w:val="center"/>
          </w:tcPr>
          <w:p w14:paraId="3E55C715" w14:textId="4AF049AC"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vAlign w:val="center"/>
          </w:tcPr>
          <w:p w14:paraId="7BC33629" w14:textId="745EC30A"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4.8</w:t>
            </w:r>
          </w:p>
        </w:tc>
        <w:tc>
          <w:tcPr>
            <w:tcW w:w="643" w:type="dxa"/>
            <w:vAlign w:val="center"/>
          </w:tcPr>
          <w:p w14:paraId="0B01B251" w14:textId="6E118960"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5.1</w:t>
            </w:r>
          </w:p>
        </w:tc>
        <w:tc>
          <w:tcPr>
            <w:tcW w:w="644" w:type="dxa"/>
            <w:vAlign w:val="center"/>
          </w:tcPr>
          <w:p w14:paraId="5B2284CC" w14:textId="542538BE"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5.6</w:t>
            </w:r>
          </w:p>
        </w:tc>
        <w:tc>
          <w:tcPr>
            <w:tcW w:w="643" w:type="dxa"/>
            <w:vAlign w:val="center"/>
          </w:tcPr>
          <w:p w14:paraId="564D68DD" w14:textId="52FE9EBF"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6.1</w:t>
            </w:r>
          </w:p>
        </w:tc>
        <w:tc>
          <w:tcPr>
            <w:tcW w:w="644" w:type="dxa"/>
            <w:tcBorders>
              <w:right w:val="single" w:sz="4" w:space="0" w:color="auto"/>
            </w:tcBorders>
            <w:vAlign w:val="center"/>
          </w:tcPr>
          <w:p w14:paraId="72BCCF8E" w14:textId="59CECB62"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6.5</w:t>
            </w:r>
          </w:p>
        </w:tc>
        <w:tc>
          <w:tcPr>
            <w:tcW w:w="643" w:type="dxa"/>
            <w:tcBorders>
              <w:left w:val="single" w:sz="4" w:space="0" w:color="auto"/>
            </w:tcBorders>
            <w:vAlign w:val="center"/>
          </w:tcPr>
          <w:p w14:paraId="507382A8" w14:textId="2247664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vAlign w:val="center"/>
          </w:tcPr>
          <w:p w14:paraId="7A683B79" w14:textId="20D02FA0"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w:t>
            </w:r>
          </w:p>
        </w:tc>
        <w:tc>
          <w:tcPr>
            <w:tcW w:w="643" w:type="dxa"/>
            <w:vAlign w:val="center"/>
          </w:tcPr>
          <w:p w14:paraId="0BBE8600" w14:textId="05CE981C"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1.9</w:t>
            </w:r>
          </w:p>
        </w:tc>
        <w:tc>
          <w:tcPr>
            <w:tcW w:w="644" w:type="dxa"/>
            <w:vAlign w:val="center"/>
          </w:tcPr>
          <w:p w14:paraId="272756D6" w14:textId="1EA7237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1.1</w:t>
            </w:r>
          </w:p>
        </w:tc>
        <w:tc>
          <w:tcPr>
            <w:tcW w:w="643" w:type="dxa"/>
            <w:vAlign w:val="center"/>
          </w:tcPr>
          <w:p w14:paraId="2B3B295C" w14:textId="473E80C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1.5</w:t>
            </w:r>
          </w:p>
        </w:tc>
        <w:tc>
          <w:tcPr>
            <w:tcW w:w="644" w:type="dxa"/>
            <w:vAlign w:val="center"/>
          </w:tcPr>
          <w:p w14:paraId="17AE6B31" w14:textId="69D2636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1.3</w:t>
            </w:r>
          </w:p>
        </w:tc>
      </w:tr>
      <w:tr w:rsidR="008A6062" w:rsidRPr="000B49EB" w14:paraId="4E1BD095" w14:textId="77777777" w:rsidTr="008A6062">
        <w:trPr>
          <w:trHeight w:val="240"/>
        </w:trPr>
        <w:tc>
          <w:tcPr>
            <w:tcW w:w="2426" w:type="dxa"/>
            <w:tcBorders>
              <w:bottom w:val="single" w:sz="4" w:space="0" w:color="auto"/>
              <w:right w:val="single" w:sz="4" w:space="0" w:color="auto"/>
            </w:tcBorders>
            <w:shd w:val="clear" w:color="auto" w:fill="auto"/>
            <w:noWrap/>
            <w:vAlign w:val="center"/>
            <w:hideMark/>
          </w:tcPr>
          <w:p w14:paraId="1EBB82E8" w14:textId="77777777" w:rsidR="008A6062" w:rsidRPr="000B49EB" w:rsidRDefault="008A6062"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Other</w:t>
            </w:r>
          </w:p>
        </w:tc>
        <w:tc>
          <w:tcPr>
            <w:tcW w:w="642" w:type="dxa"/>
            <w:tcBorders>
              <w:left w:val="single" w:sz="4" w:space="0" w:color="auto"/>
              <w:bottom w:val="single" w:sz="4" w:space="0" w:color="auto"/>
            </w:tcBorders>
            <w:vAlign w:val="center"/>
          </w:tcPr>
          <w:p w14:paraId="1A99AE3D" w14:textId="3E460EC8"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37.9</w:t>
            </w:r>
          </w:p>
        </w:tc>
        <w:tc>
          <w:tcPr>
            <w:tcW w:w="643" w:type="dxa"/>
            <w:tcBorders>
              <w:bottom w:val="single" w:sz="4" w:space="0" w:color="auto"/>
            </w:tcBorders>
            <w:vAlign w:val="center"/>
          </w:tcPr>
          <w:p w14:paraId="14BE173B" w14:textId="20B1D6B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38.1</w:t>
            </w:r>
          </w:p>
        </w:tc>
        <w:tc>
          <w:tcPr>
            <w:tcW w:w="642" w:type="dxa"/>
            <w:tcBorders>
              <w:bottom w:val="single" w:sz="4" w:space="0" w:color="auto"/>
            </w:tcBorders>
            <w:vAlign w:val="center"/>
          </w:tcPr>
          <w:p w14:paraId="5B8DE755" w14:textId="6187E075"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46.1</w:t>
            </w:r>
          </w:p>
        </w:tc>
        <w:tc>
          <w:tcPr>
            <w:tcW w:w="643" w:type="dxa"/>
            <w:tcBorders>
              <w:bottom w:val="single" w:sz="4" w:space="0" w:color="auto"/>
            </w:tcBorders>
            <w:vAlign w:val="center"/>
          </w:tcPr>
          <w:p w14:paraId="6DF08ADB" w14:textId="34BAD381"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48.9</w:t>
            </w:r>
          </w:p>
        </w:tc>
        <w:tc>
          <w:tcPr>
            <w:tcW w:w="642" w:type="dxa"/>
            <w:tcBorders>
              <w:bottom w:val="single" w:sz="4" w:space="0" w:color="auto"/>
            </w:tcBorders>
            <w:vAlign w:val="center"/>
          </w:tcPr>
          <w:p w14:paraId="400BF1BD" w14:textId="7E50BE06"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40.8</w:t>
            </w:r>
          </w:p>
        </w:tc>
        <w:tc>
          <w:tcPr>
            <w:tcW w:w="643" w:type="dxa"/>
            <w:tcBorders>
              <w:bottom w:val="single" w:sz="4" w:space="0" w:color="auto"/>
              <w:right w:val="single" w:sz="4" w:space="0" w:color="auto"/>
            </w:tcBorders>
            <w:vAlign w:val="center"/>
          </w:tcPr>
          <w:p w14:paraId="2545B501" w14:textId="7A96D4E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39.9</w:t>
            </w:r>
          </w:p>
        </w:tc>
        <w:tc>
          <w:tcPr>
            <w:tcW w:w="642" w:type="dxa"/>
            <w:tcBorders>
              <w:left w:val="single" w:sz="4" w:space="0" w:color="auto"/>
              <w:bottom w:val="single" w:sz="4" w:space="0" w:color="auto"/>
            </w:tcBorders>
            <w:vAlign w:val="center"/>
          </w:tcPr>
          <w:p w14:paraId="7E3DBCEE" w14:textId="438FB893"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n/a</w:t>
            </w:r>
          </w:p>
        </w:tc>
        <w:tc>
          <w:tcPr>
            <w:tcW w:w="644" w:type="dxa"/>
            <w:tcBorders>
              <w:bottom w:val="single" w:sz="4" w:space="0" w:color="auto"/>
            </w:tcBorders>
            <w:vAlign w:val="center"/>
          </w:tcPr>
          <w:p w14:paraId="2185E0F0" w14:textId="50A2A4DE"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30.9</w:t>
            </w:r>
          </w:p>
        </w:tc>
        <w:tc>
          <w:tcPr>
            <w:tcW w:w="643" w:type="dxa"/>
            <w:tcBorders>
              <w:bottom w:val="single" w:sz="4" w:space="0" w:color="auto"/>
            </w:tcBorders>
            <w:vAlign w:val="center"/>
          </w:tcPr>
          <w:p w14:paraId="28130F03" w14:textId="1EAA615A"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29.6</w:t>
            </w:r>
          </w:p>
        </w:tc>
        <w:tc>
          <w:tcPr>
            <w:tcW w:w="644" w:type="dxa"/>
            <w:tcBorders>
              <w:bottom w:val="single" w:sz="4" w:space="0" w:color="auto"/>
            </w:tcBorders>
            <w:vAlign w:val="center"/>
          </w:tcPr>
          <w:p w14:paraId="7E33A5ED" w14:textId="714B8374"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34.2</w:t>
            </w:r>
          </w:p>
        </w:tc>
        <w:tc>
          <w:tcPr>
            <w:tcW w:w="643" w:type="dxa"/>
            <w:tcBorders>
              <w:bottom w:val="single" w:sz="4" w:space="0" w:color="auto"/>
            </w:tcBorders>
            <w:vAlign w:val="center"/>
          </w:tcPr>
          <w:p w14:paraId="1E716C03" w14:textId="47B7F662"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35.3</w:t>
            </w:r>
          </w:p>
        </w:tc>
        <w:tc>
          <w:tcPr>
            <w:tcW w:w="644" w:type="dxa"/>
            <w:tcBorders>
              <w:bottom w:val="single" w:sz="4" w:space="0" w:color="auto"/>
              <w:right w:val="single" w:sz="4" w:space="0" w:color="auto"/>
            </w:tcBorders>
            <w:vAlign w:val="center"/>
          </w:tcPr>
          <w:p w14:paraId="00496CC3" w14:textId="6D2C5388" w:rsidR="008A6062" w:rsidRPr="000B49EB" w:rsidRDefault="008A6062" w:rsidP="00904CFC">
            <w:pPr>
              <w:ind w:left="72" w:right="72"/>
              <w:jc w:val="right"/>
              <w:rPr>
                <w:rFonts w:ascii="Arial" w:hAnsi="Arial" w:cs="Arial"/>
                <w:sz w:val="17"/>
                <w:szCs w:val="17"/>
              </w:rPr>
            </w:pPr>
            <w:r w:rsidRPr="000B49EB">
              <w:rPr>
                <w:rFonts w:ascii="Arial" w:eastAsia="Times New Roman" w:hAnsi="Arial" w:cs="Arial"/>
                <w:sz w:val="17"/>
                <w:szCs w:val="18"/>
                <w:lang w:eastAsia="en-GB"/>
              </w:rPr>
              <w:t>35.1</w:t>
            </w:r>
          </w:p>
        </w:tc>
        <w:tc>
          <w:tcPr>
            <w:tcW w:w="643" w:type="dxa"/>
            <w:tcBorders>
              <w:left w:val="single" w:sz="4" w:space="0" w:color="auto"/>
              <w:bottom w:val="single" w:sz="4" w:space="0" w:color="auto"/>
            </w:tcBorders>
            <w:vAlign w:val="center"/>
          </w:tcPr>
          <w:p w14:paraId="1BDE14C3" w14:textId="73A9B0B2"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n/a</w:t>
            </w:r>
          </w:p>
        </w:tc>
        <w:tc>
          <w:tcPr>
            <w:tcW w:w="644" w:type="dxa"/>
            <w:tcBorders>
              <w:bottom w:val="single" w:sz="4" w:space="0" w:color="auto"/>
            </w:tcBorders>
            <w:vAlign w:val="center"/>
          </w:tcPr>
          <w:p w14:paraId="31CF3EDB" w14:textId="746A91CB"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w:t>
            </w:r>
          </w:p>
        </w:tc>
        <w:tc>
          <w:tcPr>
            <w:tcW w:w="643" w:type="dxa"/>
            <w:tcBorders>
              <w:bottom w:val="single" w:sz="4" w:space="0" w:color="auto"/>
            </w:tcBorders>
            <w:vAlign w:val="center"/>
          </w:tcPr>
          <w:p w14:paraId="76AB1A64" w14:textId="66729309"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w:t>
            </w:r>
          </w:p>
        </w:tc>
        <w:tc>
          <w:tcPr>
            <w:tcW w:w="644" w:type="dxa"/>
            <w:tcBorders>
              <w:bottom w:val="single" w:sz="4" w:space="0" w:color="auto"/>
            </w:tcBorders>
            <w:vAlign w:val="center"/>
          </w:tcPr>
          <w:p w14:paraId="1D206F6F" w14:textId="704393E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w:t>
            </w:r>
          </w:p>
        </w:tc>
        <w:tc>
          <w:tcPr>
            <w:tcW w:w="643" w:type="dxa"/>
            <w:tcBorders>
              <w:bottom w:val="single" w:sz="4" w:space="0" w:color="auto"/>
            </w:tcBorders>
            <w:vAlign w:val="center"/>
          </w:tcPr>
          <w:p w14:paraId="005FA79B" w14:textId="56B0CE5D"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w:t>
            </w:r>
          </w:p>
        </w:tc>
        <w:tc>
          <w:tcPr>
            <w:tcW w:w="644" w:type="dxa"/>
            <w:tcBorders>
              <w:bottom w:val="single" w:sz="4" w:space="0" w:color="auto"/>
            </w:tcBorders>
            <w:vAlign w:val="center"/>
          </w:tcPr>
          <w:p w14:paraId="70AD9436" w14:textId="1F2D3E1F" w:rsidR="008A6062" w:rsidRPr="000B49EB" w:rsidRDefault="008A6062"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1.0</w:t>
            </w:r>
          </w:p>
        </w:tc>
      </w:tr>
      <w:tr w:rsidR="008A6062" w:rsidRPr="000B49EB" w14:paraId="6549BE50" w14:textId="77777777" w:rsidTr="008A6062">
        <w:trPr>
          <w:trHeight w:val="240"/>
        </w:trPr>
        <w:tc>
          <w:tcPr>
            <w:tcW w:w="2426" w:type="dxa"/>
            <w:tcBorders>
              <w:bottom w:val="single" w:sz="4" w:space="0" w:color="auto"/>
              <w:right w:val="single" w:sz="4" w:space="0" w:color="auto"/>
            </w:tcBorders>
            <w:shd w:val="clear" w:color="auto" w:fill="auto"/>
            <w:noWrap/>
            <w:vAlign w:val="center"/>
            <w:hideMark/>
          </w:tcPr>
          <w:p w14:paraId="1C1DBAAC" w14:textId="77777777" w:rsidR="008A6062" w:rsidRPr="000B49EB" w:rsidRDefault="008A6062" w:rsidP="00904CFC">
            <w:pPr>
              <w:rPr>
                <w:rFonts w:ascii="Arial" w:eastAsia="Times New Roman" w:hAnsi="Arial" w:cs="Arial"/>
                <w:b/>
                <w:iCs/>
                <w:sz w:val="17"/>
                <w:szCs w:val="17"/>
                <w:lang w:eastAsia="en-GB"/>
              </w:rPr>
            </w:pPr>
            <w:r w:rsidRPr="000B49EB">
              <w:rPr>
                <w:rFonts w:ascii="Arial" w:eastAsia="Times New Roman" w:hAnsi="Arial" w:cs="Arial"/>
                <w:b/>
                <w:iCs/>
                <w:sz w:val="17"/>
                <w:szCs w:val="17"/>
                <w:lang w:eastAsia="en-GB"/>
              </w:rPr>
              <w:t xml:space="preserve">Total </w:t>
            </w:r>
          </w:p>
        </w:tc>
        <w:tc>
          <w:tcPr>
            <w:tcW w:w="642" w:type="dxa"/>
            <w:tcBorders>
              <w:left w:val="single" w:sz="4" w:space="0" w:color="auto"/>
              <w:bottom w:val="single" w:sz="4" w:space="0" w:color="auto"/>
            </w:tcBorders>
            <w:shd w:val="clear" w:color="auto" w:fill="auto"/>
            <w:vAlign w:val="center"/>
          </w:tcPr>
          <w:p w14:paraId="3B8F2A75" w14:textId="077385C2"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sz w:val="17"/>
                <w:szCs w:val="17"/>
                <w:lang w:eastAsia="en-GB"/>
              </w:rPr>
              <w:t>100</w:t>
            </w:r>
          </w:p>
        </w:tc>
        <w:tc>
          <w:tcPr>
            <w:tcW w:w="643" w:type="dxa"/>
            <w:tcBorders>
              <w:bottom w:val="single" w:sz="4" w:space="0" w:color="auto"/>
            </w:tcBorders>
            <w:vAlign w:val="center"/>
          </w:tcPr>
          <w:p w14:paraId="7E5C9966" w14:textId="77777777"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bCs/>
                <w:sz w:val="17"/>
                <w:szCs w:val="17"/>
                <w:lang w:eastAsia="en-GB"/>
              </w:rPr>
              <w:t>100</w:t>
            </w:r>
          </w:p>
        </w:tc>
        <w:tc>
          <w:tcPr>
            <w:tcW w:w="642" w:type="dxa"/>
            <w:tcBorders>
              <w:bottom w:val="single" w:sz="4" w:space="0" w:color="auto"/>
            </w:tcBorders>
            <w:vAlign w:val="center"/>
          </w:tcPr>
          <w:p w14:paraId="4175E886" w14:textId="77777777"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bCs/>
                <w:sz w:val="17"/>
                <w:szCs w:val="17"/>
                <w:lang w:eastAsia="en-GB"/>
              </w:rPr>
              <w:t>100</w:t>
            </w:r>
          </w:p>
        </w:tc>
        <w:tc>
          <w:tcPr>
            <w:tcW w:w="643" w:type="dxa"/>
            <w:tcBorders>
              <w:bottom w:val="single" w:sz="4" w:space="0" w:color="auto"/>
            </w:tcBorders>
            <w:vAlign w:val="center"/>
          </w:tcPr>
          <w:p w14:paraId="636629EE" w14:textId="77777777"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bCs/>
                <w:sz w:val="17"/>
                <w:szCs w:val="17"/>
                <w:lang w:eastAsia="en-GB"/>
              </w:rPr>
              <w:t>100</w:t>
            </w:r>
          </w:p>
        </w:tc>
        <w:tc>
          <w:tcPr>
            <w:tcW w:w="642" w:type="dxa"/>
            <w:tcBorders>
              <w:bottom w:val="single" w:sz="4" w:space="0" w:color="auto"/>
            </w:tcBorders>
            <w:vAlign w:val="center"/>
          </w:tcPr>
          <w:p w14:paraId="616373B7" w14:textId="77777777"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bCs/>
                <w:sz w:val="17"/>
                <w:szCs w:val="17"/>
                <w:lang w:eastAsia="en-GB"/>
              </w:rPr>
              <w:t>100</w:t>
            </w:r>
          </w:p>
        </w:tc>
        <w:tc>
          <w:tcPr>
            <w:tcW w:w="643" w:type="dxa"/>
            <w:tcBorders>
              <w:bottom w:val="single" w:sz="4" w:space="0" w:color="auto"/>
              <w:right w:val="single" w:sz="4" w:space="0" w:color="auto"/>
            </w:tcBorders>
            <w:vAlign w:val="center"/>
          </w:tcPr>
          <w:p w14:paraId="3F5B0EAB" w14:textId="77777777" w:rsidR="008A6062" w:rsidRPr="000B49EB" w:rsidRDefault="008A6062"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bCs/>
                <w:sz w:val="17"/>
                <w:szCs w:val="17"/>
                <w:lang w:eastAsia="en-GB"/>
              </w:rPr>
              <w:t>100</w:t>
            </w:r>
          </w:p>
        </w:tc>
        <w:tc>
          <w:tcPr>
            <w:tcW w:w="642" w:type="dxa"/>
            <w:tcBorders>
              <w:left w:val="single" w:sz="4" w:space="0" w:color="auto"/>
              <w:bottom w:val="single" w:sz="4" w:space="0" w:color="auto"/>
            </w:tcBorders>
            <w:vAlign w:val="center"/>
          </w:tcPr>
          <w:p w14:paraId="234E9223"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n/a</w:t>
            </w:r>
          </w:p>
        </w:tc>
        <w:tc>
          <w:tcPr>
            <w:tcW w:w="644" w:type="dxa"/>
            <w:tcBorders>
              <w:bottom w:val="single" w:sz="4" w:space="0" w:color="auto"/>
            </w:tcBorders>
            <w:vAlign w:val="center"/>
          </w:tcPr>
          <w:p w14:paraId="1848FE4B"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100</w:t>
            </w:r>
          </w:p>
        </w:tc>
        <w:tc>
          <w:tcPr>
            <w:tcW w:w="643" w:type="dxa"/>
            <w:tcBorders>
              <w:bottom w:val="single" w:sz="4" w:space="0" w:color="auto"/>
            </w:tcBorders>
            <w:vAlign w:val="center"/>
          </w:tcPr>
          <w:p w14:paraId="435031DA"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100</w:t>
            </w:r>
          </w:p>
        </w:tc>
        <w:tc>
          <w:tcPr>
            <w:tcW w:w="644" w:type="dxa"/>
            <w:tcBorders>
              <w:bottom w:val="single" w:sz="4" w:space="0" w:color="auto"/>
            </w:tcBorders>
            <w:vAlign w:val="center"/>
          </w:tcPr>
          <w:p w14:paraId="76955148"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100</w:t>
            </w:r>
          </w:p>
        </w:tc>
        <w:tc>
          <w:tcPr>
            <w:tcW w:w="643" w:type="dxa"/>
            <w:tcBorders>
              <w:bottom w:val="single" w:sz="4" w:space="0" w:color="auto"/>
            </w:tcBorders>
            <w:vAlign w:val="center"/>
          </w:tcPr>
          <w:p w14:paraId="595C363C"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100</w:t>
            </w:r>
          </w:p>
        </w:tc>
        <w:tc>
          <w:tcPr>
            <w:tcW w:w="644" w:type="dxa"/>
            <w:tcBorders>
              <w:bottom w:val="single" w:sz="4" w:space="0" w:color="auto"/>
              <w:right w:val="single" w:sz="4" w:space="0" w:color="auto"/>
            </w:tcBorders>
            <w:vAlign w:val="center"/>
          </w:tcPr>
          <w:p w14:paraId="41997809" w14:textId="77777777" w:rsidR="008A6062" w:rsidRPr="000B49EB" w:rsidRDefault="008A6062" w:rsidP="00904CFC">
            <w:pPr>
              <w:ind w:left="72" w:right="72"/>
              <w:jc w:val="right"/>
              <w:rPr>
                <w:rFonts w:ascii="Arial" w:hAnsi="Arial" w:cs="Arial"/>
                <w:b/>
                <w:iCs/>
                <w:sz w:val="17"/>
                <w:szCs w:val="17"/>
              </w:rPr>
            </w:pPr>
            <w:r w:rsidRPr="000B49EB">
              <w:rPr>
                <w:rFonts w:ascii="Arial" w:eastAsia="Times New Roman" w:hAnsi="Arial" w:cs="Arial"/>
                <w:b/>
                <w:iCs/>
                <w:sz w:val="17"/>
                <w:szCs w:val="17"/>
                <w:lang w:eastAsia="en-GB"/>
              </w:rPr>
              <w:t>100</w:t>
            </w:r>
          </w:p>
        </w:tc>
        <w:tc>
          <w:tcPr>
            <w:tcW w:w="643" w:type="dxa"/>
            <w:tcBorders>
              <w:left w:val="single" w:sz="4" w:space="0" w:color="auto"/>
              <w:bottom w:val="single" w:sz="4" w:space="0" w:color="auto"/>
            </w:tcBorders>
            <w:vAlign w:val="center"/>
          </w:tcPr>
          <w:p w14:paraId="379EBBC0"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iCs/>
                <w:sz w:val="17"/>
                <w:szCs w:val="17"/>
                <w:lang w:eastAsia="en-GB"/>
              </w:rPr>
              <w:t>n/a</w:t>
            </w:r>
          </w:p>
        </w:tc>
        <w:tc>
          <w:tcPr>
            <w:tcW w:w="644" w:type="dxa"/>
            <w:tcBorders>
              <w:bottom w:val="single" w:sz="4" w:space="0" w:color="auto"/>
            </w:tcBorders>
            <w:vAlign w:val="center"/>
          </w:tcPr>
          <w:p w14:paraId="5F957D5B"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sz w:val="17"/>
                <w:szCs w:val="17"/>
                <w:lang w:eastAsia="en-GB"/>
              </w:rPr>
              <w:t>1.0</w:t>
            </w:r>
          </w:p>
        </w:tc>
        <w:tc>
          <w:tcPr>
            <w:tcW w:w="643" w:type="dxa"/>
            <w:tcBorders>
              <w:bottom w:val="single" w:sz="4" w:space="0" w:color="auto"/>
            </w:tcBorders>
            <w:vAlign w:val="center"/>
          </w:tcPr>
          <w:p w14:paraId="04F6E647"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sz w:val="17"/>
                <w:szCs w:val="17"/>
                <w:lang w:eastAsia="en-GB"/>
              </w:rPr>
              <w:t>1.0</w:t>
            </w:r>
          </w:p>
        </w:tc>
        <w:tc>
          <w:tcPr>
            <w:tcW w:w="644" w:type="dxa"/>
            <w:tcBorders>
              <w:bottom w:val="single" w:sz="4" w:space="0" w:color="auto"/>
            </w:tcBorders>
            <w:vAlign w:val="center"/>
          </w:tcPr>
          <w:p w14:paraId="0EECD995"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sz w:val="17"/>
                <w:szCs w:val="17"/>
                <w:lang w:eastAsia="en-GB"/>
              </w:rPr>
              <w:t>1.0</w:t>
            </w:r>
          </w:p>
        </w:tc>
        <w:tc>
          <w:tcPr>
            <w:tcW w:w="643" w:type="dxa"/>
            <w:tcBorders>
              <w:bottom w:val="single" w:sz="4" w:space="0" w:color="auto"/>
            </w:tcBorders>
            <w:vAlign w:val="center"/>
          </w:tcPr>
          <w:p w14:paraId="2F63EDEA"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sz w:val="17"/>
                <w:szCs w:val="17"/>
                <w:lang w:eastAsia="en-GB"/>
              </w:rPr>
              <w:t>1.0</w:t>
            </w:r>
          </w:p>
        </w:tc>
        <w:tc>
          <w:tcPr>
            <w:tcW w:w="644" w:type="dxa"/>
            <w:tcBorders>
              <w:bottom w:val="single" w:sz="4" w:space="0" w:color="auto"/>
            </w:tcBorders>
            <w:vAlign w:val="center"/>
          </w:tcPr>
          <w:p w14:paraId="27AAFA1C" w14:textId="77777777" w:rsidR="008A6062" w:rsidRPr="000B49EB" w:rsidRDefault="008A6062" w:rsidP="00904CFC">
            <w:pPr>
              <w:ind w:left="72" w:right="72"/>
              <w:jc w:val="right"/>
              <w:rPr>
                <w:rFonts w:ascii="Arial" w:eastAsia="Times New Roman" w:hAnsi="Arial" w:cs="Arial"/>
                <w:b/>
                <w:iCs/>
                <w:sz w:val="17"/>
                <w:szCs w:val="17"/>
                <w:lang w:eastAsia="en-GB"/>
              </w:rPr>
            </w:pPr>
            <w:r w:rsidRPr="000B49EB">
              <w:rPr>
                <w:rFonts w:ascii="Arial" w:eastAsia="Times New Roman" w:hAnsi="Arial" w:cs="Arial"/>
                <w:b/>
                <w:sz w:val="17"/>
                <w:szCs w:val="17"/>
                <w:lang w:eastAsia="en-GB"/>
              </w:rPr>
              <w:t>1.0</w:t>
            </w:r>
          </w:p>
        </w:tc>
      </w:tr>
    </w:tbl>
    <w:p w14:paraId="59170177" w14:textId="2827AE02" w:rsidR="008A6062" w:rsidRDefault="008A6062" w:rsidP="008A6062">
      <w:pPr>
        <w:pStyle w:val="Source"/>
      </w:pPr>
      <w:r>
        <w:t>Notes</w:t>
      </w:r>
      <w:proofErr w:type="gramStart"/>
      <w:r>
        <w:t>:</w:t>
      </w:r>
      <w:proofErr w:type="gramEnd"/>
      <w:r>
        <w:br/>
        <w:t>(a) Derived by calculating labour productivity levels (gross value added at constant prices divided by number of persons employed per sector) and expressing the result as a ratio of total economy labour productivity.</w:t>
      </w:r>
      <w:r>
        <w:br/>
        <w:t>Numbers may not sum due to rounding.</w:t>
      </w:r>
      <w:r>
        <w:br/>
        <w:t xml:space="preserve">Source: Authors’ calculations using </w:t>
      </w:r>
      <w:proofErr w:type="spellStart"/>
      <w:r>
        <w:t>UNSD</w:t>
      </w:r>
      <w:proofErr w:type="spellEnd"/>
      <w:r>
        <w:t xml:space="preserve"> </w:t>
      </w:r>
      <w:r w:rsidRPr="00981A1E">
        <w:t>National Accounts Main Aggregates</w:t>
      </w:r>
      <w:r>
        <w:t xml:space="preserve"> data on ‘gross value added by kind of economic activity’ (</w:t>
      </w:r>
      <w:hyperlink r:id="rId19" w:history="1">
        <w:r w:rsidRPr="00981A1E">
          <w:rPr>
            <w:rStyle w:val="Hyperlink"/>
          </w:rPr>
          <w:t>https://data.un.org/search.aspx?q=gross+value+added+datamart%5bsnaama%5d</w:t>
        </w:r>
      </w:hyperlink>
      <w:r>
        <w:t>) and ILO World Employment and Social Outlook (</w:t>
      </w:r>
      <w:proofErr w:type="spellStart"/>
      <w:r>
        <w:t>WESO</w:t>
      </w:r>
      <w:proofErr w:type="spellEnd"/>
      <w:r>
        <w:t>) – Trends 2015 supporting dataset ‘employment by sector and sex’ (</w:t>
      </w:r>
      <w:hyperlink r:id="rId20" w:history="1">
        <w:r w:rsidRPr="00DC3FEA">
          <w:rPr>
            <w:rStyle w:val="Hyperlink"/>
          </w:rPr>
          <w:t>http://www.ilo.org/global/research/global-reports/weso/2015/lang--en/index.htm</w:t>
        </w:r>
      </w:hyperlink>
      <w:r>
        <w:t>). NB:</w:t>
      </w:r>
      <w:r w:rsidRPr="00966EC7">
        <w:t xml:space="preserve"> </w:t>
      </w:r>
      <w:r>
        <w:t xml:space="preserve">The gross value added data are for ‘State of Palestine’ and the employment data for ‘West Bank and Gaza Strip’. In the gross value added data ‘Agriculture’ excludes </w:t>
      </w:r>
      <w:r w:rsidRPr="00966EC7">
        <w:t>irrigation canals and landscaping care</w:t>
      </w:r>
      <w:r>
        <w:t>, ‘</w:t>
      </w:r>
      <w:r w:rsidRPr="00966EC7">
        <w:t>Mining, Manufacturing, Utilities</w:t>
      </w:r>
      <w:r>
        <w:t xml:space="preserve">’ (which are disaggregated here) excludes </w:t>
      </w:r>
      <w:r w:rsidRPr="00966EC7">
        <w:t>publishing activities</w:t>
      </w:r>
      <w:r>
        <w:t xml:space="preserve"> and</w:t>
      </w:r>
      <w:r w:rsidRPr="00966EC7">
        <w:t xml:space="preserve"> includes irrigation canals</w:t>
      </w:r>
      <w:r>
        <w:t>, ‘Manufacturing’ e</w:t>
      </w:r>
      <w:r w:rsidRPr="00966EC7">
        <w:t>xcludes recycling and publishing activities</w:t>
      </w:r>
      <w:r>
        <w:t>, ‘</w:t>
      </w:r>
      <w:r w:rsidRPr="00966EC7">
        <w:t>Wholesale, retail trade, restaurants and hotels</w:t>
      </w:r>
      <w:r>
        <w:t>’ e</w:t>
      </w:r>
      <w:r w:rsidRPr="00966EC7">
        <w:t>xcludes repair of personal and household goods</w:t>
      </w:r>
      <w:r>
        <w:t>, ‘</w:t>
      </w:r>
      <w:r w:rsidRPr="00966EC7">
        <w:t>Transport, storage and communication</w:t>
      </w:r>
      <w:r>
        <w:t xml:space="preserve">’ excludes </w:t>
      </w:r>
      <w:r w:rsidRPr="00966EC7">
        <w:t>travel agencies, includes publishing activities, computer and related activities and radio/TV activities</w:t>
      </w:r>
      <w:r>
        <w:t>, ‘Other’ e</w:t>
      </w:r>
      <w:r w:rsidRPr="00966EC7">
        <w:t>xcludes computer and related activities and radio/TV activities</w:t>
      </w:r>
      <w:r>
        <w:t xml:space="preserve"> and</w:t>
      </w:r>
      <w:r w:rsidRPr="00966EC7">
        <w:t xml:space="preserve"> includes travel agencies and landscaping care</w:t>
      </w:r>
      <w:r>
        <w:t xml:space="preserve">; it was not possible to make corresponding adjustments when aggregating the employment data. </w:t>
      </w:r>
    </w:p>
    <w:p w14:paraId="2A24A40E" w14:textId="77777777" w:rsidR="008A6062" w:rsidRDefault="008A6062">
      <w:r>
        <w:br w:type="page"/>
      </w:r>
    </w:p>
    <w:p w14:paraId="151E9FF5" w14:textId="77777777" w:rsidR="00246C81" w:rsidRDefault="00246C81" w:rsidP="00246C81">
      <w:pPr>
        <w:pStyle w:val="BodyText"/>
      </w:pPr>
      <w:bookmarkStart w:id="11" w:name="_Toc404582442"/>
      <w:bookmarkStart w:id="12" w:name="_Toc406411740"/>
      <w:bookmarkStart w:id="13" w:name="_Toc406677131"/>
      <w:bookmarkStart w:id="14" w:name="_Toc408311000"/>
    </w:p>
    <w:p w14:paraId="3536DD09" w14:textId="77777777" w:rsidR="00246C81" w:rsidRDefault="00246C81" w:rsidP="00246C81">
      <w:pPr>
        <w:pStyle w:val="BodyText"/>
      </w:pPr>
    </w:p>
    <w:p w14:paraId="7EC77998" w14:textId="77777777" w:rsidR="008A6062" w:rsidRDefault="008A6062" w:rsidP="008A6062">
      <w:pPr>
        <w:pStyle w:val="TableHeading"/>
        <w:numPr>
          <w:ilvl w:val="0"/>
          <w:numId w:val="13"/>
        </w:numPr>
      </w:pPr>
      <w:bookmarkStart w:id="15" w:name="_Toc428437699"/>
      <w:r>
        <w:t xml:space="preserve">Labour productivity levels and changes, </w:t>
      </w:r>
      <w:bookmarkEnd w:id="11"/>
      <w:bookmarkEnd w:id="12"/>
      <w:bookmarkEnd w:id="13"/>
      <w:bookmarkEnd w:id="14"/>
      <w:r>
        <w:t>West Bank &amp; Gaza (</w:t>
      </w:r>
      <w:proofErr w:type="spellStart"/>
      <w:r>
        <w:t>WDI</w:t>
      </w:r>
      <w:proofErr w:type="spellEnd"/>
      <w:r>
        <w:t>/ILO GET data)</w:t>
      </w:r>
      <w:bookmarkEnd w:id="15"/>
    </w:p>
    <w:tbl>
      <w:tblPr>
        <w:tblStyle w:val="ODITable"/>
        <w:tblW w:w="3750" w:type="pct"/>
        <w:tblInd w:w="0" w:type="dxa"/>
        <w:tblLayout w:type="fixed"/>
        <w:tblCellMar>
          <w:top w:w="14" w:type="dxa"/>
          <w:left w:w="0" w:type="dxa"/>
          <w:bottom w:w="14" w:type="dxa"/>
          <w:right w:w="0" w:type="dxa"/>
        </w:tblCellMar>
        <w:tblLook w:val="04A0" w:firstRow="1" w:lastRow="0" w:firstColumn="1" w:lastColumn="0" w:noHBand="0" w:noVBand="1"/>
      </w:tblPr>
      <w:tblGrid>
        <w:gridCol w:w="2026"/>
        <w:gridCol w:w="1058"/>
        <w:gridCol w:w="1059"/>
        <w:gridCol w:w="1060"/>
        <w:gridCol w:w="1060"/>
        <w:gridCol w:w="1059"/>
        <w:gridCol w:w="1060"/>
        <w:gridCol w:w="1060"/>
        <w:gridCol w:w="1060"/>
      </w:tblGrid>
      <w:tr w:rsidR="008A6062" w:rsidRPr="00494281" w14:paraId="07663391" w14:textId="77777777" w:rsidTr="008A6062">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noWrap/>
            <w:hideMark/>
          </w:tcPr>
          <w:p w14:paraId="4590B095" w14:textId="77777777" w:rsidR="008A6062" w:rsidRPr="00494281" w:rsidRDefault="008A6062" w:rsidP="00904CFC">
            <w:pPr>
              <w:pStyle w:val="TableText"/>
              <w:jc w:val="center"/>
              <w:rPr>
                <w:rFonts w:asciiTheme="majorHAnsi" w:hAnsiTheme="majorHAnsi" w:cstheme="majorHAnsi"/>
                <w:szCs w:val="17"/>
                <w:lang w:eastAsia="en-GB"/>
              </w:rPr>
            </w:pPr>
          </w:p>
        </w:tc>
        <w:tc>
          <w:tcPr>
            <w:tcW w:w="3559" w:type="dxa"/>
            <w:gridSpan w:val="4"/>
            <w:tcBorders>
              <w:left w:val="single" w:sz="4" w:space="0" w:color="auto"/>
              <w:right w:val="single" w:sz="4" w:space="0" w:color="auto"/>
            </w:tcBorders>
            <w:noWrap/>
            <w:hideMark/>
          </w:tcPr>
          <w:p w14:paraId="5AD3216A" w14:textId="77777777" w:rsidR="008A6062" w:rsidRPr="00494281" w:rsidRDefault="008A6062" w:rsidP="00904CFC">
            <w:pPr>
              <w:pStyle w:val="TableText"/>
              <w:jc w:val="center"/>
              <w:rPr>
                <w:rFonts w:asciiTheme="majorHAnsi" w:hAnsiTheme="majorHAnsi" w:cstheme="majorHAnsi"/>
                <w:color w:val="000000"/>
                <w:szCs w:val="17"/>
                <w:lang w:eastAsia="en-GB"/>
              </w:rPr>
            </w:pPr>
            <w:r>
              <w:rPr>
                <w:rFonts w:asciiTheme="majorHAnsi" w:hAnsiTheme="majorHAnsi" w:cstheme="majorHAnsi"/>
                <w:szCs w:val="17"/>
                <w:lang w:eastAsia="en-GB"/>
              </w:rPr>
              <w:t xml:space="preserve">Labour </w:t>
            </w:r>
            <w:r w:rsidRPr="00494281">
              <w:rPr>
                <w:rFonts w:asciiTheme="majorHAnsi" w:hAnsiTheme="majorHAnsi" w:cstheme="majorHAnsi"/>
                <w:szCs w:val="17"/>
                <w:lang w:eastAsia="en-GB"/>
              </w:rPr>
              <w:t xml:space="preserve">productivity levels (index, </w:t>
            </w:r>
            <w:r>
              <w:rPr>
                <w:rFonts w:asciiTheme="majorHAnsi" w:hAnsiTheme="majorHAnsi" w:cstheme="majorHAnsi"/>
                <w:szCs w:val="17"/>
                <w:lang w:eastAsia="en-GB"/>
              </w:rPr>
              <w:t>1996</w:t>
            </w:r>
            <w:r w:rsidRPr="00494281">
              <w:rPr>
                <w:rFonts w:asciiTheme="majorHAnsi" w:hAnsiTheme="majorHAnsi" w:cstheme="majorHAnsi"/>
                <w:szCs w:val="17"/>
                <w:lang w:eastAsia="en-GB"/>
              </w:rPr>
              <w:t>=100)</w:t>
            </w:r>
          </w:p>
        </w:tc>
        <w:tc>
          <w:tcPr>
            <w:tcW w:w="3559" w:type="dxa"/>
            <w:gridSpan w:val="4"/>
            <w:tcBorders>
              <w:left w:val="single" w:sz="4" w:space="0" w:color="auto"/>
            </w:tcBorders>
          </w:tcPr>
          <w:p w14:paraId="70B5BED0" w14:textId="77777777" w:rsidR="008A6062" w:rsidRPr="00494281" w:rsidRDefault="008A6062" w:rsidP="00904CFC">
            <w:pPr>
              <w:pStyle w:val="TableText"/>
              <w:jc w:val="center"/>
              <w:rPr>
                <w:rFonts w:asciiTheme="majorHAnsi" w:hAnsiTheme="majorHAnsi" w:cstheme="majorHAnsi"/>
                <w:color w:val="000000"/>
                <w:szCs w:val="17"/>
                <w:lang w:eastAsia="en-GB"/>
              </w:rPr>
            </w:pPr>
            <w:r>
              <w:rPr>
                <w:rFonts w:asciiTheme="majorHAnsi" w:hAnsiTheme="majorHAnsi" w:cstheme="majorHAnsi"/>
                <w:color w:val="000000"/>
                <w:szCs w:val="17"/>
                <w:lang w:eastAsia="en-GB"/>
              </w:rPr>
              <w:t>Annualised growth</w:t>
            </w:r>
          </w:p>
        </w:tc>
      </w:tr>
      <w:tr w:rsidR="008A6062" w:rsidRPr="00494281" w14:paraId="5FD6E4EC" w14:textId="77777777" w:rsidTr="008A6062">
        <w:trPr>
          <w:cnfStyle w:val="000000100000" w:firstRow="0" w:lastRow="0" w:firstColumn="0" w:lastColumn="0" w:oddVBand="0" w:evenVBand="0" w:oddHBand="1" w:evenHBand="0" w:firstRowFirstColumn="0" w:firstRowLastColumn="0" w:lastRowFirstColumn="0" w:lastRowLastColumn="0"/>
        </w:trPr>
        <w:tc>
          <w:tcPr>
            <w:tcW w:w="1702" w:type="dxa"/>
            <w:tcBorders>
              <w:top w:val="nil"/>
              <w:bottom w:val="single" w:sz="4" w:space="0" w:color="auto"/>
              <w:right w:val="single" w:sz="4" w:space="0" w:color="auto"/>
            </w:tcBorders>
            <w:shd w:val="clear" w:color="auto" w:fill="E0E0E0" w:themeFill="accent4"/>
            <w:noWrap/>
            <w:hideMark/>
          </w:tcPr>
          <w:p w14:paraId="76D4FAD8" w14:textId="77777777" w:rsidR="008A6062" w:rsidRPr="00494281" w:rsidRDefault="008A6062" w:rsidP="00904CFC">
            <w:pPr>
              <w:pStyle w:val="TableText"/>
              <w:jc w:val="center"/>
              <w:rPr>
                <w:rFonts w:asciiTheme="majorHAnsi" w:hAnsiTheme="majorHAnsi" w:cstheme="majorHAnsi"/>
                <w:i/>
                <w:szCs w:val="17"/>
                <w:lang w:eastAsia="en-GB"/>
              </w:rPr>
            </w:pPr>
          </w:p>
        </w:tc>
        <w:tc>
          <w:tcPr>
            <w:tcW w:w="889" w:type="dxa"/>
            <w:tcBorders>
              <w:top w:val="nil"/>
              <w:left w:val="single" w:sz="4" w:space="0" w:color="auto"/>
              <w:bottom w:val="single" w:sz="4" w:space="0" w:color="auto"/>
            </w:tcBorders>
            <w:shd w:val="clear" w:color="auto" w:fill="E0E0E0" w:themeFill="accent4"/>
            <w:noWrap/>
            <w:hideMark/>
          </w:tcPr>
          <w:p w14:paraId="63A82102" w14:textId="77777777" w:rsidR="008A6062" w:rsidRPr="00A967DF" w:rsidRDefault="008A6062" w:rsidP="00904CFC">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w:t>
            </w:r>
          </w:p>
        </w:tc>
        <w:tc>
          <w:tcPr>
            <w:tcW w:w="890" w:type="dxa"/>
            <w:tcBorders>
              <w:top w:val="nil"/>
              <w:bottom w:val="single" w:sz="4" w:space="0" w:color="auto"/>
            </w:tcBorders>
            <w:shd w:val="clear" w:color="auto" w:fill="E0E0E0" w:themeFill="accent4"/>
            <w:noWrap/>
            <w:hideMark/>
          </w:tcPr>
          <w:p w14:paraId="4407432F" w14:textId="77777777" w:rsidR="008A6062" w:rsidRPr="00A967DF" w:rsidRDefault="008A6062" w:rsidP="00904CFC">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2000</w:t>
            </w:r>
          </w:p>
        </w:tc>
        <w:tc>
          <w:tcPr>
            <w:tcW w:w="890" w:type="dxa"/>
            <w:tcBorders>
              <w:top w:val="nil"/>
              <w:bottom w:val="single" w:sz="4" w:space="0" w:color="auto"/>
            </w:tcBorders>
            <w:shd w:val="clear" w:color="auto" w:fill="E0E0E0" w:themeFill="accent4"/>
            <w:noWrap/>
            <w:hideMark/>
          </w:tcPr>
          <w:p w14:paraId="65A94CC5" w14:textId="77777777" w:rsidR="008A6062" w:rsidRPr="00A967DF" w:rsidRDefault="008A6062" w:rsidP="00904CFC">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2006</w:t>
            </w:r>
          </w:p>
        </w:tc>
        <w:tc>
          <w:tcPr>
            <w:tcW w:w="890" w:type="dxa"/>
            <w:tcBorders>
              <w:top w:val="nil"/>
              <w:bottom w:val="single" w:sz="4" w:space="0" w:color="auto"/>
              <w:right w:val="single" w:sz="4" w:space="0" w:color="auto"/>
            </w:tcBorders>
            <w:shd w:val="clear" w:color="auto" w:fill="E0E0E0" w:themeFill="accent4"/>
            <w:noWrap/>
            <w:hideMark/>
          </w:tcPr>
          <w:p w14:paraId="2AF31495" w14:textId="77777777" w:rsidR="008A6062" w:rsidRPr="00A967DF" w:rsidRDefault="008A6062" w:rsidP="00904CFC">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2012</w:t>
            </w:r>
          </w:p>
        </w:tc>
        <w:tc>
          <w:tcPr>
            <w:tcW w:w="889" w:type="dxa"/>
            <w:tcBorders>
              <w:top w:val="nil"/>
              <w:left w:val="single" w:sz="4" w:space="0" w:color="auto"/>
              <w:bottom w:val="single" w:sz="4" w:space="0" w:color="auto"/>
            </w:tcBorders>
            <w:shd w:val="clear" w:color="auto" w:fill="E0E0E0" w:themeFill="accent4"/>
            <w:hideMark/>
          </w:tcPr>
          <w:p w14:paraId="4A696B00" w14:textId="77777777" w:rsidR="008A6062" w:rsidRPr="00A967DF" w:rsidRDefault="008A6062" w:rsidP="00904CFC">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1996-2012</w:t>
            </w:r>
          </w:p>
        </w:tc>
        <w:tc>
          <w:tcPr>
            <w:tcW w:w="890" w:type="dxa"/>
            <w:tcBorders>
              <w:top w:val="nil"/>
              <w:bottom w:val="single" w:sz="4" w:space="0" w:color="auto"/>
            </w:tcBorders>
            <w:shd w:val="clear" w:color="auto" w:fill="E0E0E0" w:themeFill="accent4"/>
          </w:tcPr>
          <w:p w14:paraId="493AB4CB" w14:textId="26BCAEF9" w:rsidR="008A6062" w:rsidRPr="00A967DF" w:rsidRDefault="008A6062" w:rsidP="008A6062">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1996–2000</w:t>
            </w:r>
          </w:p>
        </w:tc>
        <w:tc>
          <w:tcPr>
            <w:tcW w:w="890" w:type="dxa"/>
            <w:tcBorders>
              <w:top w:val="nil"/>
              <w:bottom w:val="single" w:sz="4" w:space="0" w:color="auto"/>
            </w:tcBorders>
            <w:shd w:val="clear" w:color="auto" w:fill="E0E0E0" w:themeFill="accent4"/>
          </w:tcPr>
          <w:p w14:paraId="6C36A8C2" w14:textId="2ECDA333" w:rsidR="008A6062" w:rsidRPr="00A967DF" w:rsidRDefault="008A6062" w:rsidP="008A6062">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2000–06</w:t>
            </w:r>
          </w:p>
        </w:tc>
        <w:tc>
          <w:tcPr>
            <w:tcW w:w="890" w:type="dxa"/>
            <w:tcBorders>
              <w:top w:val="nil"/>
              <w:bottom w:val="single" w:sz="4" w:space="0" w:color="auto"/>
            </w:tcBorders>
            <w:shd w:val="clear" w:color="auto" w:fill="E0E0E0" w:themeFill="accent4"/>
          </w:tcPr>
          <w:p w14:paraId="07F51297" w14:textId="21FA9F44" w:rsidR="008A6062" w:rsidRPr="00A967DF" w:rsidRDefault="008A6062" w:rsidP="008A6062">
            <w:pPr>
              <w:jc w:val="center"/>
              <w:rPr>
                <w:rFonts w:asciiTheme="majorHAnsi" w:eastAsia="Times New Roman" w:hAnsiTheme="majorHAnsi" w:cstheme="majorHAnsi"/>
                <w:i/>
                <w:iCs/>
                <w:color w:val="000000"/>
                <w:sz w:val="17"/>
                <w:szCs w:val="17"/>
                <w:lang w:eastAsia="en-GB"/>
              </w:rPr>
            </w:pPr>
            <w:r w:rsidRPr="00A967DF">
              <w:rPr>
                <w:rFonts w:asciiTheme="majorHAnsi" w:eastAsia="Times New Roman" w:hAnsiTheme="majorHAnsi" w:cstheme="majorHAnsi"/>
                <w:i/>
                <w:iCs/>
                <w:color w:val="000000"/>
                <w:sz w:val="17"/>
                <w:szCs w:val="17"/>
                <w:lang w:eastAsia="en-GB"/>
              </w:rPr>
              <w:t>2006–12</w:t>
            </w:r>
          </w:p>
        </w:tc>
      </w:tr>
      <w:tr w:rsidR="008A6062" w:rsidRPr="0013568E" w14:paraId="28540639" w14:textId="77777777" w:rsidTr="008A6062">
        <w:trPr>
          <w:cnfStyle w:val="000000010000" w:firstRow="0" w:lastRow="0" w:firstColumn="0" w:lastColumn="0" w:oddVBand="0" w:evenVBand="0" w:oddHBand="0" w:evenHBand="1" w:firstRowFirstColumn="0" w:firstRowLastColumn="0" w:lastRowFirstColumn="0" w:lastRowLastColumn="0"/>
        </w:trPr>
        <w:tc>
          <w:tcPr>
            <w:tcW w:w="1702" w:type="dxa"/>
            <w:tcBorders>
              <w:top w:val="single" w:sz="4" w:space="0" w:color="auto"/>
              <w:bottom w:val="nil"/>
              <w:right w:val="single" w:sz="4" w:space="0" w:color="auto"/>
            </w:tcBorders>
            <w:noWrap/>
            <w:tcMar>
              <w:left w:w="0" w:type="dxa"/>
              <w:right w:w="0" w:type="dxa"/>
            </w:tcMar>
            <w:hideMark/>
          </w:tcPr>
          <w:p w14:paraId="5219292B" w14:textId="77777777" w:rsidR="008A6062" w:rsidRPr="00E14BC4" w:rsidRDefault="008A6062" w:rsidP="00904CFC">
            <w:pPr>
              <w:pStyle w:val="TableText"/>
              <w:rPr>
                <w:rFonts w:asciiTheme="majorHAnsi" w:hAnsiTheme="majorHAnsi" w:cstheme="majorHAnsi"/>
                <w:color w:val="000000"/>
                <w:szCs w:val="17"/>
                <w:lang w:eastAsia="en-GB"/>
              </w:rPr>
            </w:pPr>
            <w:r w:rsidRPr="00E14BC4">
              <w:rPr>
                <w:rFonts w:asciiTheme="majorHAnsi" w:hAnsiTheme="majorHAnsi" w:cstheme="majorHAnsi"/>
                <w:color w:val="000000"/>
                <w:szCs w:val="17"/>
                <w:lang w:eastAsia="en-GB"/>
              </w:rPr>
              <w:t>Agriculture</w:t>
            </w:r>
          </w:p>
        </w:tc>
        <w:tc>
          <w:tcPr>
            <w:tcW w:w="889" w:type="dxa"/>
            <w:tcBorders>
              <w:top w:val="single" w:sz="4" w:space="0" w:color="auto"/>
              <w:left w:val="single" w:sz="4" w:space="0" w:color="auto"/>
              <w:bottom w:val="nil"/>
            </w:tcBorders>
            <w:noWrap/>
            <w:vAlign w:val="bottom"/>
          </w:tcPr>
          <w:p w14:paraId="2A4D44FE" w14:textId="77777777" w:rsidR="008A6062" w:rsidRPr="00A810F6" w:rsidRDefault="008A6062" w:rsidP="008A6062">
            <w:pPr>
              <w:ind w:right="288"/>
              <w:jc w:val="right"/>
              <w:rPr>
                <w:rFonts w:asciiTheme="majorHAnsi" w:eastAsia="Times New Roman" w:hAnsiTheme="majorHAnsi" w:cstheme="majorHAnsi"/>
                <w:sz w:val="17"/>
                <w:szCs w:val="17"/>
                <w:lang w:eastAsia="en-GB"/>
              </w:rPr>
            </w:pPr>
            <w:r w:rsidRPr="00A810F6">
              <w:rPr>
                <w:rFonts w:asciiTheme="majorHAnsi" w:eastAsia="Times New Roman" w:hAnsiTheme="majorHAnsi" w:cstheme="majorHAnsi"/>
                <w:sz w:val="17"/>
                <w:szCs w:val="17"/>
                <w:lang w:eastAsia="en-GB"/>
              </w:rPr>
              <w:t>100.0</w:t>
            </w:r>
          </w:p>
        </w:tc>
        <w:tc>
          <w:tcPr>
            <w:tcW w:w="890" w:type="dxa"/>
            <w:tcBorders>
              <w:top w:val="single" w:sz="4" w:space="0" w:color="auto"/>
              <w:bottom w:val="nil"/>
            </w:tcBorders>
            <w:noWrap/>
            <w:vAlign w:val="bottom"/>
          </w:tcPr>
          <w:p w14:paraId="715C8D1A"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70.3</w:t>
            </w:r>
          </w:p>
        </w:tc>
        <w:tc>
          <w:tcPr>
            <w:tcW w:w="890" w:type="dxa"/>
            <w:tcBorders>
              <w:top w:val="single" w:sz="4" w:space="0" w:color="auto"/>
              <w:bottom w:val="nil"/>
            </w:tcBorders>
            <w:noWrap/>
            <w:vAlign w:val="bottom"/>
          </w:tcPr>
          <w:p w14:paraId="069E0D91"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38.7</w:t>
            </w:r>
          </w:p>
        </w:tc>
        <w:tc>
          <w:tcPr>
            <w:tcW w:w="890" w:type="dxa"/>
            <w:tcBorders>
              <w:top w:val="single" w:sz="4" w:space="0" w:color="auto"/>
              <w:bottom w:val="nil"/>
              <w:right w:val="single" w:sz="4" w:space="0" w:color="auto"/>
            </w:tcBorders>
            <w:noWrap/>
            <w:vAlign w:val="bottom"/>
          </w:tcPr>
          <w:p w14:paraId="787B3589"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51.6</w:t>
            </w:r>
          </w:p>
        </w:tc>
        <w:tc>
          <w:tcPr>
            <w:tcW w:w="889" w:type="dxa"/>
            <w:tcBorders>
              <w:top w:val="single" w:sz="4" w:space="0" w:color="auto"/>
              <w:left w:val="single" w:sz="4" w:space="0" w:color="auto"/>
              <w:bottom w:val="nil"/>
            </w:tcBorders>
            <w:noWrap/>
            <w:vAlign w:val="bottom"/>
          </w:tcPr>
          <w:p w14:paraId="29C1BC03"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-4.1%</w:t>
            </w:r>
          </w:p>
        </w:tc>
        <w:tc>
          <w:tcPr>
            <w:tcW w:w="890" w:type="dxa"/>
            <w:tcBorders>
              <w:top w:val="single" w:sz="4" w:space="0" w:color="auto"/>
              <w:bottom w:val="nil"/>
            </w:tcBorders>
            <w:vAlign w:val="bottom"/>
          </w:tcPr>
          <w:p w14:paraId="08568082"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-8.4%</w:t>
            </w:r>
          </w:p>
        </w:tc>
        <w:tc>
          <w:tcPr>
            <w:tcW w:w="890" w:type="dxa"/>
            <w:tcBorders>
              <w:top w:val="single" w:sz="4" w:space="0" w:color="auto"/>
              <w:bottom w:val="nil"/>
            </w:tcBorders>
            <w:vAlign w:val="bottom"/>
          </w:tcPr>
          <w:p w14:paraId="798C9E4A"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-9.5%</w:t>
            </w:r>
          </w:p>
        </w:tc>
        <w:tc>
          <w:tcPr>
            <w:tcW w:w="890" w:type="dxa"/>
            <w:tcBorders>
              <w:top w:val="single" w:sz="4" w:space="0" w:color="auto"/>
              <w:bottom w:val="nil"/>
            </w:tcBorders>
            <w:vAlign w:val="bottom"/>
          </w:tcPr>
          <w:p w14:paraId="22A17D63"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4.9%</w:t>
            </w:r>
          </w:p>
        </w:tc>
      </w:tr>
      <w:tr w:rsidR="008A6062" w:rsidRPr="0013568E" w14:paraId="408B1802" w14:textId="77777777" w:rsidTr="008A6062">
        <w:trPr>
          <w:cnfStyle w:val="000000100000" w:firstRow="0" w:lastRow="0" w:firstColumn="0" w:lastColumn="0" w:oddVBand="0" w:evenVBand="0" w:oddHBand="1" w:evenHBand="0" w:firstRowFirstColumn="0" w:firstRowLastColumn="0" w:lastRowFirstColumn="0" w:lastRowLastColumn="0"/>
        </w:trPr>
        <w:tc>
          <w:tcPr>
            <w:tcW w:w="1702" w:type="dxa"/>
            <w:tcBorders>
              <w:top w:val="nil"/>
              <w:bottom w:val="nil"/>
              <w:right w:val="single" w:sz="4" w:space="0" w:color="auto"/>
            </w:tcBorders>
            <w:noWrap/>
            <w:tcMar>
              <w:left w:w="0" w:type="dxa"/>
              <w:right w:w="0" w:type="dxa"/>
            </w:tcMar>
            <w:hideMark/>
          </w:tcPr>
          <w:p w14:paraId="3A7F8895" w14:textId="77777777" w:rsidR="008A6062" w:rsidRPr="00E14BC4" w:rsidRDefault="008A6062" w:rsidP="00904CFC">
            <w:pPr>
              <w:pStyle w:val="TableText"/>
              <w:rPr>
                <w:rFonts w:asciiTheme="majorHAnsi" w:hAnsiTheme="majorHAnsi" w:cstheme="majorHAnsi"/>
                <w:color w:val="000000"/>
                <w:szCs w:val="17"/>
                <w:lang w:eastAsia="en-GB"/>
              </w:rPr>
            </w:pPr>
            <w:r w:rsidRPr="00E14BC4">
              <w:rPr>
                <w:rFonts w:asciiTheme="majorHAnsi" w:hAnsiTheme="majorHAnsi" w:cstheme="majorHAnsi"/>
                <w:color w:val="000000"/>
                <w:szCs w:val="17"/>
                <w:lang w:eastAsia="en-GB"/>
              </w:rPr>
              <w:t>Industry</w:t>
            </w:r>
          </w:p>
        </w:tc>
        <w:tc>
          <w:tcPr>
            <w:tcW w:w="889" w:type="dxa"/>
            <w:tcBorders>
              <w:top w:val="nil"/>
              <w:left w:val="single" w:sz="4" w:space="0" w:color="auto"/>
              <w:bottom w:val="nil"/>
            </w:tcBorders>
            <w:noWrap/>
            <w:vAlign w:val="bottom"/>
          </w:tcPr>
          <w:p w14:paraId="49A787BB" w14:textId="77777777" w:rsidR="008A6062" w:rsidRPr="00A810F6" w:rsidRDefault="008A6062" w:rsidP="008A6062">
            <w:pPr>
              <w:ind w:right="288"/>
              <w:jc w:val="right"/>
              <w:rPr>
                <w:rFonts w:asciiTheme="majorHAnsi" w:eastAsia="Times New Roman" w:hAnsiTheme="majorHAnsi" w:cstheme="majorHAnsi"/>
                <w:sz w:val="17"/>
                <w:szCs w:val="17"/>
                <w:lang w:eastAsia="en-GB"/>
              </w:rPr>
            </w:pPr>
            <w:r w:rsidRPr="00A810F6">
              <w:rPr>
                <w:rFonts w:asciiTheme="majorHAnsi" w:eastAsia="Times New Roman" w:hAnsiTheme="majorHAnsi" w:cstheme="majorHAnsi"/>
                <w:sz w:val="17"/>
                <w:szCs w:val="17"/>
                <w:lang w:eastAsia="en-GB"/>
              </w:rPr>
              <w:t>100.0</w:t>
            </w:r>
          </w:p>
        </w:tc>
        <w:tc>
          <w:tcPr>
            <w:tcW w:w="890" w:type="dxa"/>
            <w:tcBorders>
              <w:top w:val="nil"/>
              <w:bottom w:val="nil"/>
            </w:tcBorders>
            <w:noWrap/>
            <w:vAlign w:val="bottom"/>
          </w:tcPr>
          <w:p w14:paraId="3B0EF557"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75.4</w:t>
            </w:r>
          </w:p>
        </w:tc>
        <w:tc>
          <w:tcPr>
            <w:tcW w:w="890" w:type="dxa"/>
            <w:tcBorders>
              <w:top w:val="nil"/>
              <w:bottom w:val="nil"/>
            </w:tcBorders>
            <w:noWrap/>
            <w:vAlign w:val="bottom"/>
          </w:tcPr>
          <w:p w14:paraId="47E6CD5E"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114.0</w:t>
            </w:r>
          </w:p>
        </w:tc>
        <w:tc>
          <w:tcPr>
            <w:tcW w:w="890" w:type="dxa"/>
            <w:tcBorders>
              <w:top w:val="nil"/>
              <w:bottom w:val="nil"/>
              <w:right w:val="single" w:sz="4" w:space="0" w:color="auto"/>
            </w:tcBorders>
            <w:noWrap/>
            <w:vAlign w:val="bottom"/>
          </w:tcPr>
          <w:p w14:paraId="7C6162EA"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130.9</w:t>
            </w:r>
          </w:p>
        </w:tc>
        <w:tc>
          <w:tcPr>
            <w:tcW w:w="889" w:type="dxa"/>
            <w:tcBorders>
              <w:top w:val="nil"/>
              <w:left w:val="single" w:sz="4" w:space="0" w:color="auto"/>
              <w:bottom w:val="nil"/>
            </w:tcBorders>
            <w:noWrap/>
            <w:vAlign w:val="bottom"/>
          </w:tcPr>
          <w:p w14:paraId="3F1CAE0F"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1.7%</w:t>
            </w:r>
          </w:p>
        </w:tc>
        <w:tc>
          <w:tcPr>
            <w:tcW w:w="890" w:type="dxa"/>
            <w:tcBorders>
              <w:top w:val="nil"/>
              <w:bottom w:val="nil"/>
            </w:tcBorders>
            <w:vAlign w:val="bottom"/>
          </w:tcPr>
          <w:p w14:paraId="4A4E4373"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-6.8%</w:t>
            </w:r>
          </w:p>
        </w:tc>
        <w:tc>
          <w:tcPr>
            <w:tcW w:w="890" w:type="dxa"/>
            <w:tcBorders>
              <w:top w:val="nil"/>
              <w:bottom w:val="nil"/>
            </w:tcBorders>
            <w:vAlign w:val="bottom"/>
          </w:tcPr>
          <w:p w14:paraId="377E6FFD"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7.1%</w:t>
            </w:r>
          </w:p>
        </w:tc>
        <w:tc>
          <w:tcPr>
            <w:tcW w:w="890" w:type="dxa"/>
            <w:tcBorders>
              <w:top w:val="nil"/>
              <w:bottom w:val="nil"/>
            </w:tcBorders>
            <w:vAlign w:val="bottom"/>
          </w:tcPr>
          <w:p w14:paraId="089B1541"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2.3%</w:t>
            </w:r>
          </w:p>
        </w:tc>
      </w:tr>
      <w:tr w:rsidR="008A6062" w:rsidRPr="0013568E" w14:paraId="1F5A02D5" w14:textId="77777777" w:rsidTr="008A6062">
        <w:trPr>
          <w:cnfStyle w:val="000000010000" w:firstRow="0" w:lastRow="0" w:firstColumn="0" w:lastColumn="0" w:oddVBand="0" w:evenVBand="0" w:oddHBand="0" w:evenHBand="1" w:firstRowFirstColumn="0" w:firstRowLastColumn="0" w:lastRowFirstColumn="0" w:lastRowLastColumn="0"/>
        </w:trPr>
        <w:tc>
          <w:tcPr>
            <w:tcW w:w="1702" w:type="dxa"/>
            <w:tcBorders>
              <w:top w:val="nil"/>
              <w:bottom w:val="single" w:sz="4" w:space="0" w:color="auto"/>
              <w:right w:val="single" w:sz="4" w:space="0" w:color="auto"/>
            </w:tcBorders>
            <w:noWrap/>
            <w:tcMar>
              <w:left w:w="0" w:type="dxa"/>
              <w:right w:w="0" w:type="dxa"/>
            </w:tcMar>
            <w:hideMark/>
          </w:tcPr>
          <w:p w14:paraId="3324E3D0" w14:textId="77777777" w:rsidR="008A6062" w:rsidRPr="00E14BC4" w:rsidRDefault="008A6062" w:rsidP="00904CFC">
            <w:pPr>
              <w:pStyle w:val="TableText"/>
              <w:rPr>
                <w:rFonts w:asciiTheme="majorHAnsi" w:hAnsiTheme="majorHAnsi" w:cstheme="majorHAnsi"/>
                <w:color w:val="000000"/>
                <w:szCs w:val="17"/>
                <w:lang w:eastAsia="en-GB"/>
              </w:rPr>
            </w:pPr>
            <w:r w:rsidRPr="00E14BC4">
              <w:rPr>
                <w:rFonts w:asciiTheme="majorHAnsi" w:hAnsiTheme="majorHAnsi" w:cstheme="majorHAnsi"/>
                <w:color w:val="000000"/>
                <w:szCs w:val="17"/>
                <w:lang w:eastAsia="en-GB"/>
              </w:rPr>
              <w:t>Services</w:t>
            </w:r>
          </w:p>
        </w:tc>
        <w:tc>
          <w:tcPr>
            <w:tcW w:w="889" w:type="dxa"/>
            <w:tcBorders>
              <w:top w:val="nil"/>
              <w:left w:val="single" w:sz="4" w:space="0" w:color="auto"/>
              <w:bottom w:val="single" w:sz="4" w:space="0" w:color="auto"/>
            </w:tcBorders>
            <w:noWrap/>
            <w:vAlign w:val="bottom"/>
          </w:tcPr>
          <w:p w14:paraId="2944694C" w14:textId="77777777" w:rsidR="008A6062" w:rsidRPr="00A810F6" w:rsidRDefault="008A6062" w:rsidP="008A6062">
            <w:pPr>
              <w:ind w:right="288"/>
              <w:jc w:val="right"/>
              <w:rPr>
                <w:rFonts w:asciiTheme="majorHAnsi" w:eastAsia="Times New Roman" w:hAnsiTheme="majorHAnsi" w:cstheme="majorHAnsi"/>
                <w:sz w:val="17"/>
                <w:szCs w:val="17"/>
                <w:lang w:eastAsia="en-GB"/>
              </w:rPr>
            </w:pPr>
            <w:r w:rsidRPr="00A810F6">
              <w:rPr>
                <w:rFonts w:asciiTheme="majorHAnsi" w:eastAsia="Times New Roman" w:hAnsiTheme="majorHAnsi" w:cstheme="majorHAnsi"/>
                <w:sz w:val="17"/>
                <w:szCs w:val="17"/>
                <w:lang w:eastAsia="en-GB"/>
              </w:rPr>
              <w:t>100.0</w:t>
            </w:r>
          </w:p>
        </w:tc>
        <w:tc>
          <w:tcPr>
            <w:tcW w:w="890" w:type="dxa"/>
            <w:tcBorders>
              <w:top w:val="nil"/>
              <w:bottom w:val="single" w:sz="4" w:space="0" w:color="auto"/>
            </w:tcBorders>
            <w:noWrap/>
            <w:vAlign w:val="bottom"/>
          </w:tcPr>
          <w:p w14:paraId="40884E11"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134.0</w:t>
            </w:r>
          </w:p>
        </w:tc>
        <w:tc>
          <w:tcPr>
            <w:tcW w:w="890" w:type="dxa"/>
            <w:tcBorders>
              <w:top w:val="nil"/>
              <w:bottom w:val="single" w:sz="4" w:space="0" w:color="auto"/>
            </w:tcBorders>
            <w:noWrap/>
            <w:vAlign w:val="bottom"/>
          </w:tcPr>
          <w:p w14:paraId="4827CAA0"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114.3</w:t>
            </w:r>
          </w:p>
        </w:tc>
        <w:tc>
          <w:tcPr>
            <w:tcW w:w="890" w:type="dxa"/>
            <w:tcBorders>
              <w:top w:val="nil"/>
              <w:bottom w:val="single" w:sz="4" w:space="0" w:color="auto"/>
              <w:right w:val="single" w:sz="4" w:space="0" w:color="auto"/>
            </w:tcBorders>
            <w:noWrap/>
            <w:vAlign w:val="bottom"/>
          </w:tcPr>
          <w:p w14:paraId="39953DE8"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115.0</w:t>
            </w:r>
          </w:p>
        </w:tc>
        <w:tc>
          <w:tcPr>
            <w:tcW w:w="889" w:type="dxa"/>
            <w:tcBorders>
              <w:top w:val="nil"/>
              <w:left w:val="single" w:sz="4" w:space="0" w:color="auto"/>
              <w:bottom w:val="single" w:sz="4" w:space="0" w:color="auto"/>
            </w:tcBorders>
            <w:noWrap/>
            <w:vAlign w:val="bottom"/>
          </w:tcPr>
          <w:p w14:paraId="2D74C8B2"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0.9%</w:t>
            </w:r>
          </w:p>
        </w:tc>
        <w:tc>
          <w:tcPr>
            <w:tcW w:w="890" w:type="dxa"/>
            <w:tcBorders>
              <w:top w:val="nil"/>
              <w:bottom w:val="single" w:sz="4" w:space="0" w:color="auto"/>
            </w:tcBorders>
            <w:vAlign w:val="bottom"/>
          </w:tcPr>
          <w:p w14:paraId="74441F37"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7.6%</w:t>
            </w:r>
          </w:p>
        </w:tc>
        <w:tc>
          <w:tcPr>
            <w:tcW w:w="890" w:type="dxa"/>
            <w:tcBorders>
              <w:top w:val="nil"/>
              <w:bottom w:val="single" w:sz="4" w:space="0" w:color="auto"/>
            </w:tcBorders>
            <w:vAlign w:val="bottom"/>
          </w:tcPr>
          <w:p w14:paraId="746E76EA"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-2.6%</w:t>
            </w:r>
          </w:p>
        </w:tc>
        <w:tc>
          <w:tcPr>
            <w:tcW w:w="890" w:type="dxa"/>
            <w:tcBorders>
              <w:top w:val="nil"/>
              <w:bottom w:val="single" w:sz="4" w:space="0" w:color="auto"/>
            </w:tcBorders>
            <w:vAlign w:val="bottom"/>
          </w:tcPr>
          <w:p w14:paraId="4CD4EB77" w14:textId="77777777" w:rsidR="008A6062" w:rsidRPr="00A967DF" w:rsidRDefault="008A6062" w:rsidP="008A6062">
            <w:pPr>
              <w:ind w:right="288"/>
              <w:jc w:val="right"/>
              <w:rPr>
                <w:rFonts w:asciiTheme="majorHAnsi" w:eastAsia="Times New Roman" w:hAnsiTheme="majorHAnsi" w:cstheme="majorHAnsi"/>
                <w:sz w:val="17"/>
                <w:szCs w:val="17"/>
                <w:lang w:eastAsia="en-GB"/>
              </w:rPr>
            </w:pPr>
            <w:r w:rsidRPr="00A967DF">
              <w:rPr>
                <w:rFonts w:asciiTheme="majorHAnsi" w:eastAsia="Times New Roman" w:hAnsiTheme="majorHAnsi" w:cstheme="majorHAnsi"/>
                <w:sz w:val="17"/>
                <w:szCs w:val="17"/>
                <w:lang w:eastAsia="en-GB"/>
              </w:rPr>
              <w:t>0.1%</w:t>
            </w:r>
          </w:p>
        </w:tc>
      </w:tr>
      <w:tr w:rsidR="008A6062" w:rsidRPr="0013568E" w14:paraId="7487FF4C" w14:textId="77777777" w:rsidTr="008A6062">
        <w:trPr>
          <w:cnfStyle w:val="000000100000" w:firstRow="0" w:lastRow="0" w:firstColumn="0" w:lastColumn="0" w:oddVBand="0" w:evenVBand="0" w:oddHBand="1" w:evenHBand="0" w:firstRowFirstColumn="0" w:firstRowLastColumn="0" w:lastRowFirstColumn="0" w:lastRowLastColumn="0"/>
        </w:trPr>
        <w:tc>
          <w:tcPr>
            <w:tcW w:w="1702" w:type="dxa"/>
            <w:tcBorders>
              <w:top w:val="single" w:sz="4" w:space="0" w:color="auto"/>
              <w:right w:val="single" w:sz="4" w:space="0" w:color="auto"/>
            </w:tcBorders>
            <w:noWrap/>
            <w:tcMar>
              <w:left w:w="0" w:type="dxa"/>
              <w:right w:w="0" w:type="dxa"/>
            </w:tcMar>
            <w:hideMark/>
          </w:tcPr>
          <w:p w14:paraId="5B2B6D9C" w14:textId="77777777" w:rsidR="008A6062" w:rsidRPr="0013568E" w:rsidRDefault="008A6062" w:rsidP="00904CFC">
            <w:pPr>
              <w:pStyle w:val="TableText"/>
              <w:rPr>
                <w:rFonts w:asciiTheme="majorHAnsi" w:hAnsiTheme="majorHAnsi" w:cstheme="majorHAnsi"/>
                <w:b/>
                <w:color w:val="000000"/>
                <w:szCs w:val="17"/>
                <w:lang w:eastAsia="en-GB"/>
              </w:rPr>
            </w:pPr>
            <w:r w:rsidRPr="0013568E">
              <w:rPr>
                <w:rFonts w:asciiTheme="majorHAnsi" w:hAnsiTheme="majorHAnsi" w:cstheme="majorHAnsi"/>
                <w:b/>
                <w:color w:val="000000"/>
                <w:szCs w:val="17"/>
                <w:lang w:eastAsia="en-GB"/>
              </w:rPr>
              <w:t xml:space="preserve">Total </w:t>
            </w:r>
          </w:p>
        </w:tc>
        <w:tc>
          <w:tcPr>
            <w:tcW w:w="889" w:type="dxa"/>
            <w:tcBorders>
              <w:top w:val="single" w:sz="4" w:space="0" w:color="auto"/>
              <w:left w:val="single" w:sz="4" w:space="0" w:color="auto"/>
            </w:tcBorders>
            <w:noWrap/>
            <w:vAlign w:val="bottom"/>
          </w:tcPr>
          <w:p w14:paraId="2C18D769" w14:textId="77777777" w:rsidR="008A6062" w:rsidRPr="00A810F6" w:rsidRDefault="008A6062" w:rsidP="008A6062">
            <w:pPr>
              <w:ind w:right="288"/>
              <w:jc w:val="right"/>
              <w:rPr>
                <w:rFonts w:asciiTheme="majorHAnsi" w:eastAsia="Times New Roman" w:hAnsiTheme="majorHAnsi" w:cstheme="majorHAnsi"/>
                <w:b/>
                <w:bCs/>
                <w:sz w:val="17"/>
                <w:szCs w:val="17"/>
                <w:lang w:eastAsia="en-GB"/>
              </w:rPr>
            </w:pPr>
            <w:r w:rsidRPr="00A810F6">
              <w:rPr>
                <w:rFonts w:asciiTheme="majorHAnsi" w:eastAsia="Times New Roman" w:hAnsiTheme="majorHAnsi" w:cstheme="majorHAnsi"/>
                <w:b/>
                <w:bCs/>
                <w:sz w:val="17"/>
                <w:szCs w:val="17"/>
                <w:lang w:eastAsia="en-GB"/>
              </w:rPr>
              <w:t>100.0</w:t>
            </w:r>
          </w:p>
        </w:tc>
        <w:tc>
          <w:tcPr>
            <w:tcW w:w="890" w:type="dxa"/>
            <w:tcBorders>
              <w:top w:val="single" w:sz="4" w:space="0" w:color="auto"/>
            </w:tcBorders>
            <w:noWrap/>
            <w:vAlign w:val="bottom"/>
          </w:tcPr>
          <w:p w14:paraId="500C9389"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104.7</w:t>
            </w:r>
          </w:p>
        </w:tc>
        <w:tc>
          <w:tcPr>
            <w:tcW w:w="890" w:type="dxa"/>
            <w:tcBorders>
              <w:top w:val="single" w:sz="4" w:space="0" w:color="auto"/>
            </w:tcBorders>
            <w:noWrap/>
            <w:vAlign w:val="bottom"/>
          </w:tcPr>
          <w:p w14:paraId="0D84D80C"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101.1</w:t>
            </w:r>
          </w:p>
        </w:tc>
        <w:tc>
          <w:tcPr>
            <w:tcW w:w="890" w:type="dxa"/>
            <w:tcBorders>
              <w:top w:val="single" w:sz="4" w:space="0" w:color="auto"/>
              <w:right w:val="single" w:sz="4" w:space="0" w:color="auto"/>
            </w:tcBorders>
            <w:noWrap/>
            <w:vAlign w:val="bottom"/>
          </w:tcPr>
          <w:p w14:paraId="3C60FFB4"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110.6</w:t>
            </w:r>
          </w:p>
        </w:tc>
        <w:tc>
          <w:tcPr>
            <w:tcW w:w="889" w:type="dxa"/>
            <w:tcBorders>
              <w:top w:val="single" w:sz="4" w:space="0" w:color="auto"/>
              <w:left w:val="single" w:sz="4" w:space="0" w:color="auto"/>
            </w:tcBorders>
            <w:noWrap/>
            <w:vAlign w:val="bottom"/>
          </w:tcPr>
          <w:p w14:paraId="703E70D5"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0.6%</w:t>
            </w:r>
          </w:p>
        </w:tc>
        <w:tc>
          <w:tcPr>
            <w:tcW w:w="890" w:type="dxa"/>
            <w:tcBorders>
              <w:top w:val="single" w:sz="4" w:space="0" w:color="auto"/>
            </w:tcBorders>
            <w:vAlign w:val="bottom"/>
          </w:tcPr>
          <w:p w14:paraId="267B906B"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1.1%</w:t>
            </w:r>
          </w:p>
        </w:tc>
        <w:tc>
          <w:tcPr>
            <w:tcW w:w="890" w:type="dxa"/>
            <w:tcBorders>
              <w:top w:val="single" w:sz="4" w:space="0" w:color="auto"/>
            </w:tcBorders>
            <w:vAlign w:val="bottom"/>
          </w:tcPr>
          <w:p w14:paraId="6D602811"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-0.6%</w:t>
            </w:r>
          </w:p>
        </w:tc>
        <w:tc>
          <w:tcPr>
            <w:tcW w:w="890" w:type="dxa"/>
            <w:tcBorders>
              <w:top w:val="single" w:sz="4" w:space="0" w:color="auto"/>
            </w:tcBorders>
            <w:vAlign w:val="bottom"/>
          </w:tcPr>
          <w:p w14:paraId="1CEE1428" w14:textId="77777777" w:rsidR="008A6062" w:rsidRPr="00A967DF" w:rsidRDefault="008A6062" w:rsidP="008A6062">
            <w:pPr>
              <w:ind w:right="288"/>
              <w:jc w:val="right"/>
              <w:rPr>
                <w:rFonts w:asciiTheme="majorHAnsi" w:eastAsia="Times New Roman" w:hAnsiTheme="majorHAnsi" w:cstheme="majorHAnsi"/>
                <w:b/>
                <w:bCs/>
                <w:sz w:val="17"/>
                <w:szCs w:val="17"/>
                <w:lang w:eastAsia="en-GB"/>
              </w:rPr>
            </w:pPr>
            <w:r w:rsidRPr="00A967DF">
              <w:rPr>
                <w:rFonts w:asciiTheme="majorHAnsi" w:eastAsia="Times New Roman" w:hAnsiTheme="majorHAnsi" w:cstheme="majorHAnsi"/>
                <w:b/>
                <w:bCs/>
                <w:sz w:val="17"/>
                <w:szCs w:val="17"/>
                <w:lang w:eastAsia="en-GB"/>
              </w:rPr>
              <w:t>1.5%</w:t>
            </w:r>
          </w:p>
        </w:tc>
      </w:tr>
    </w:tbl>
    <w:p w14:paraId="2059EC5D" w14:textId="77777777" w:rsidR="008A6062" w:rsidRDefault="008A6062" w:rsidP="008A6062">
      <w:pPr>
        <w:pStyle w:val="Source"/>
      </w:pPr>
      <w:r>
        <w:t>Source</w:t>
      </w:r>
      <w:r w:rsidRPr="000B7E15">
        <w:t>: Authors’ calculations using sectoral</w:t>
      </w:r>
      <w:r>
        <w:t xml:space="preserve"> value added and employment share data from the World Bank’s World Development Indicators (</w:t>
      </w:r>
      <w:hyperlink r:id="rId21" w:history="1">
        <w:r w:rsidRPr="00C54E63">
          <w:rPr>
            <w:rStyle w:val="Hyperlink"/>
          </w:rPr>
          <w:t>http://databank.worldbank.org/data/views/variableSelection/selectvariables.aspx?source=world-development-indicators</w:t>
        </w:r>
      </w:hyperlink>
      <w:r>
        <w:t>) and total employment data from the ILO’s Global Employment Trends 2014 (</w:t>
      </w:r>
      <w:hyperlink r:id="rId22" w:history="1">
        <w:r w:rsidRPr="000B7E15">
          <w:rPr>
            <w:rStyle w:val="Hyperlink"/>
          </w:rPr>
          <w:t>http://www.ilo.org/global/research/global-reports/global-employment-trends/2014/WCMS_234879/lang--en/index.htm</w:t>
        </w:r>
      </w:hyperlink>
      <w:r>
        <w:t>).</w:t>
      </w:r>
    </w:p>
    <w:p w14:paraId="69249E26" w14:textId="77777777" w:rsidR="003C306C" w:rsidRDefault="003C306C" w:rsidP="008A6062">
      <w:pPr>
        <w:pStyle w:val="BodyText"/>
      </w:pPr>
    </w:p>
    <w:p w14:paraId="34D85F68" w14:textId="5AB52A4F" w:rsidR="008A6062" w:rsidRDefault="008A6062" w:rsidP="008A6062">
      <w:pPr>
        <w:pStyle w:val="TableHeading"/>
        <w:numPr>
          <w:ilvl w:val="0"/>
          <w:numId w:val="13"/>
        </w:numPr>
        <w:tabs>
          <w:tab w:val="right" w:pos="9806"/>
          <w:tab w:val="right" w:pos="13925"/>
        </w:tabs>
      </w:pPr>
      <w:bookmarkStart w:id="16" w:name="_Toc428437700"/>
      <w:bookmarkStart w:id="17" w:name="_Toc404327255"/>
      <w:bookmarkStart w:id="18" w:name="_Toc404327349"/>
      <w:bookmarkStart w:id="19" w:name="_Toc404327525"/>
      <w:bookmarkStart w:id="20" w:name="_Toc404327737"/>
      <w:r>
        <w:t xml:space="preserve">Labour productivity levels and changes, </w:t>
      </w:r>
      <w:r>
        <w:rPr>
          <w:noProof/>
        </w:rPr>
        <w:t>West Bank &amp; Gaza</w:t>
      </w:r>
      <w:r>
        <w:t>, 1991–2013 (</w:t>
      </w:r>
      <w:proofErr w:type="spellStart"/>
      <w:r>
        <w:t>UNSD</w:t>
      </w:r>
      <w:proofErr w:type="spellEnd"/>
      <w:r>
        <w:t xml:space="preserve">/ILO </w:t>
      </w:r>
      <w:proofErr w:type="spellStart"/>
      <w:r>
        <w:t>WESO</w:t>
      </w:r>
      <w:proofErr w:type="spellEnd"/>
      <w:r>
        <w:t xml:space="preserve"> data) </w:t>
      </w:r>
      <w:r>
        <w:tab/>
      </w:r>
      <w:r w:rsidRPr="001B0E3C">
        <w:rPr>
          <w:color w:val="FF0000"/>
        </w:rPr>
        <w:t>NEW</w:t>
      </w:r>
      <w:bookmarkEnd w:id="16"/>
    </w:p>
    <w:tbl>
      <w:tblPr>
        <w:tblW w:w="3750" w:type="pct"/>
        <w:tblLayout w:type="fixed"/>
        <w:tblCellMar>
          <w:top w:w="14" w:type="dxa"/>
          <w:left w:w="0" w:type="dxa"/>
          <w:bottom w:w="14" w:type="dxa"/>
          <w:right w:w="0" w:type="dxa"/>
        </w:tblCellMar>
        <w:tblLook w:val="04A0" w:firstRow="1" w:lastRow="0" w:firstColumn="1" w:lastColumn="0" w:noHBand="0" w:noVBand="1"/>
      </w:tblPr>
      <w:tblGrid>
        <w:gridCol w:w="2875"/>
        <w:gridCol w:w="759"/>
        <w:gridCol w:w="763"/>
        <w:gridCol w:w="763"/>
        <w:gridCol w:w="763"/>
        <w:gridCol w:w="761"/>
        <w:gridCol w:w="763"/>
        <w:gridCol w:w="763"/>
        <w:gridCol w:w="764"/>
        <w:gridCol w:w="764"/>
        <w:gridCol w:w="764"/>
      </w:tblGrid>
      <w:tr w:rsidR="00246C81" w:rsidRPr="000B49EB" w14:paraId="26197283" w14:textId="77777777" w:rsidTr="00904CFC">
        <w:tc>
          <w:tcPr>
            <w:tcW w:w="2875" w:type="dxa"/>
            <w:tcBorders>
              <w:right w:val="single" w:sz="4" w:space="0" w:color="auto"/>
            </w:tcBorders>
            <w:shd w:val="clear" w:color="auto" w:fill="D9D9D9" w:themeFill="background1" w:themeFillShade="D9"/>
            <w:noWrap/>
            <w:hideMark/>
          </w:tcPr>
          <w:p w14:paraId="6BD0D5C5" w14:textId="77777777" w:rsidR="008A6062" w:rsidRPr="000B49EB" w:rsidRDefault="008A6062" w:rsidP="00904CFC">
            <w:pPr>
              <w:ind w:left="144" w:right="144"/>
              <w:jc w:val="center"/>
              <w:rPr>
                <w:rFonts w:ascii="Arial" w:hAnsi="Arial" w:cs="Arial"/>
                <w:b/>
                <w:sz w:val="17"/>
                <w:szCs w:val="17"/>
                <w:lang w:eastAsia="en-GB"/>
              </w:rPr>
            </w:pPr>
            <w:r w:rsidRPr="000B49EB">
              <w:rPr>
                <w:rFonts w:ascii="Arial" w:hAnsi="Arial" w:cs="Arial"/>
                <w:b/>
                <w:bCs/>
                <w:sz w:val="17"/>
                <w:szCs w:val="17"/>
              </w:rPr>
              <w:t>Economic activity</w:t>
            </w:r>
          </w:p>
        </w:tc>
        <w:tc>
          <w:tcPr>
            <w:tcW w:w="3809" w:type="dxa"/>
            <w:gridSpan w:val="5"/>
            <w:tcBorders>
              <w:left w:val="single" w:sz="4" w:space="0" w:color="auto"/>
              <w:right w:val="single" w:sz="4" w:space="0" w:color="auto"/>
            </w:tcBorders>
            <w:shd w:val="clear" w:color="auto" w:fill="D9D9D9" w:themeFill="background1" w:themeFillShade="D9"/>
          </w:tcPr>
          <w:p w14:paraId="45A5E139" w14:textId="77777777" w:rsidR="008A6062" w:rsidRPr="000B49EB" w:rsidRDefault="008A6062" w:rsidP="00904CFC">
            <w:pPr>
              <w:ind w:left="144" w:right="144"/>
              <w:jc w:val="center"/>
              <w:rPr>
                <w:rFonts w:ascii="Arial" w:eastAsia="Times New Roman" w:hAnsi="Arial" w:cs="Arial"/>
                <w:sz w:val="17"/>
                <w:szCs w:val="17"/>
                <w:lang w:eastAsia="en-GB"/>
              </w:rPr>
            </w:pPr>
            <w:r w:rsidRPr="000B49EB">
              <w:rPr>
                <w:rFonts w:ascii="Arial" w:eastAsia="Times New Roman" w:hAnsi="Arial" w:cs="Arial"/>
                <w:b/>
                <w:bCs/>
                <w:sz w:val="17"/>
                <w:szCs w:val="17"/>
                <w:lang w:eastAsia="en-GB"/>
              </w:rPr>
              <w:t>Labour productivity (index, 1991=100)</w:t>
            </w:r>
          </w:p>
        </w:tc>
        <w:tc>
          <w:tcPr>
            <w:tcW w:w="3818" w:type="dxa"/>
            <w:gridSpan w:val="5"/>
            <w:tcBorders>
              <w:left w:val="single" w:sz="4" w:space="0" w:color="auto"/>
            </w:tcBorders>
            <w:shd w:val="clear" w:color="auto" w:fill="D9D9D9" w:themeFill="background1" w:themeFillShade="D9"/>
          </w:tcPr>
          <w:p w14:paraId="07BE2EE3" w14:textId="77777777" w:rsidR="008A6062" w:rsidRPr="000B49EB" w:rsidRDefault="008A6062" w:rsidP="00904CFC">
            <w:pPr>
              <w:ind w:left="144" w:right="144"/>
              <w:jc w:val="center"/>
              <w:rPr>
                <w:rFonts w:ascii="Arial" w:hAnsi="Arial" w:cs="Arial"/>
                <w:b/>
                <w:bCs/>
                <w:sz w:val="17"/>
                <w:szCs w:val="17"/>
              </w:rPr>
            </w:pPr>
            <w:r w:rsidRPr="000B49EB">
              <w:rPr>
                <w:rFonts w:ascii="Arial" w:eastAsia="Times New Roman" w:hAnsi="Arial" w:cs="Arial"/>
                <w:b/>
                <w:bCs/>
                <w:sz w:val="17"/>
                <w:szCs w:val="17"/>
                <w:lang w:eastAsia="en-GB"/>
              </w:rPr>
              <w:t>Annualised growth in labour productivity</w:t>
            </w:r>
          </w:p>
        </w:tc>
      </w:tr>
      <w:tr w:rsidR="00246C81" w:rsidRPr="000B49EB" w14:paraId="579FACAC" w14:textId="77777777" w:rsidTr="00904CFC">
        <w:trPr>
          <w:trHeight w:val="240"/>
        </w:trPr>
        <w:tc>
          <w:tcPr>
            <w:tcW w:w="2875" w:type="dxa"/>
            <w:tcBorders>
              <w:bottom w:val="single" w:sz="4" w:space="0" w:color="auto"/>
              <w:right w:val="single" w:sz="4" w:space="0" w:color="auto"/>
            </w:tcBorders>
            <w:shd w:val="clear" w:color="auto" w:fill="D9D9D9" w:themeFill="background1" w:themeFillShade="D9"/>
            <w:noWrap/>
            <w:hideMark/>
          </w:tcPr>
          <w:p w14:paraId="394AE056" w14:textId="77777777" w:rsidR="008A6062" w:rsidRPr="000B49EB" w:rsidRDefault="008A6062" w:rsidP="00904CFC">
            <w:pPr>
              <w:jc w:val="center"/>
              <w:rPr>
                <w:rFonts w:ascii="Arial" w:eastAsia="Times New Roman" w:hAnsi="Arial" w:cs="Arial"/>
                <w:bCs/>
                <w:i/>
                <w:sz w:val="17"/>
                <w:szCs w:val="17"/>
                <w:lang w:eastAsia="en-GB"/>
              </w:rPr>
            </w:pPr>
          </w:p>
        </w:tc>
        <w:tc>
          <w:tcPr>
            <w:tcW w:w="759" w:type="dxa"/>
            <w:tcBorders>
              <w:left w:val="single" w:sz="4" w:space="0" w:color="auto"/>
              <w:bottom w:val="single" w:sz="4" w:space="0" w:color="auto"/>
            </w:tcBorders>
            <w:shd w:val="clear" w:color="auto" w:fill="D9D9D9" w:themeFill="background1" w:themeFillShade="D9"/>
          </w:tcPr>
          <w:p w14:paraId="088D076E"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1991</w:t>
            </w:r>
          </w:p>
        </w:tc>
        <w:tc>
          <w:tcPr>
            <w:tcW w:w="763" w:type="dxa"/>
            <w:tcBorders>
              <w:bottom w:val="single" w:sz="4" w:space="0" w:color="auto"/>
            </w:tcBorders>
            <w:shd w:val="clear" w:color="auto" w:fill="D9D9D9" w:themeFill="background1" w:themeFillShade="D9"/>
          </w:tcPr>
          <w:p w14:paraId="2562C5AE"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2000</w:t>
            </w:r>
          </w:p>
        </w:tc>
        <w:tc>
          <w:tcPr>
            <w:tcW w:w="763" w:type="dxa"/>
            <w:tcBorders>
              <w:bottom w:val="single" w:sz="4" w:space="0" w:color="auto"/>
            </w:tcBorders>
            <w:shd w:val="clear" w:color="auto" w:fill="D9D9D9" w:themeFill="background1" w:themeFillShade="D9"/>
          </w:tcPr>
          <w:p w14:paraId="594658F6"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2005</w:t>
            </w:r>
          </w:p>
        </w:tc>
        <w:tc>
          <w:tcPr>
            <w:tcW w:w="763" w:type="dxa"/>
            <w:tcBorders>
              <w:bottom w:val="single" w:sz="4" w:space="0" w:color="auto"/>
            </w:tcBorders>
            <w:shd w:val="clear" w:color="auto" w:fill="D9D9D9" w:themeFill="background1" w:themeFillShade="D9"/>
          </w:tcPr>
          <w:p w14:paraId="7ACFAA68"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2010</w:t>
            </w:r>
          </w:p>
        </w:tc>
        <w:tc>
          <w:tcPr>
            <w:tcW w:w="761" w:type="dxa"/>
            <w:tcBorders>
              <w:bottom w:val="single" w:sz="4" w:space="0" w:color="auto"/>
              <w:right w:val="single" w:sz="4" w:space="0" w:color="auto"/>
            </w:tcBorders>
            <w:shd w:val="clear" w:color="auto" w:fill="D9D9D9" w:themeFill="background1" w:themeFillShade="D9"/>
          </w:tcPr>
          <w:p w14:paraId="0BC95E35"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2013</w:t>
            </w:r>
          </w:p>
        </w:tc>
        <w:tc>
          <w:tcPr>
            <w:tcW w:w="763" w:type="dxa"/>
            <w:tcBorders>
              <w:left w:val="single" w:sz="4" w:space="0" w:color="auto"/>
              <w:bottom w:val="single" w:sz="4" w:space="0" w:color="auto"/>
            </w:tcBorders>
            <w:shd w:val="clear" w:color="auto" w:fill="D9D9D9" w:themeFill="background1" w:themeFillShade="D9"/>
          </w:tcPr>
          <w:p w14:paraId="472FC57C" w14:textId="77777777" w:rsidR="008A6062" w:rsidRPr="000B49EB" w:rsidRDefault="008A6062" w:rsidP="00904CFC">
            <w:pPr>
              <w:jc w:val="center"/>
              <w:rPr>
                <w:rFonts w:ascii="Arial" w:eastAsia="Times New Roman" w:hAnsi="Arial" w:cs="Arial"/>
                <w:i/>
                <w:sz w:val="17"/>
                <w:szCs w:val="17"/>
                <w:lang w:eastAsia="en-GB"/>
              </w:rPr>
            </w:pPr>
            <w:r w:rsidRPr="000B49EB">
              <w:rPr>
                <w:rFonts w:ascii="Arial" w:eastAsia="Times New Roman" w:hAnsi="Arial" w:cs="Arial"/>
                <w:bCs/>
                <w:i/>
                <w:sz w:val="17"/>
                <w:szCs w:val="17"/>
                <w:lang w:eastAsia="en-GB"/>
              </w:rPr>
              <w:t>1991-2013</w:t>
            </w:r>
          </w:p>
        </w:tc>
        <w:tc>
          <w:tcPr>
            <w:tcW w:w="763" w:type="dxa"/>
            <w:tcBorders>
              <w:bottom w:val="single" w:sz="4" w:space="0" w:color="auto"/>
            </w:tcBorders>
            <w:shd w:val="clear" w:color="auto" w:fill="D9D9D9" w:themeFill="background1" w:themeFillShade="D9"/>
          </w:tcPr>
          <w:p w14:paraId="0EB802A9"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1991-2000</w:t>
            </w:r>
          </w:p>
        </w:tc>
        <w:tc>
          <w:tcPr>
            <w:tcW w:w="764" w:type="dxa"/>
            <w:tcBorders>
              <w:bottom w:val="single" w:sz="4" w:space="0" w:color="auto"/>
            </w:tcBorders>
            <w:shd w:val="clear" w:color="auto" w:fill="D9D9D9" w:themeFill="background1" w:themeFillShade="D9"/>
          </w:tcPr>
          <w:p w14:paraId="444AD45A"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2000-05</w:t>
            </w:r>
          </w:p>
        </w:tc>
        <w:tc>
          <w:tcPr>
            <w:tcW w:w="764" w:type="dxa"/>
            <w:tcBorders>
              <w:bottom w:val="single" w:sz="4" w:space="0" w:color="auto"/>
            </w:tcBorders>
            <w:shd w:val="clear" w:color="auto" w:fill="D9D9D9" w:themeFill="background1" w:themeFillShade="D9"/>
          </w:tcPr>
          <w:p w14:paraId="05C15B10"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2005-10</w:t>
            </w:r>
          </w:p>
        </w:tc>
        <w:tc>
          <w:tcPr>
            <w:tcW w:w="764" w:type="dxa"/>
            <w:tcBorders>
              <w:bottom w:val="single" w:sz="4" w:space="0" w:color="auto"/>
            </w:tcBorders>
            <w:shd w:val="clear" w:color="auto" w:fill="D9D9D9" w:themeFill="background1" w:themeFillShade="D9"/>
          </w:tcPr>
          <w:p w14:paraId="65CF2A89" w14:textId="77777777" w:rsidR="008A6062" w:rsidRPr="000B49EB" w:rsidRDefault="008A6062" w:rsidP="00904CFC">
            <w:pPr>
              <w:jc w:val="center"/>
              <w:rPr>
                <w:rFonts w:ascii="Arial" w:hAnsi="Arial" w:cs="Arial"/>
                <w:bCs/>
                <w:i/>
                <w:sz w:val="17"/>
                <w:szCs w:val="17"/>
              </w:rPr>
            </w:pPr>
            <w:r w:rsidRPr="000B49EB">
              <w:rPr>
                <w:rFonts w:ascii="Arial" w:eastAsia="Times New Roman" w:hAnsi="Arial" w:cs="Arial"/>
                <w:bCs/>
                <w:i/>
                <w:sz w:val="17"/>
                <w:szCs w:val="17"/>
                <w:lang w:eastAsia="en-GB"/>
              </w:rPr>
              <w:t>2010-13</w:t>
            </w:r>
          </w:p>
        </w:tc>
      </w:tr>
      <w:tr w:rsidR="00246C81" w:rsidRPr="000B49EB" w14:paraId="35E14016" w14:textId="77777777" w:rsidTr="00246C81">
        <w:trPr>
          <w:trHeight w:val="240"/>
        </w:trPr>
        <w:tc>
          <w:tcPr>
            <w:tcW w:w="2875" w:type="dxa"/>
            <w:tcBorders>
              <w:top w:val="single" w:sz="4" w:space="0" w:color="auto"/>
              <w:right w:val="single" w:sz="4" w:space="0" w:color="auto"/>
            </w:tcBorders>
            <w:shd w:val="clear" w:color="auto" w:fill="auto"/>
            <w:noWrap/>
            <w:vAlign w:val="center"/>
            <w:hideMark/>
          </w:tcPr>
          <w:p w14:paraId="23B039B3"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Agriculture</w:t>
            </w:r>
          </w:p>
        </w:tc>
        <w:tc>
          <w:tcPr>
            <w:tcW w:w="759" w:type="dxa"/>
            <w:tcBorders>
              <w:top w:val="single" w:sz="4" w:space="0" w:color="auto"/>
              <w:left w:val="single" w:sz="4" w:space="0" w:color="auto"/>
            </w:tcBorders>
            <w:vAlign w:val="center"/>
          </w:tcPr>
          <w:p w14:paraId="3AA23B21"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tcBorders>
              <w:top w:val="single" w:sz="4" w:space="0" w:color="auto"/>
            </w:tcBorders>
            <w:vAlign w:val="center"/>
          </w:tcPr>
          <w:p w14:paraId="7CC3362E" w14:textId="335176CA"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121.0</w:t>
            </w:r>
          </w:p>
        </w:tc>
        <w:tc>
          <w:tcPr>
            <w:tcW w:w="763" w:type="dxa"/>
            <w:tcBorders>
              <w:top w:val="single" w:sz="4" w:space="0" w:color="auto"/>
            </w:tcBorders>
            <w:vAlign w:val="center"/>
          </w:tcPr>
          <w:p w14:paraId="680270B4" w14:textId="5746E17F"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70.8</w:t>
            </w:r>
          </w:p>
        </w:tc>
        <w:tc>
          <w:tcPr>
            <w:tcW w:w="763" w:type="dxa"/>
            <w:tcBorders>
              <w:top w:val="single" w:sz="4" w:space="0" w:color="auto"/>
            </w:tcBorders>
            <w:vAlign w:val="center"/>
          </w:tcPr>
          <w:p w14:paraId="40AA9C1B" w14:textId="5545B53A"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98.6</w:t>
            </w:r>
          </w:p>
        </w:tc>
        <w:tc>
          <w:tcPr>
            <w:tcW w:w="761" w:type="dxa"/>
            <w:tcBorders>
              <w:top w:val="single" w:sz="4" w:space="0" w:color="auto"/>
              <w:right w:val="single" w:sz="4" w:space="0" w:color="auto"/>
            </w:tcBorders>
            <w:vAlign w:val="center"/>
          </w:tcPr>
          <w:p w14:paraId="6C33952B" w14:textId="6E466814"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91.4</w:t>
            </w:r>
          </w:p>
        </w:tc>
        <w:tc>
          <w:tcPr>
            <w:tcW w:w="763" w:type="dxa"/>
            <w:tcBorders>
              <w:top w:val="single" w:sz="4" w:space="0" w:color="auto"/>
              <w:left w:val="single" w:sz="4" w:space="0" w:color="auto"/>
            </w:tcBorders>
            <w:vAlign w:val="center"/>
          </w:tcPr>
          <w:p w14:paraId="11EE78E7" w14:textId="1E13CAB1"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-0.4%</w:t>
            </w:r>
          </w:p>
        </w:tc>
        <w:tc>
          <w:tcPr>
            <w:tcW w:w="763" w:type="dxa"/>
            <w:tcBorders>
              <w:top w:val="single" w:sz="4" w:space="0" w:color="auto"/>
            </w:tcBorders>
            <w:vAlign w:val="center"/>
          </w:tcPr>
          <w:p w14:paraId="04A0E726" w14:textId="7853B2B4"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2.1%</w:t>
            </w:r>
          </w:p>
        </w:tc>
        <w:tc>
          <w:tcPr>
            <w:tcW w:w="764" w:type="dxa"/>
            <w:tcBorders>
              <w:top w:val="single" w:sz="4" w:space="0" w:color="auto"/>
            </w:tcBorders>
            <w:vAlign w:val="center"/>
          </w:tcPr>
          <w:p w14:paraId="2BD05D3F" w14:textId="3DFB8B64"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-10.2%</w:t>
            </w:r>
          </w:p>
        </w:tc>
        <w:tc>
          <w:tcPr>
            <w:tcW w:w="764" w:type="dxa"/>
            <w:tcBorders>
              <w:top w:val="single" w:sz="4" w:space="0" w:color="auto"/>
            </w:tcBorders>
            <w:vAlign w:val="center"/>
          </w:tcPr>
          <w:p w14:paraId="7395F574" w14:textId="761F59A9"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6.9%</w:t>
            </w:r>
          </w:p>
        </w:tc>
        <w:tc>
          <w:tcPr>
            <w:tcW w:w="764" w:type="dxa"/>
            <w:tcBorders>
              <w:top w:val="single" w:sz="4" w:space="0" w:color="auto"/>
            </w:tcBorders>
            <w:vAlign w:val="center"/>
          </w:tcPr>
          <w:p w14:paraId="5AF64C7D" w14:textId="2BBF9C89"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-2.5%</w:t>
            </w:r>
          </w:p>
        </w:tc>
      </w:tr>
      <w:tr w:rsidR="00246C81" w:rsidRPr="000B49EB" w14:paraId="516D9FC4" w14:textId="77777777" w:rsidTr="00246C81">
        <w:trPr>
          <w:trHeight w:val="240"/>
        </w:trPr>
        <w:tc>
          <w:tcPr>
            <w:tcW w:w="2875" w:type="dxa"/>
            <w:tcBorders>
              <w:right w:val="single" w:sz="4" w:space="0" w:color="auto"/>
            </w:tcBorders>
            <w:shd w:val="clear" w:color="auto" w:fill="auto"/>
            <w:noWrap/>
            <w:vAlign w:val="center"/>
            <w:hideMark/>
          </w:tcPr>
          <w:p w14:paraId="1D645C51"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 xml:space="preserve">Mining &amp; utilities </w:t>
            </w:r>
          </w:p>
        </w:tc>
        <w:tc>
          <w:tcPr>
            <w:tcW w:w="759" w:type="dxa"/>
            <w:tcBorders>
              <w:left w:val="single" w:sz="4" w:space="0" w:color="auto"/>
            </w:tcBorders>
            <w:vAlign w:val="center"/>
          </w:tcPr>
          <w:p w14:paraId="2E365E7A"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vAlign w:val="center"/>
          </w:tcPr>
          <w:p w14:paraId="76D339FF" w14:textId="70E4FC13"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240.3</w:t>
            </w:r>
          </w:p>
        </w:tc>
        <w:tc>
          <w:tcPr>
            <w:tcW w:w="763" w:type="dxa"/>
            <w:vAlign w:val="center"/>
          </w:tcPr>
          <w:p w14:paraId="2064D703" w14:textId="1BA7499C"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478.1</w:t>
            </w:r>
          </w:p>
        </w:tc>
        <w:tc>
          <w:tcPr>
            <w:tcW w:w="763" w:type="dxa"/>
            <w:vAlign w:val="center"/>
          </w:tcPr>
          <w:p w14:paraId="57994CCE" w14:textId="7BBF9DF1"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218.9</w:t>
            </w:r>
          </w:p>
        </w:tc>
        <w:tc>
          <w:tcPr>
            <w:tcW w:w="761" w:type="dxa"/>
            <w:tcBorders>
              <w:right w:val="single" w:sz="4" w:space="0" w:color="auto"/>
            </w:tcBorders>
            <w:vAlign w:val="center"/>
          </w:tcPr>
          <w:p w14:paraId="2F2455F3" w14:textId="011B1034"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142.6</w:t>
            </w:r>
          </w:p>
        </w:tc>
        <w:tc>
          <w:tcPr>
            <w:tcW w:w="763" w:type="dxa"/>
            <w:tcBorders>
              <w:left w:val="single" w:sz="4" w:space="0" w:color="auto"/>
            </w:tcBorders>
            <w:vAlign w:val="center"/>
          </w:tcPr>
          <w:p w14:paraId="20022053" w14:textId="064952B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1.6%</w:t>
            </w:r>
          </w:p>
        </w:tc>
        <w:tc>
          <w:tcPr>
            <w:tcW w:w="763" w:type="dxa"/>
            <w:vAlign w:val="center"/>
          </w:tcPr>
          <w:p w14:paraId="0C9EC9DA" w14:textId="45F6F652"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10.2%</w:t>
            </w:r>
          </w:p>
        </w:tc>
        <w:tc>
          <w:tcPr>
            <w:tcW w:w="764" w:type="dxa"/>
            <w:vAlign w:val="center"/>
          </w:tcPr>
          <w:p w14:paraId="42B25E6D" w14:textId="2E5483D7"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14.7%</w:t>
            </w:r>
          </w:p>
        </w:tc>
        <w:tc>
          <w:tcPr>
            <w:tcW w:w="764" w:type="dxa"/>
            <w:vAlign w:val="center"/>
          </w:tcPr>
          <w:p w14:paraId="4FDD5835" w14:textId="7B529B61"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-14.5%</w:t>
            </w:r>
          </w:p>
        </w:tc>
        <w:tc>
          <w:tcPr>
            <w:tcW w:w="764" w:type="dxa"/>
            <w:vAlign w:val="center"/>
          </w:tcPr>
          <w:p w14:paraId="798DD692" w14:textId="2B1FD4FF"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-13.3%</w:t>
            </w:r>
          </w:p>
        </w:tc>
      </w:tr>
      <w:tr w:rsidR="00246C81" w:rsidRPr="000B49EB" w14:paraId="46DE6975" w14:textId="77777777" w:rsidTr="00246C81">
        <w:trPr>
          <w:trHeight w:val="240"/>
        </w:trPr>
        <w:tc>
          <w:tcPr>
            <w:tcW w:w="2875" w:type="dxa"/>
            <w:tcBorders>
              <w:right w:val="single" w:sz="4" w:space="0" w:color="auto"/>
            </w:tcBorders>
            <w:shd w:val="clear" w:color="auto" w:fill="auto"/>
            <w:noWrap/>
            <w:vAlign w:val="center"/>
            <w:hideMark/>
          </w:tcPr>
          <w:p w14:paraId="7596FE49"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Manufacturing</w:t>
            </w:r>
          </w:p>
        </w:tc>
        <w:tc>
          <w:tcPr>
            <w:tcW w:w="759" w:type="dxa"/>
            <w:tcBorders>
              <w:left w:val="single" w:sz="4" w:space="0" w:color="auto"/>
            </w:tcBorders>
            <w:vAlign w:val="center"/>
          </w:tcPr>
          <w:p w14:paraId="3CA63FCA"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vAlign w:val="center"/>
          </w:tcPr>
          <w:p w14:paraId="50E9F93B" w14:textId="7F3AFEBE"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128.5</w:t>
            </w:r>
          </w:p>
        </w:tc>
        <w:tc>
          <w:tcPr>
            <w:tcW w:w="763" w:type="dxa"/>
            <w:vAlign w:val="center"/>
          </w:tcPr>
          <w:p w14:paraId="3B0B25E6" w14:textId="154BC380"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169.5</w:t>
            </w:r>
          </w:p>
        </w:tc>
        <w:tc>
          <w:tcPr>
            <w:tcW w:w="763" w:type="dxa"/>
            <w:vAlign w:val="center"/>
          </w:tcPr>
          <w:p w14:paraId="35B9BDC0" w14:textId="1697BE60"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180.8</w:t>
            </w:r>
          </w:p>
        </w:tc>
        <w:tc>
          <w:tcPr>
            <w:tcW w:w="761" w:type="dxa"/>
            <w:tcBorders>
              <w:right w:val="single" w:sz="4" w:space="0" w:color="auto"/>
            </w:tcBorders>
            <w:vAlign w:val="center"/>
          </w:tcPr>
          <w:p w14:paraId="31B13662" w14:textId="566F172E"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214.0</w:t>
            </w:r>
          </w:p>
        </w:tc>
        <w:tc>
          <w:tcPr>
            <w:tcW w:w="763" w:type="dxa"/>
            <w:tcBorders>
              <w:left w:val="single" w:sz="4" w:space="0" w:color="auto"/>
            </w:tcBorders>
            <w:vAlign w:val="center"/>
          </w:tcPr>
          <w:p w14:paraId="768019F3" w14:textId="7ED9234A"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3.5%</w:t>
            </w:r>
          </w:p>
        </w:tc>
        <w:tc>
          <w:tcPr>
            <w:tcW w:w="763" w:type="dxa"/>
            <w:vAlign w:val="center"/>
          </w:tcPr>
          <w:p w14:paraId="2B708301" w14:textId="6B2BB714"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2.8%</w:t>
            </w:r>
          </w:p>
        </w:tc>
        <w:tc>
          <w:tcPr>
            <w:tcW w:w="764" w:type="dxa"/>
            <w:vAlign w:val="center"/>
          </w:tcPr>
          <w:p w14:paraId="165E7D48" w14:textId="071B7B5F"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5.7%</w:t>
            </w:r>
          </w:p>
        </w:tc>
        <w:tc>
          <w:tcPr>
            <w:tcW w:w="764" w:type="dxa"/>
            <w:vAlign w:val="center"/>
          </w:tcPr>
          <w:p w14:paraId="41F8E44F" w14:textId="44589DCA"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1.3%</w:t>
            </w:r>
          </w:p>
        </w:tc>
        <w:tc>
          <w:tcPr>
            <w:tcW w:w="764" w:type="dxa"/>
            <w:vAlign w:val="center"/>
          </w:tcPr>
          <w:p w14:paraId="045B8A89" w14:textId="16AA23A7"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5.8%</w:t>
            </w:r>
          </w:p>
        </w:tc>
      </w:tr>
      <w:tr w:rsidR="00246C81" w:rsidRPr="000B49EB" w14:paraId="76A91528" w14:textId="77777777" w:rsidTr="00246C81">
        <w:trPr>
          <w:trHeight w:val="240"/>
        </w:trPr>
        <w:tc>
          <w:tcPr>
            <w:tcW w:w="2875" w:type="dxa"/>
            <w:tcBorders>
              <w:right w:val="single" w:sz="4" w:space="0" w:color="auto"/>
            </w:tcBorders>
            <w:shd w:val="clear" w:color="auto" w:fill="auto"/>
            <w:noWrap/>
            <w:vAlign w:val="center"/>
            <w:hideMark/>
          </w:tcPr>
          <w:p w14:paraId="5D80967A"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Construction</w:t>
            </w:r>
          </w:p>
        </w:tc>
        <w:tc>
          <w:tcPr>
            <w:tcW w:w="759" w:type="dxa"/>
            <w:tcBorders>
              <w:left w:val="single" w:sz="4" w:space="0" w:color="auto"/>
            </w:tcBorders>
            <w:vAlign w:val="center"/>
          </w:tcPr>
          <w:p w14:paraId="2919B285"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vAlign w:val="center"/>
          </w:tcPr>
          <w:p w14:paraId="59E256E1" w14:textId="18268C45"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81.7</w:t>
            </w:r>
          </w:p>
        </w:tc>
        <w:tc>
          <w:tcPr>
            <w:tcW w:w="763" w:type="dxa"/>
            <w:vAlign w:val="center"/>
          </w:tcPr>
          <w:p w14:paraId="5B2BE947" w14:textId="19DFFB4D"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121.9</w:t>
            </w:r>
          </w:p>
        </w:tc>
        <w:tc>
          <w:tcPr>
            <w:tcW w:w="763" w:type="dxa"/>
            <w:vAlign w:val="center"/>
          </w:tcPr>
          <w:p w14:paraId="3EA12614" w14:textId="40B87058"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170.5</w:t>
            </w:r>
          </w:p>
        </w:tc>
        <w:tc>
          <w:tcPr>
            <w:tcW w:w="761" w:type="dxa"/>
            <w:tcBorders>
              <w:right w:val="single" w:sz="4" w:space="0" w:color="auto"/>
            </w:tcBorders>
            <w:vAlign w:val="center"/>
          </w:tcPr>
          <w:p w14:paraId="473EAC93" w14:textId="7EBAC2B9"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193.7</w:t>
            </w:r>
          </w:p>
        </w:tc>
        <w:tc>
          <w:tcPr>
            <w:tcW w:w="763" w:type="dxa"/>
            <w:tcBorders>
              <w:left w:val="single" w:sz="4" w:space="0" w:color="auto"/>
            </w:tcBorders>
            <w:vAlign w:val="center"/>
          </w:tcPr>
          <w:p w14:paraId="4A6F5F0A" w14:textId="5DCD1C7B"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3.1%</w:t>
            </w:r>
          </w:p>
        </w:tc>
        <w:tc>
          <w:tcPr>
            <w:tcW w:w="763" w:type="dxa"/>
            <w:vAlign w:val="center"/>
          </w:tcPr>
          <w:p w14:paraId="2D9DE218" w14:textId="20CA7C78"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-2.2%</w:t>
            </w:r>
          </w:p>
        </w:tc>
        <w:tc>
          <w:tcPr>
            <w:tcW w:w="764" w:type="dxa"/>
            <w:vAlign w:val="center"/>
          </w:tcPr>
          <w:p w14:paraId="1CF775EF" w14:textId="1315BCA5"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8.3%</w:t>
            </w:r>
          </w:p>
        </w:tc>
        <w:tc>
          <w:tcPr>
            <w:tcW w:w="764" w:type="dxa"/>
            <w:vAlign w:val="center"/>
          </w:tcPr>
          <w:p w14:paraId="5C7402AD" w14:textId="43F2D07F"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6.9%</w:t>
            </w:r>
          </w:p>
        </w:tc>
        <w:tc>
          <w:tcPr>
            <w:tcW w:w="764" w:type="dxa"/>
            <w:vAlign w:val="center"/>
          </w:tcPr>
          <w:p w14:paraId="6997912B" w14:textId="553567B6"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4.4%</w:t>
            </w:r>
          </w:p>
        </w:tc>
      </w:tr>
      <w:tr w:rsidR="00246C81" w:rsidRPr="000B49EB" w14:paraId="0CD666BD" w14:textId="77777777" w:rsidTr="00246C81">
        <w:trPr>
          <w:trHeight w:val="240"/>
        </w:trPr>
        <w:tc>
          <w:tcPr>
            <w:tcW w:w="2875" w:type="dxa"/>
            <w:tcBorders>
              <w:right w:val="single" w:sz="4" w:space="0" w:color="auto"/>
            </w:tcBorders>
            <w:shd w:val="clear" w:color="auto" w:fill="auto"/>
            <w:noWrap/>
            <w:vAlign w:val="center"/>
            <w:hideMark/>
          </w:tcPr>
          <w:p w14:paraId="4F9D8702"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Wholesale, retail, hotels</w:t>
            </w:r>
          </w:p>
        </w:tc>
        <w:tc>
          <w:tcPr>
            <w:tcW w:w="759" w:type="dxa"/>
            <w:tcBorders>
              <w:left w:val="single" w:sz="4" w:space="0" w:color="auto"/>
            </w:tcBorders>
            <w:vAlign w:val="center"/>
          </w:tcPr>
          <w:p w14:paraId="69512BB8"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vAlign w:val="center"/>
          </w:tcPr>
          <w:p w14:paraId="6A07236F" w14:textId="7CD88735"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141.8</w:t>
            </w:r>
          </w:p>
        </w:tc>
        <w:tc>
          <w:tcPr>
            <w:tcW w:w="763" w:type="dxa"/>
            <w:vAlign w:val="center"/>
          </w:tcPr>
          <w:p w14:paraId="2EE74140" w14:textId="19C7F125"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115.3</w:t>
            </w:r>
          </w:p>
        </w:tc>
        <w:tc>
          <w:tcPr>
            <w:tcW w:w="763" w:type="dxa"/>
            <w:vAlign w:val="center"/>
          </w:tcPr>
          <w:p w14:paraId="78BF0B9D" w14:textId="267AD9B5"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173.7</w:t>
            </w:r>
          </w:p>
        </w:tc>
        <w:tc>
          <w:tcPr>
            <w:tcW w:w="761" w:type="dxa"/>
            <w:tcBorders>
              <w:right w:val="single" w:sz="4" w:space="0" w:color="auto"/>
            </w:tcBorders>
            <w:vAlign w:val="center"/>
          </w:tcPr>
          <w:p w14:paraId="542D7E4B" w14:textId="51FEB03F"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210.8</w:t>
            </w:r>
          </w:p>
        </w:tc>
        <w:tc>
          <w:tcPr>
            <w:tcW w:w="763" w:type="dxa"/>
            <w:tcBorders>
              <w:left w:val="single" w:sz="4" w:space="0" w:color="auto"/>
            </w:tcBorders>
            <w:vAlign w:val="center"/>
          </w:tcPr>
          <w:p w14:paraId="7052F19D" w14:textId="32BC4345"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3.4%</w:t>
            </w:r>
          </w:p>
        </w:tc>
        <w:tc>
          <w:tcPr>
            <w:tcW w:w="763" w:type="dxa"/>
            <w:vAlign w:val="center"/>
          </w:tcPr>
          <w:p w14:paraId="390C033B" w14:textId="7B6D747F"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4.0%</w:t>
            </w:r>
          </w:p>
        </w:tc>
        <w:tc>
          <w:tcPr>
            <w:tcW w:w="764" w:type="dxa"/>
            <w:vAlign w:val="center"/>
          </w:tcPr>
          <w:p w14:paraId="1CE4B731" w14:textId="311B2273"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-4.0%</w:t>
            </w:r>
          </w:p>
        </w:tc>
        <w:tc>
          <w:tcPr>
            <w:tcW w:w="764" w:type="dxa"/>
            <w:vAlign w:val="center"/>
          </w:tcPr>
          <w:p w14:paraId="0D549497" w14:textId="7905686C"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8.5%</w:t>
            </w:r>
          </w:p>
        </w:tc>
        <w:tc>
          <w:tcPr>
            <w:tcW w:w="764" w:type="dxa"/>
            <w:vAlign w:val="center"/>
          </w:tcPr>
          <w:p w14:paraId="00D52AC5" w14:textId="5F83DE7C"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6.7%</w:t>
            </w:r>
          </w:p>
        </w:tc>
      </w:tr>
      <w:tr w:rsidR="00246C81" w:rsidRPr="000B49EB" w14:paraId="3E031F26" w14:textId="77777777" w:rsidTr="00246C81">
        <w:trPr>
          <w:trHeight w:val="240"/>
        </w:trPr>
        <w:tc>
          <w:tcPr>
            <w:tcW w:w="2875" w:type="dxa"/>
            <w:tcBorders>
              <w:right w:val="single" w:sz="4" w:space="0" w:color="auto"/>
            </w:tcBorders>
            <w:shd w:val="clear" w:color="auto" w:fill="auto"/>
            <w:noWrap/>
            <w:vAlign w:val="center"/>
            <w:hideMark/>
          </w:tcPr>
          <w:p w14:paraId="183029B8"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 xml:space="preserve">Transport, storage, </w:t>
            </w:r>
            <w:proofErr w:type="spellStart"/>
            <w:r w:rsidRPr="000B49EB">
              <w:rPr>
                <w:rFonts w:ascii="Arial" w:eastAsia="Times New Roman" w:hAnsi="Arial" w:cs="Arial"/>
                <w:sz w:val="17"/>
                <w:szCs w:val="17"/>
                <w:lang w:eastAsia="en-GB"/>
              </w:rPr>
              <w:t>comms</w:t>
            </w:r>
            <w:proofErr w:type="spellEnd"/>
          </w:p>
        </w:tc>
        <w:tc>
          <w:tcPr>
            <w:tcW w:w="759" w:type="dxa"/>
            <w:tcBorders>
              <w:left w:val="single" w:sz="4" w:space="0" w:color="auto"/>
            </w:tcBorders>
            <w:vAlign w:val="center"/>
          </w:tcPr>
          <w:p w14:paraId="0ABD3AA5"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vAlign w:val="center"/>
          </w:tcPr>
          <w:p w14:paraId="187F9004" w14:textId="60FB206C"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256.3</w:t>
            </w:r>
          </w:p>
        </w:tc>
        <w:tc>
          <w:tcPr>
            <w:tcW w:w="763" w:type="dxa"/>
            <w:vAlign w:val="center"/>
          </w:tcPr>
          <w:p w14:paraId="70C4B0E5" w14:textId="1D17C639"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161.7</w:t>
            </w:r>
          </w:p>
        </w:tc>
        <w:tc>
          <w:tcPr>
            <w:tcW w:w="763" w:type="dxa"/>
            <w:vAlign w:val="center"/>
          </w:tcPr>
          <w:p w14:paraId="44C335AB" w14:textId="341C3D44"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224.0</w:t>
            </w:r>
          </w:p>
        </w:tc>
        <w:tc>
          <w:tcPr>
            <w:tcW w:w="761" w:type="dxa"/>
            <w:tcBorders>
              <w:right w:val="single" w:sz="4" w:space="0" w:color="auto"/>
            </w:tcBorders>
            <w:vAlign w:val="center"/>
          </w:tcPr>
          <w:p w14:paraId="0FEEB592" w14:textId="3A673B43"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206.2</w:t>
            </w:r>
          </w:p>
        </w:tc>
        <w:tc>
          <w:tcPr>
            <w:tcW w:w="763" w:type="dxa"/>
            <w:tcBorders>
              <w:left w:val="single" w:sz="4" w:space="0" w:color="auto"/>
            </w:tcBorders>
            <w:vAlign w:val="center"/>
          </w:tcPr>
          <w:p w14:paraId="53B84A5A" w14:textId="25593FD9"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3.3%</w:t>
            </w:r>
          </w:p>
        </w:tc>
        <w:tc>
          <w:tcPr>
            <w:tcW w:w="763" w:type="dxa"/>
            <w:vAlign w:val="center"/>
          </w:tcPr>
          <w:p w14:paraId="60092DE5" w14:textId="6BF33EBF"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11.0%</w:t>
            </w:r>
          </w:p>
        </w:tc>
        <w:tc>
          <w:tcPr>
            <w:tcW w:w="764" w:type="dxa"/>
            <w:vAlign w:val="center"/>
          </w:tcPr>
          <w:p w14:paraId="5B3283CE" w14:textId="6DBB1A33"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-8.8%</w:t>
            </w:r>
          </w:p>
        </w:tc>
        <w:tc>
          <w:tcPr>
            <w:tcW w:w="764" w:type="dxa"/>
            <w:vAlign w:val="center"/>
          </w:tcPr>
          <w:p w14:paraId="3BF758F7" w14:textId="3DE8F743"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6.7%</w:t>
            </w:r>
          </w:p>
        </w:tc>
        <w:tc>
          <w:tcPr>
            <w:tcW w:w="764" w:type="dxa"/>
            <w:vAlign w:val="center"/>
          </w:tcPr>
          <w:p w14:paraId="1B1CE17C" w14:textId="2D628C00"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-2.7%</w:t>
            </w:r>
          </w:p>
        </w:tc>
      </w:tr>
      <w:tr w:rsidR="00246C81" w:rsidRPr="000B49EB" w14:paraId="2A3D3532" w14:textId="77777777" w:rsidTr="00246C81">
        <w:trPr>
          <w:trHeight w:val="240"/>
        </w:trPr>
        <w:tc>
          <w:tcPr>
            <w:tcW w:w="2875" w:type="dxa"/>
            <w:tcBorders>
              <w:bottom w:val="single" w:sz="4" w:space="0" w:color="auto"/>
              <w:right w:val="single" w:sz="4" w:space="0" w:color="auto"/>
            </w:tcBorders>
            <w:shd w:val="clear" w:color="auto" w:fill="auto"/>
            <w:noWrap/>
            <w:vAlign w:val="center"/>
            <w:hideMark/>
          </w:tcPr>
          <w:p w14:paraId="18CECB20" w14:textId="77777777" w:rsidR="00246C81" w:rsidRPr="000B49EB" w:rsidRDefault="00246C81" w:rsidP="00904CFC">
            <w:pPr>
              <w:rPr>
                <w:rFonts w:ascii="Arial" w:eastAsia="Times New Roman" w:hAnsi="Arial" w:cs="Arial"/>
                <w:sz w:val="17"/>
                <w:szCs w:val="17"/>
                <w:lang w:eastAsia="en-GB"/>
              </w:rPr>
            </w:pPr>
            <w:r w:rsidRPr="000B49EB">
              <w:rPr>
                <w:rFonts w:ascii="Arial" w:eastAsia="Times New Roman" w:hAnsi="Arial" w:cs="Arial"/>
                <w:sz w:val="17"/>
                <w:szCs w:val="17"/>
                <w:lang w:eastAsia="en-GB"/>
              </w:rPr>
              <w:t>Other</w:t>
            </w:r>
          </w:p>
        </w:tc>
        <w:tc>
          <w:tcPr>
            <w:tcW w:w="759" w:type="dxa"/>
            <w:tcBorders>
              <w:left w:val="single" w:sz="4" w:space="0" w:color="auto"/>
              <w:bottom w:val="single" w:sz="4" w:space="0" w:color="auto"/>
            </w:tcBorders>
            <w:vAlign w:val="center"/>
          </w:tcPr>
          <w:p w14:paraId="505347B1" w14:textId="7777777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7"/>
                <w:lang w:eastAsia="en-GB"/>
              </w:rPr>
              <w:t>100</w:t>
            </w:r>
          </w:p>
        </w:tc>
        <w:tc>
          <w:tcPr>
            <w:tcW w:w="763" w:type="dxa"/>
            <w:tcBorders>
              <w:bottom w:val="single" w:sz="4" w:space="0" w:color="auto"/>
            </w:tcBorders>
            <w:vAlign w:val="center"/>
          </w:tcPr>
          <w:p w14:paraId="25F22C91" w14:textId="38A19A7E"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166.6</w:t>
            </w:r>
          </w:p>
        </w:tc>
        <w:tc>
          <w:tcPr>
            <w:tcW w:w="763" w:type="dxa"/>
            <w:tcBorders>
              <w:bottom w:val="single" w:sz="4" w:space="0" w:color="auto"/>
            </w:tcBorders>
            <w:vAlign w:val="center"/>
          </w:tcPr>
          <w:p w14:paraId="56A4734B" w14:textId="2AB099FC"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176.2</w:t>
            </w:r>
          </w:p>
        </w:tc>
        <w:tc>
          <w:tcPr>
            <w:tcW w:w="763" w:type="dxa"/>
            <w:tcBorders>
              <w:bottom w:val="single" w:sz="4" w:space="0" w:color="auto"/>
            </w:tcBorders>
            <w:vAlign w:val="center"/>
          </w:tcPr>
          <w:p w14:paraId="7DE7DC0F" w14:textId="54101397"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128.6</w:t>
            </w:r>
          </w:p>
        </w:tc>
        <w:tc>
          <w:tcPr>
            <w:tcW w:w="761" w:type="dxa"/>
            <w:tcBorders>
              <w:bottom w:val="single" w:sz="4" w:space="0" w:color="auto"/>
              <w:right w:val="single" w:sz="4" w:space="0" w:color="auto"/>
            </w:tcBorders>
            <w:vAlign w:val="center"/>
          </w:tcPr>
          <w:p w14:paraId="42F22728" w14:textId="07CC66CB"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144.4</w:t>
            </w:r>
          </w:p>
        </w:tc>
        <w:tc>
          <w:tcPr>
            <w:tcW w:w="763" w:type="dxa"/>
            <w:tcBorders>
              <w:left w:val="single" w:sz="4" w:space="0" w:color="auto"/>
              <w:bottom w:val="single" w:sz="4" w:space="0" w:color="auto"/>
            </w:tcBorders>
            <w:vAlign w:val="center"/>
          </w:tcPr>
          <w:p w14:paraId="5ED4FF2C" w14:textId="4790328B" w:rsidR="00246C81" w:rsidRPr="000B49EB" w:rsidRDefault="00246C81" w:rsidP="00904CFC">
            <w:pPr>
              <w:ind w:left="72" w:right="72"/>
              <w:jc w:val="right"/>
              <w:rPr>
                <w:rFonts w:ascii="Arial" w:eastAsia="Times New Roman" w:hAnsi="Arial" w:cs="Arial"/>
                <w:sz w:val="17"/>
                <w:szCs w:val="17"/>
                <w:lang w:eastAsia="en-GB"/>
              </w:rPr>
            </w:pPr>
            <w:r w:rsidRPr="000B49EB">
              <w:rPr>
                <w:rFonts w:ascii="Arial" w:eastAsia="Times New Roman" w:hAnsi="Arial" w:cs="Arial"/>
                <w:sz w:val="17"/>
                <w:szCs w:val="18"/>
                <w:lang w:eastAsia="en-GB"/>
              </w:rPr>
              <w:t>1.7%</w:t>
            </w:r>
          </w:p>
        </w:tc>
        <w:tc>
          <w:tcPr>
            <w:tcW w:w="763" w:type="dxa"/>
            <w:tcBorders>
              <w:bottom w:val="single" w:sz="4" w:space="0" w:color="auto"/>
            </w:tcBorders>
            <w:vAlign w:val="center"/>
          </w:tcPr>
          <w:p w14:paraId="2C4E2C6D" w14:textId="01EFCC33"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5.8%</w:t>
            </w:r>
          </w:p>
        </w:tc>
        <w:tc>
          <w:tcPr>
            <w:tcW w:w="764" w:type="dxa"/>
            <w:tcBorders>
              <w:bottom w:val="single" w:sz="4" w:space="0" w:color="auto"/>
            </w:tcBorders>
            <w:vAlign w:val="center"/>
          </w:tcPr>
          <w:p w14:paraId="4E0B2B96" w14:textId="677981DD"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1.1%</w:t>
            </w:r>
          </w:p>
        </w:tc>
        <w:tc>
          <w:tcPr>
            <w:tcW w:w="764" w:type="dxa"/>
            <w:tcBorders>
              <w:bottom w:val="single" w:sz="4" w:space="0" w:color="auto"/>
            </w:tcBorders>
            <w:vAlign w:val="center"/>
          </w:tcPr>
          <w:p w14:paraId="1D93F91A" w14:textId="3B77E41D"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-6.1%</w:t>
            </w:r>
          </w:p>
        </w:tc>
        <w:tc>
          <w:tcPr>
            <w:tcW w:w="764" w:type="dxa"/>
            <w:tcBorders>
              <w:bottom w:val="single" w:sz="4" w:space="0" w:color="auto"/>
            </w:tcBorders>
            <w:vAlign w:val="center"/>
          </w:tcPr>
          <w:p w14:paraId="50C82B98" w14:textId="0176FB70" w:rsidR="00246C81" w:rsidRPr="000B49EB" w:rsidRDefault="00246C81" w:rsidP="00904CFC">
            <w:pPr>
              <w:ind w:left="72" w:right="72"/>
              <w:jc w:val="right"/>
              <w:rPr>
                <w:rFonts w:ascii="Arial" w:hAnsi="Arial" w:cs="Arial"/>
                <w:sz w:val="17"/>
                <w:szCs w:val="17"/>
              </w:rPr>
            </w:pPr>
            <w:r w:rsidRPr="000B49EB">
              <w:rPr>
                <w:rFonts w:ascii="Arial" w:eastAsia="Times New Roman" w:hAnsi="Arial" w:cs="Arial"/>
                <w:sz w:val="17"/>
                <w:szCs w:val="18"/>
                <w:lang w:eastAsia="en-GB"/>
              </w:rPr>
              <w:t>3.9%</w:t>
            </w:r>
          </w:p>
        </w:tc>
      </w:tr>
      <w:tr w:rsidR="00246C81" w:rsidRPr="000B49EB" w14:paraId="56B6B72F" w14:textId="77777777" w:rsidTr="00246C81">
        <w:trPr>
          <w:trHeight w:val="240"/>
        </w:trPr>
        <w:tc>
          <w:tcPr>
            <w:tcW w:w="2875" w:type="dxa"/>
            <w:tcBorders>
              <w:bottom w:val="single" w:sz="4" w:space="0" w:color="auto"/>
              <w:right w:val="single" w:sz="4" w:space="0" w:color="auto"/>
            </w:tcBorders>
            <w:shd w:val="clear" w:color="auto" w:fill="auto"/>
            <w:noWrap/>
            <w:vAlign w:val="center"/>
          </w:tcPr>
          <w:p w14:paraId="092E83E1" w14:textId="77777777" w:rsidR="00246C81" w:rsidRPr="000B49EB" w:rsidRDefault="00246C81" w:rsidP="00904CFC">
            <w:pPr>
              <w:rPr>
                <w:rFonts w:ascii="Arial" w:eastAsia="Times New Roman" w:hAnsi="Arial" w:cs="Arial"/>
                <w:b/>
                <w:iCs/>
                <w:sz w:val="17"/>
                <w:szCs w:val="17"/>
                <w:lang w:eastAsia="en-GB"/>
              </w:rPr>
            </w:pPr>
            <w:r w:rsidRPr="000B49EB">
              <w:rPr>
                <w:rFonts w:ascii="Arial" w:eastAsia="Times New Roman" w:hAnsi="Arial" w:cs="Arial"/>
                <w:b/>
                <w:iCs/>
                <w:sz w:val="17"/>
                <w:szCs w:val="17"/>
                <w:lang w:eastAsia="en-GB"/>
              </w:rPr>
              <w:t>Total</w:t>
            </w:r>
          </w:p>
        </w:tc>
        <w:tc>
          <w:tcPr>
            <w:tcW w:w="759" w:type="dxa"/>
            <w:tcBorders>
              <w:left w:val="single" w:sz="4" w:space="0" w:color="auto"/>
              <w:bottom w:val="single" w:sz="4" w:space="0" w:color="auto"/>
            </w:tcBorders>
            <w:vAlign w:val="center"/>
          </w:tcPr>
          <w:p w14:paraId="5885F181" w14:textId="77777777"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7"/>
                <w:lang w:eastAsia="en-GB"/>
              </w:rPr>
              <w:t>100</w:t>
            </w:r>
          </w:p>
        </w:tc>
        <w:tc>
          <w:tcPr>
            <w:tcW w:w="763" w:type="dxa"/>
            <w:tcBorders>
              <w:bottom w:val="single" w:sz="4" w:space="0" w:color="auto"/>
            </w:tcBorders>
            <w:vAlign w:val="center"/>
          </w:tcPr>
          <w:p w14:paraId="258EC67E" w14:textId="4C98B56E"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8"/>
                <w:lang w:eastAsia="en-GB"/>
              </w:rPr>
              <w:t>140.6</w:t>
            </w:r>
          </w:p>
        </w:tc>
        <w:tc>
          <w:tcPr>
            <w:tcW w:w="763" w:type="dxa"/>
            <w:tcBorders>
              <w:bottom w:val="single" w:sz="4" w:space="0" w:color="auto"/>
            </w:tcBorders>
            <w:vAlign w:val="center"/>
          </w:tcPr>
          <w:p w14:paraId="7161A770" w14:textId="19750A37"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8"/>
                <w:lang w:eastAsia="en-GB"/>
              </w:rPr>
              <w:t>149.6</w:t>
            </w:r>
          </w:p>
        </w:tc>
        <w:tc>
          <w:tcPr>
            <w:tcW w:w="763" w:type="dxa"/>
            <w:tcBorders>
              <w:bottom w:val="single" w:sz="4" w:space="0" w:color="auto"/>
            </w:tcBorders>
            <w:vAlign w:val="center"/>
          </w:tcPr>
          <w:p w14:paraId="4A616175" w14:textId="3A15A956"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8"/>
                <w:lang w:eastAsia="en-GB"/>
              </w:rPr>
              <w:t>150.8</w:t>
            </w:r>
          </w:p>
        </w:tc>
        <w:tc>
          <w:tcPr>
            <w:tcW w:w="761" w:type="dxa"/>
            <w:tcBorders>
              <w:bottom w:val="single" w:sz="4" w:space="0" w:color="auto"/>
              <w:right w:val="single" w:sz="4" w:space="0" w:color="auto"/>
            </w:tcBorders>
            <w:vAlign w:val="center"/>
          </w:tcPr>
          <w:p w14:paraId="14E4A364" w14:textId="6C0E1B69"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8"/>
                <w:lang w:eastAsia="en-GB"/>
              </w:rPr>
              <w:t>167.7</w:t>
            </w:r>
          </w:p>
        </w:tc>
        <w:tc>
          <w:tcPr>
            <w:tcW w:w="763" w:type="dxa"/>
            <w:tcBorders>
              <w:left w:val="single" w:sz="4" w:space="0" w:color="auto"/>
              <w:bottom w:val="single" w:sz="4" w:space="0" w:color="auto"/>
            </w:tcBorders>
            <w:vAlign w:val="center"/>
          </w:tcPr>
          <w:p w14:paraId="225CFDA9" w14:textId="743E7CCF" w:rsidR="00246C81" w:rsidRPr="000B49EB" w:rsidRDefault="00246C81" w:rsidP="00904CFC">
            <w:pPr>
              <w:ind w:left="72" w:right="72"/>
              <w:jc w:val="right"/>
              <w:rPr>
                <w:rFonts w:ascii="Arial" w:eastAsia="Times New Roman" w:hAnsi="Arial" w:cs="Arial"/>
                <w:b/>
                <w:i/>
                <w:iCs/>
                <w:sz w:val="17"/>
                <w:szCs w:val="17"/>
                <w:lang w:eastAsia="en-GB"/>
              </w:rPr>
            </w:pPr>
            <w:r w:rsidRPr="000B49EB">
              <w:rPr>
                <w:rFonts w:ascii="Arial" w:eastAsia="Times New Roman" w:hAnsi="Arial" w:cs="Arial"/>
                <w:b/>
                <w:sz w:val="17"/>
                <w:szCs w:val="18"/>
                <w:lang w:eastAsia="en-GB"/>
              </w:rPr>
              <w:t>2.4%</w:t>
            </w:r>
          </w:p>
        </w:tc>
        <w:tc>
          <w:tcPr>
            <w:tcW w:w="763" w:type="dxa"/>
            <w:tcBorders>
              <w:bottom w:val="single" w:sz="4" w:space="0" w:color="auto"/>
            </w:tcBorders>
            <w:vAlign w:val="center"/>
          </w:tcPr>
          <w:p w14:paraId="647BF710" w14:textId="1C47002C" w:rsidR="00246C81" w:rsidRPr="000B49EB" w:rsidRDefault="00246C81"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sz w:val="17"/>
                <w:szCs w:val="18"/>
                <w:lang w:eastAsia="en-GB"/>
              </w:rPr>
              <w:t>3.9%</w:t>
            </w:r>
          </w:p>
        </w:tc>
        <w:tc>
          <w:tcPr>
            <w:tcW w:w="764" w:type="dxa"/>
            <w:tcBorders>
              <w:bottom w:val="single" w:sz="4" w:space="0" w:color="auto"/>
            </w:tcBorders>
            <w:vAlign w:val="center"/>
          </w:tcPr>
          <w:p w14:paraId="02C20346" w14:textId="6ADE4BE8" w:rsidR="00246C81" w:rsidRPr="000B49EB" w:rsidRDefault="00246C81"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sz w:val="17"/>
                <w:szCs w:val="18"/>
                <w:lang w:eastAsia="en-GB"/>
              </w:rPr>
              <w:t>1.2%</w:t>
            </w:r>
          </w:p>
        </w:tc>
        <w:tc>
          <w:tcPr>
            <w:tcW w:w="764" w:type="dxa"/>
            <w:tcBorders>
              <w:bottom w:val="single" w:sz="4" w:space="0" w:color="auto"/>
            </w:tcBorders>
            <w:vAlign w:val="center"/>
          </w:tcPr>
          <w:p w14:paraId="68043B77" w14:textId="6D12FEC3" w:rsidR="00246C81" w:rsidRPr="000B49EB" w:rsidRDefault="00246C81"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sz w:val="17"/>
                <w:szCs w:val="18"/>
                <w:lang w:eastAsia="en-GB"/>
              </w:rPr>
              <w:t>0.2%</w:t>
            </w:r>
          </w:p>
        </w:tc>
        <w:tc>
          <w:tcPr>
            <w:tcW w:w="764" w:type="dxa"/>
            <w:tcBorders>
              <w:bottom w:val="single" w:sz="4" w:space="0" w:color="auto"/>
            </w:tcBorders>
            <w:vAlign w:val="center"/>
          </w:tcPr>
          <w:p w14:paraId="056A366D" w14:textId="0CC465DF" w:rsidR="00246C81" w:rsidRPr="000B49EB" w:rsidRDefault="00246C81" w:rsidP="00904CFC">
            <w:pPr>
              <w:ind w:left="72" w:right="72"/>
              <w:jc w:val="right"/>
              <w:rPr>
                <w:rFonts w:ascii="Arial" w:eastAsia="Times New Roman" w:hAnsi="Arial" w:cs="Arial"/>
                <w:b/>
                <w:sz w:val="17"/>
                <w:szCs w:val="17"/>
                <w:lang w:eastAsia="en-GB"/>
              </w:rPr>
            </w:pPr>
            <w:r w:rsidRPr="000B49EB">
              <w:rPr>
                <w:rFonts w:ascii="Arial" w:eastAsia="Times New Roman" w:hAnsi="Arial" w:cs="Arial"/>
                <w:b/>
                <w:sz w:val="17"/>
                <w:szCs w:val="18"/>
                <w:lang w:eastAsia="en-GB"/>
              </w:rPr>
              <w:t>3.6%</w:t>
            </w:r>
          </w:p>
        </w:tc>
      </w:tr>
    </w:tbl>
    <w:p w14:paraId="3A9E59C5" w14:textId="28A6036A" w:rsidR="008A6062" w:rsidRDefault="008A6062" w:rsidP="008A6062">
      <w:pPr>
        <w:pStyle w:val="Source"/>
      </w:pPr>
      <w:r w:rsidRPr="00065CA6">
        <w:t>Note: Derived by calculating labour productivity levels (gross value added at constant 2005 prices divided by number of persons engaged) and expressing the results as an index related to 19</w:t>
      </w:r>
      <w:r>
        <w:t>91</w:t>
      </w:r>
      <w:r w:rsidRPr="00065CA6">
        <w:t xml:space="preserve"> levels.</w:t>
      </w:r>
      <w:r>
        <w:br/>
        <w:t xml:space="preserve">Source: Authors’ calculations using </w:t>
      </w:r>
      <w:proofErr w:type="spellStart"/>
      <w:r>
        <w:t>UNSD</w:t>
      </w:r>
      <w:proofErr w:type="spellEnd"/>
      <w:r>
        <w:t xml:space="preserve"> </w:t>
      </w:r>
      <w:r w:rsidRPr="00981A1E">
        <w:t>National Accounts Main Aggregates</w:t>
      </w:r>
      <w:r>
        <w:t xml:space="preserve"> data on ‘gross value added by kind of economic activity’ (</w:t>
      </w:r>
      <w:hyperlink r:id="rId23" w:history="1">
        <w:r w:rsidRPr="00981A1E">
          <w:rPr>
            <w:rStyle w:val="Hyperlink"/>
          </w:rPr>
          <w:t>https://data.un.org/search.aspx?q=gross+value+added+datamart%5bsnaama%5d</w:t>
        </w:r>
      </w:hyperlink>
      <w:r>
        <w:t>) and ILO World Employment and Social Outlook (</w:t>
      </w:r>
      <w:proofErr w:type="spellStart"/>
      <w:r>
        <w:t>WESO</w:t>
      </w:r>
      <w:proofErr w:type="spellEnd"/>
      <w:r>
        <w:t>) – Trends 2015 supporting dataset ‘employment by sector and sex’ (</w:t>
      </w:r>
      <w:hyperlink r:id="rId24" w:history="1">
        <w:r w:rsidRPr="00DC3FEA">
          <w:rPr>
            <w:rStyle w:val="Hyperlink"/>
          </w:rPr>
          <w:t>http://www.ilo.org/global/research/global-reports/weso/2015/lang--en/index.htm</w:t>
        </w:r>
      </w:hyperlink>
      <w:r>
        <w:t>).</w:t>
      </w:r>
      <w:r w:rsidR="00246C81">
        <w:t xml:space="preserve"> NB: The gross value added data are for ‘State of Palestine’ and the employment data for ‘West Bank and Gaza Strip’. In the gross value added data ‘Agriculture’ excludes irrigation canals and landscaping care, ‘Mining, Manufacturing, Utilities’ (which are disaggregated here) excludes publishing activities and includes irrigation canals, ‘Manufacturing’ excludes recycling and publishing activities, ‘Wholesale, retail trade, restaurants and hotels’ excludes repair of personal and household goods, ‘Transport, storage and communication’ excludes travel agencies, includes publishing activities, computer and related activities and radio/TV activities, ‘Other’ excludes computer and related activities and radio/TV activities and includes travel agencies and landscaping care; it was not possible to make corresponding adjustments when aggregating the employment data.</w:t>
      </w:r>
    </w:p>
    <w:bookmarkEnd w:id="17"/>
    <w:bookmarkEnd w:id="18"/>
    <w:bookmarkEnd w:id="19"/>
    <w:bookmarkEnd w:id="20"/>
    <w:p w14:paraId="69249E2B" w14:textId="77777777" w:rsidR="007B403C" w:rsidRDefault="007B403C" w:rsidP="00FF41BE">
      <w:pPr>
        <w:pStyle w:val="Source"/>
      </w:pPr>
    </w:p>
    <w:p w14:paraId="69249E2C" w14:textId="77777777" w:rsidR="00F975F4" w:rsidRDefault="00F975F4" w:rsidP="00FF41BE">
      <w:pPr>
        <w:pStyle w:val="Source"/>
        <w:sectPr w:rsidR="00F975F4" w:rsidSect="00246C81">
          <w:headerReference w:type="default" r:id="rId25"/>
          <w:footerReference w:type="default" r:id="rId26"/>
          <w:pgSz w:w="16839" w:h="11907" w:orient="landscape" w:code="9"/>
          <w:pgMar w:top="965" w:right="1469" w:bottom="1440" w:left="1368" w:header="706" w:footer="706" w:gutter="0"/>
          <w:pgNumType w:start="1"/>
          <w:cols w:space="708"/>
          <w:docGrid w:linePitch="360"/>
        </w:sectPr>
      </w:pPr>
    </w:p>
    <w:p w14:paraId="69249E66" w14:textId="7A66BE90" w:rsidR="006977AE" w:rsidRDefault="00F515DA" w:rsidP="00BA5FA0">
      <w:pPr>
        <w:pStyle w:val="FigureHeading"/>
      </w:pPr>
      <w:bookmarkStart w:id="21" w:name="_Toc404582443"/>
      <w:bookmarkStart w:id="22" w:name="_Toc406411722"/>
      <w:bookmarkStart w:id="23" w:name="_Toc428437701"/>
      <w:r>
        <w:t xml:space="preserve">Relative </w:t>
      </w:r>
      <w:r w:rsidR="007B403C">
        <w:t>productivity and change</w:t>
      </w:r>
      <w:r>
        <w:t>s</w:t>
      </w:r>
      <w:r w:rsidR="007B403C">
        <w:t xml:space="preserve"> in employment shares</w:t>
      </w:r>
      <w:r>
        <w:t xml:space="preserve"> by sector</w:t>
      </w:r>
      <w:r w:rsidR="0007293C">
        <w:t xml:space="preserve">, </w:t>
      </w:r>
      <w:r w:rsidR="006D469D">
        <w:t>West Bank &amp; Gaza</w:t>
      </w:r>
      <w:bookmarkEnd w:id="21"/>
      <w:bookmarkEnd w:id="22"/>
      <w:r w:rsidR="008A6062">
        <w:t xml:space="preserve"> (</w:t>
      </w:r>
      <w:proofErr w:type="spellStart"/>
      <w:r w:rsidR="008A6062">
        <w:t>WDI</w:t>
      </w:r>
      <w:proofErr w:type="spellEnd"/>
      <w:r w:rsidR="008A6062">
        <w:t>/ILO GET data)</w:t>
      </w:r>
      <w:bookmarkEnd w:id="23"/>
      <w:r w:rsidR="008A6062">
        <w:t xml:space="preserve"> </w:t>
      </w:r>
    </w:p>
    <w:p w14:paraId="69249E67" w14:textId="77777777" w:rsidR="0013568E" w:rsidRPr="0013568E" w:rsidRDefault="00A967DF" w:rsidP="004D6FA5">
      <w:pPr>
        <w:pStyle w:val="BodyText"/>
        <w:spacing w:before="39" w:after="0" w:line="240" w:lineRule="auto"/>
        <w:jc w:val="left"/>
      </w:pPr>
      <w:r>
        <w:rPr>
          <w:noProof/>
          <w:lang w:eastAsia="en-GB"/>
        </w:rPr>
        <w:drawing>
          <wp:inline distT="0" distB="0" distL="0" distR="0" wp14:anchorId="6924A0C2" wp14:editId="6924A0C3">
            <wp:extent cx="5029200" cy="2606040"/>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en-GB"/>
        </w:rPr>
        <w:drawing>
          <wp:inline distT="0" distB="0" distL="0" distR="0" wp14:anchorId="6924A0C4" wp14:editId="6924A0C5">
            <wp:extent cx="5029200" cy="2606040"/>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eastAsia="en-GB"/>
        </w:rPr>
        <w:drawing>
          <wp:inline distT="0" distB="0" distL="0" distR="0" wp14:anchorId="6924A0C6" wp14:editId="6924A0C7">
            <wp:extent cx="5029200" cy="2606040"/>
            <wp:effectExtent l="0" t="0" r="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249E68" w14:textId="77777777" w:rsidR="00EA21D5" w:rsidRDefault="00EE341B" w:rsidP="00EA21D5">
      <w:pPr>
        <w:pStyle w:val="Source"/>
      </w:pPr>
      <w:r>
        <w:t xml:space="preserve">Note: Size of bubbles represents number of persons engaged </w:t>
      </w:r>
      <w:r w:rsidR="00696ABC">
        <w:t xml:space="preserve">in each sector </w:t>
      </w:r>
      <w:r>
        <w:t>in the later year of each of the three periods.</w:t>
      </w:r>
      <w:r>
        <w:br/>
      </w:r>
      <w:bookmarkStart w:id="24" w:name="_Toc404582444"/>
      <w:r w:rsidR="004D6FA5">
        <w:t xml:space="preserve">Source: </w:t>
      </w:r>
      <w:r w:rsidR="004D6FA5" w:rsidRPr="000B7E15">
        <w:t>Authors’ calculations using sectoral</w:t>
      </w:r>
      <w:r w:rsidR="004D6FA5">
        <w:t xml:space="preserve"> value added and employment share data from the World Bank’s World Development Indicators (</w:t>
      </w:r>
      <w:hyperlink r:id="rId30" w:history="1">
        <w:r w:rsidR="004D6FA5" w:rsidRPr="00C54E63">
          <w:rPr>
            <w:rStyle w:val="Hyperlink"/>
          </w:rPr>
          <w:t>http://databank.worldbank.org/data/views/variableSelection/selectvariables.aspx?source=world-development-indicators</w:t>
        </w:r>
      </w:hyperlink>
      <w:r w:rsidR="004D6FA5">
        <w:t>) and total employment data from the ILO’s Global Employment Trends 2014 (</w:t>
      </w:r>
      <w:hyperlink r:id="rId31" w:history="1">
        <w:r w:rsidR="004D6FA5" w:rsidRPr="000B7E15">
          <w:rPr>
            <w:rStyle w:val="Hyperlink"/>
          </w:rPr>
          <w:t>http://www.ilo.org/global/research/global-reports/global-employment-trends/2014/WCMS_234879/lang--en/index.htm</w:t>
        </w:r>
      </w:hyperlink>
      <w:r w:rsidR="004D6FA5">
        <w:t>).</w:t>
      </w:r>
    </w:p>
    <w:p w14:paraId="1DB4A750" w14:textId="393FB8CF" w:rsidR="00246C81" w:rsidRDefault="00246C81" w:rsidP="00246C81">
      <w:pPr>
        <w:pStyle w:val="FigureHeading"/>
        <w:numPr>
          <w:ilvl w:val="0"/>
          <w:numId w:val="1"/>
        </w:numPr>
        <w:tabs>
          <w:tab w:val="right" w:pos="9806"/>
        </w:tabs>
        <w:rPr>
          <w:color w:val="FF0000"/>
        </w:rPr>
      </w:pPr>
      <w:bookmarkStart w:id="25" w:name="_Toc427753256"/>
      <w:bookmarkStart w:id="26" w:name="_Toc427767257"/>
      <w:bookmarkStart w:id="27" w:name="_Toc427768420"/>
      <w:bookmarkStart w:id="28" w:name="_Toc428437702"/>
      <w:bookmarkStart w:id="29" w:name="_Toc406411723"/>
      <w:r>
        <w:t xml:space="preserve">Relative productivity and changes in employment shares by sector, </w:t>
      </w:r>
      <w:r>
        <w:rPr>
          <w:noProof/>
        </w:rPr>
        <w:t>West Bank &amp; Gaza</w:t>
      </w:r>
      <w:r>
        <w:t xml:space="preserve"> (</w:t>
      </w:r>
      <w:proofErr w:type="spellStart"/>
      <w:r>
        <w:t>UNSD</w:t>
      </w:r>
      <w:proofErr w:type="spellEnd"/>
      <w:r>
        <w:t xml:space="preserve">/ILO </w:t>
      </w:r>
      <w:proofErr w:type="spellStart"/>
      <w:r>
        <w:t>WESO</w:t>
      </w:r>
      <w:proofErr w:type="spellEnd"/>
      <w:r>
        <w:t xml:space="preserve"> data)</w:t>
      </w:r>
      <w:r>
        <w:tab/>
      </w:r>
      <w:r w:rsidRPr="001B0E3C">
        <w:rPr>
          <w:color w:val="FF0000"/>
        </w:rPr>
        <w:t>NEW</w:t>
      </w:r>
      <w:bookmarkEnd w:id="25"/>
      <w:bookmarkEnd w:id="26"/>
      <w:bookmarkEnd w:id="27"/>
      <w:bookmarkEnd w:id="28"/>
    </w:p>
    <w:p w14:paraId="3683777D" w14:textId="71255CF0" w:rsidR="00246C81" w:rsidRPr="000D1333" w:rsidRDefault="00246C81" w:rsidP="00246C81">
      <w:pPr>
        <w:pStyle w:val="BodyText"/>
        <w:tabs>
          <w:tab w:val="left" w:pos="1200"/>
        </w:tabs>
      </w:pPr>
      <w:r>
        <w:rPr>
          <w:noProof/>
          <w:lang w:eastAsia="en-GB"/>
        </w:rPr>
        <w:drawing>
          <wp:inline distT="0" distB="0" distL="0" distR="0" wp14:anchorId="4E680FD5" wp14:editId="093447A8">
            <wp:extent cx="5400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46C81">
        <w:rPr>
          <w:noProof/>
          <w:lang w:eastAsia="en-GB"/>
        </w:rPr>
        <w:t xml:space="preserve"> </w:t>
      </w:r>
      <w:r>
        <w:rPr>
          <w:noProof/>
          <w:lang w:eastAsia="en-GB"/>
        </w:rPr>
        <w:drawing>
          <wp:inline distT="0" distB="0" distL="0" distR="0" wp14:anchorId="1949760B" wp14:editId="32424D0D">
            <wp:extent cx="5400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46C81">
        <w:rPr>
          <w:noProof/>
          <w:lang w:eastAsia="en-GB"/>
        </w:rPr>
        <w:t xml:space="preserve"> </w:t>
      </w:r>
      <w:r>
        <w:rPr>
          <w:noProof/>
          <w:lang w:eastAsia="en-GB"/>
        </w:rPr>
        <w:drawing>
          <wp:inline distT="0" distB="0" distL="0" distR="0" wp14:anchorId="7FCB138C" wp14:editId="2CB9DB78">
            <wp:extent cx="5400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C8BBE90" w14:textId="77777777" w:rsidR="00246C81" w:rsidRDefault="00246C81" w:rsidP="00246C81">
      <w:pPr>
        <w:pStyle w:val="BodyText"/>
        <w:rPr>
          <w:noProof/>
          <w:lang w:eastAsia="en-GB"/>
        </w:rPr>
      </w:pPr>
    </w:p>
    <w:p w14:paraId="481A9771" w14:textId="2B828E35" w:rsidR="00246C81" w:rsidRDefault="00246C81" w:rsidP="00246C81">
      <w:pPr>
        <w:pStyle w:val="BodyText"/>
        <w:spacing w:before="39" w:after="0" w:line="240" w:lineRule="auto"/>
        <w:jc w:val="left"/>
        <w:rPr>
          <w:noProof/>
          <w:lang w:eastAsia="en-GB"/>
        </w:rPr>
      </w:pPr>
      <w:r>
        <w:rPr>
          <w:noProof/>
          <w:lang w:eastAsia="en-GB"/>
        </w:rPr>
        <w:drawing>
          <wp:inline distT="0" distB="0" distL="0" distR="0" wp14:anchorId="4A964E36" wp14:editId="034347FC">
            <wp:extent cx="5400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1C50333" w14:textId="47988FA3" w:rsidR="00246C81" w:rsidRDefault="00246C81" w:rsidP="00246C81">
      <w:pPr>
        <w:pStyle w:val="Source"/>
      </w:pPr>
      <w:r w:rsidRPr="00065CA6">
        <w:t>Note: Size of bubbles represents number of persons employed in each sector in the later year of each period.</w:t>
      </w:r>
      <w:r w:rsidRPr="00065CA6">
        <w:br/>
      </w:r>
      <w:r w:rsidRPr="00065CA6">
        <w:rPr>
          <w:rFonts w:asciiTheme="majorHAnsi" w:hAnsiTheme="majorHAnsi" w:cstheme="majorHAnsi"/>
          <w:szCs w:val="16"/>
        </w:rPr>
        <w:t xml:space="preserve">Source: Authors’ calculations using </w:t>
      </w:r>
      <w:proofErr w:type="spellStart"/>
      <w:r w:rsidRPr="00065CA6">
        <w:rPr>
          <w:rFonts w:asciiTheme="majorHAnsi" w:hAnsiTheme="majorHAnsi" w:cstheme="majorHAnsi"/>
          <w:szCs w:val="16"/>
        </w:rPr>
        <w:t>UNSD</w:t>
      </w:r>
      <w:proofErr w:type="spellEnd"/>
      <w:r w:rsidRPr="00065CA6">
        <w:rPr>
          <w:rFonts w:asciiTheme="majorHAnsi" w:hAnsiTheme="majorHAnsi" w:cstheme="majorHAnsi"/>
          <w:szCs w:val="16"/>
        </w:rPr>
        <w:t xml:space="preserve"> National Accounts Main Aggregates data on ‘gross value added by kind of economic activity’ (</w:t>
      </w:r>
      <w:hyperlink r:id="rId36" w:history="1">
        <w:r w:rsidRPr="00065CA6">
          <w:rPr>
            <w:rStyle w:val="Hyperlink"/>
            <w:rFonts w:asciiTheme="majorHAnsi" w:hAnsiTheme="majorHAnsi" w:cstheme="majorHAnsi"/>
            <w:szCs w:val="16"/>
          </w:rPr>
          <w:t>https://data.un.org/search.aspx?q=gross+value+added+datamart%5bsnaama%5d</w:t>
        </w:r>
      </w:hyperlink>
      <w:r w:rsidRPr="00065CA6">
        <w:rPr>
          <w:rFonts w:asciiTheme="majorHAnsi" w:hAnsiTheme="majorHAnsi" w:cstheme="majorHAnsi"/>
          <w:szCs w:val="16"/>
        </w:rPr>
        <w:t>) and ILO World Employment and Social Outlook (</w:t>
      </w:r>
      <w:proofErr w:type="spellStart"/>
      <w:r w:rsidRPr="00065CA6">
        <w:rPr>
          <w:rFonts w:asciiTheme="majorHAnsi" w:hAnsiTheme="majorHAnsi" w:cstheme="majorHAnsi"/>
          <w:szCs w:val="16"/>
        </w:rPr>
        <w:t>WESO</w:t>
      </w:r>
      <w:proofErr w:type="spellEnd"/>
      <w:r w:rsidRPr="00065CA6">
        <w:rPr>
          <w:rFonts w:asciiTheme="majorHAnsi" w:hAnsiTheme="majorHAnsi" w:cstheme="majorHAnsi"/>
          <w:szCs w:val="16"/>
        </w:rPr>
        <w:t>) – Trends 2015 supporting dataset ‘employment by sector and sex’ (</w:t>
      </w:r>
      <w:hyperlink r:id="rId37" w:history="1">
        <w:r w:rsidRPr="00065CA6">
          <w:rPr>
            <w:rStyle w:val="Hyperlink"/>
            <w:rFonts w:asciiTheme="majorHAnsi" w:hAnsiTheme="majorHAnsi" w:cstheme="majorHAnsi"/>
            <w:szCs w:val="16"/>
          </w:rPr>
          <w:t>http://www.ilo.org/global/research/global-reports/weso/2015/lang--en/index.htm</w:t>
        </w:r>
      </w:hyperlink>
      <w:r w:rsidRPr="00065CA6">
        <w:rPr>
          <w:rFonts w:asciiTheme="majorHAnsi" w:hAnsiTheme="majorHAnsi" w:cstheme="majorHAnsi"/>
          <w:szCs w:val="16"/>
        </w:rPr>
        <w:t>).</w:t>
      </w:r>
      <w:r>
        <w:rPr>
          <w:rFonts w:asciiTheme="majorHAnsi" w:hAnsiTheme="majorHAnsi" w:cstheme="majorHAnsi"/>
          <w:szCs w:val="16"/>
        </w:rPr>
        <w:t xml:space="preserve"> </w:t>
      </w:r>
      <w:r>
        <w:t>NB: The gross value added data are for ‘State of Palestine’ and the employment data for ‘West Bank and Gaza Strip’. In the gross value added data ‘Agriculture’ excludes irrigation canals and landscaping care, ‘Mining, Manufacturing, Utilities’ (which are disaggregated here) excludes publishing activities and includes irrigation canals, ‘Manufacturing’ excludes recycling and publishing activities, ‘Wholesale, retail trade, restaurants and hotels’ excludes repair of personal and household goods, ‘Transport, storage and communication’ excludes travel agencies, includes publishing activities, computer and related activities and radio/TV activities, ‘Other’ excludes computer and related activities and radio/TV activities and includes travel agencies and landscaping care; it was not possible to make corresponding adjustments when aggregating the employment data.</w:t>
      </w:r>
      <w:r w:rsidRPr="00246C81">
        <w:t xml:space="preserve"> </w:t>
      </w:r>
    </w:p>
    <w:p w14:paraId="42CB4212" w14:textId="0AB28EEC" w:rsidR="00246C81" w:rsidRDefault="00246C81">
      <w:pPr>
        <w:rPr>
          <w:rFonts w:ascii="Arial" w:hAnsi="Arial"/>
          <w:i/>
          <w:sz w:val="16"/>
        </w:rPr>
      </w:pPr>
      <w:r>
        <w:br w:type="page"/>
      </w:r>
    </w:p>
    <w:p w14:paraId="69249E69" w14:textId="4E186B1B" w:rsidR="00E44849" w:rsidRDefault="00E44849" w:rsidP="00BA5FA0">
      <w:pPr>
        <w:pStyle w:val="FigureHeading"/>
      </w:pPr>
      <w:bookmarkStart w:id="30" w:name="_Toc428437703"/>
      <w:r>
        <w:t xml:space="preserve">Decomposition of </w:t>
      </w:r>
      <w:r w:rsidR="00F515DA">
        <w:t>labour productivity change</w:t>
      </w:r>
      <w:r w:rsidR="00D94502">
        <w:t>,</w:t>
      </w:r>
      <w:r>
        <w:t xml:space="preserve"> </w:t>
      </w:r>
      <w:r w:rsidR="006D469D">
        <w:t>West Bank &amp; Gaza</w:t>
      </w:r>
      <w:r>
        <w:t>, 1990–2010</w:t>
      </w:r>
      <w:bookmarkEnd w:id="24"/>
      <w:bookmarkEnd w:id="29"/>
      <w:r w:rsidR="008A6062">
        <w:t xml:space="preserve"> (</w:t>
      </w:r>
      <w:proofErr w:type="spellStart"/>
      <w:r w:rsidR="008A6062">
        <w:t>WDI</w:t>
      </w:r>
      <w:proofErr w:type="spellEnd"/>
      <w:r w:rsidR="008A6062">
        <w:t>/ILO GET data)</w:t>
      </w:r>
      <w:bookmarkEnd w:id="30"/>
    </w:p>
    <w:p w14:paraId="55EDEF73" w14:textId="57EA10CE" w:rsidR="004D03BF" w:rsidRPr="004D03BF" w:rsidRDefault="004D03BF" w:rsidP="004D03BF">
      <w:pPr>
        <w:pStyle w:val="BodyText"/>
        <w:spacing w:before="39" w:after="0" w:line="240" w:lineRule="auto"/>
        <w:jc w:val="left"/>
      </w:pPr>
      <w:r>
        <w:rPr>
          <w:noProof/>
          <w:lang w:eastAsia="en-GB"/>
        </w:rPr>
        <w:drawing>
          <wp:inline distT="0" distB="0" distL="0" distR="0" wp14:anchorId="49939FC1" wp14:editId="2B679C97">
            <wp:extent cx="4572000" cy="2286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9249E6B" w14:textId="77777777" w:rsidR="004D6FA5" w:rsidRDefault="004D6FA5" w:rsidP="004D6FA5">
      <w:pPr>
        <w:pStyle w:val="Source"/>
      </w:pPr>
      <w:r>
        <w:t xml:space="preserve">Source: </w:t>
      </w:r>
      <w:r w:rsidRPr="000B7E15">
        <w:t>Authors’ calculations using sectoral</w:t>
      </w:r>
      <w:r>
        <w:t xml:space="preserve"> value added and employment share data from the World Bank’s World Development Indicators (</w:t>
      </w:r>
      <w:hyperlink r:id="rId39" w:history="1">
        <w:r w:rsidRPr="00C54E63">
          <w:rPr>
            <w:rStyle w:val="Hyperlink"/>
          </w:rPr>
          <w:t>http://databank.worldbank.org/data/views/variableSelection/selectvariables.aspx?source=world-development-indicators</w:t>
        </w:r>
      </w:hyperlink>
      <w:r>
        <w:t>) and total employment data from the ILO’s Global Employment Trends 2014 (</w:t>
      </w:r>
      <w:hyperlink r:id="rId40" w:history="1">
        <w:r w:rsidRPr="000B7E15">
          <w:rPr>
            <w:rStyle w:val="Hyperlink"/>
          </w:rPr>
          <w:t>http://www.ilo.org/global/research/global-reports/global-employment-trends/2014/WCMS_234879/lang--en/index.htm</w:t>
        </w:r>
      </w:hyperlink>
      <w:r>
        <w:t>).</w:t>
      </w:r>
    </w:p>
    <w:p w14:paraId="69249E6C" w14:textId="77777777" w:rsidR="009A2E9A" w:rsidRDefault="009A2E9A" w:rsidP="00246C81">
      <w:pPr>
        <w:pStyle w:val="BodyText"/>
      </w:pPr>
    </w:p>
    <w:p w14:paraId="2C8B4172" w14:textId="3E99035C" w:rsidR="00246C81" w:rsidRDefault="00246C81" w:rsidP="00246C81">
      <w:pPr>
        <w:pStyle w:val="FigureHeading"/>
        <w:numPr>
          <w:ilvl w:val="0"/>
          <w:numId w:val="1"/>
        </w:numPr>
        <w:tabs>
          <w:tab w:val="right" w:pos="9806"/>
        </w:tabs>
      </w:pPr>
      <w:bookmarkStart w:id="31" w:name="_Toc427753257"/>
      <w:bookmarkStart w:id="32" w:name="_Toc427767259"/>
      <w:bookmarkStart w:id="33" w:name="_Toc427768422"/>
      <w:bookmarkStart w:id="34" w:name="_Toc428437704"/>
      <w:r>
        <w:t xml:space="preserve">Decomposition of labour productivity change, </w:t>
      </w:r>
      <w:r>
        <w:rPr>
          <w:noProof/>
        </w:rPr>
        <w:t>West Bank &amp; Gaza</w:t>
      </w:r>
      <w:r>
        <w:t>, 1991–2013 (</w:t>
      </w:r>
      <w:proofErr w:type="spellStart"/>
      <w:r>
        <w:t>UNSD</w:t>
      </w:r>
      <w:proofErr w:type="spellEnd"/>
      <w:r>
        <w:t xml:space="preserve">/ILO </w:t>
      </w:r>
      <w:proofErr w:type="spellStart"/>
      <w:r>
        <w:t>WESO</w:t>
      </w:r>
      <w:proofErr w:type="spellEnd"/>
      <w:r>
        <w:t xml:space="preserve"> data)</w:t>
      </w:r>
      <w:r>
        <w:tab/>
      </w:r>
      <w:r w:rsidRPr="00DB6A0A">
        <w:rPr>
          <w:color w:val="FF0000"/>
        </w:rPr>
        <w:t>NEW</w:t>
      </w:r>
      <w:bookmarkEnd w:id="31"/>
      <w:bookmarkEnd w:id="32"/>
      <w:bookmarkEnd w:id="33"/>
      <w:bookmarkEnd w:id="34"/>
    </w:p>
    <w:p w14:paraId="755A87C1" w14:textId="11341E0D" w:rsidR="00246C81" w:rsidRPr="00BC3613" w:rsidRDefault="00246C81" w:rsidP="00246C81">
      <w:pPr>
        <w:pStyle w:val="BodyText"/>
      </w:pPr>
      <w:r>
        <w:rPr>
          <w:noProof/>
          <w:lang w:eastAsia="en-GB"/>
        </w:rPr>
        <w:drawing>
          <wp:inline distT="0" distB="0" distL="0" distR="0" wp14:anchorId="17719831" wp14:editId="2296A926">
            <wp:extent cx="4572000" cy="22860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D16F30C" w14:textId="50986ED3" w:rsidR="00246C81" w:rsidRPr="00E05679" w:rsidRDefault="00246C81" w:rsidP="00246C81">
      <w:pPr>
        <w:pStyle w:val="Source"/>
      </w:pPr>
      <w:r w:rsidRPr="00E05679">
        <w:rPr>
          <w:rFonts w:asciiTheme="majorHAnsi" w:hAnsiTheme="majorHAnsi" w:cstheme="majorHAnsi"/>
          <w:szCs w:val="16"/>
        </w:rPr>
        <w:t xml:space="preserve">Source: Authors’ calculations using </w:t>
      </w:r>
      <w:proofErr w:type="spellStart"/>
      <w:r w:rsidRPr="00E05679">
        <w:rPr>
          <w:rFonts w:asciiTheme="majorHAnsi" w:hAnsiTheme="majorHAnsi" w:cstheme="majorHAnsi"/>
          <w:szCs w:val="16"/>
        </w:rPr>
        <w:t>UNSD</w:t>
      </w:r>
      <w:proofErr w:type="spellEnd"/>
      <w:r w:rsidRPr="00E05679">
        <w:rPr>
          <w:rFonts w:asciiTheme="majorHAnsi" w:hAnsiTheme="majorHAnsi" w:cstheme="majorHAnsi"/>
          <w:szCs w:val="16"/>
        </w:rPr>
        <w:t xml:space="preserve"> National Accounts Main Aggregates data on ‘gross value added by kind of economic activity’ (</w:t>
      </w:r>
      <w:hyperlink r:id="rId42" w:history="1">
        <w:r w:rsidRPr="00E05679">
          <w:rPr>
            <w:rStyle w:val="Hyperlink"/>
            <w:rFonts w:asciiTheme="majorHAnsi" w:hAnsiTheme="majorHAnsi" w:cstheme="majorHAnsi"/>
            <w:szCs w:val="16"/>
          </w:rPr>
          <w:t>https://data.un.org/search.aspx?q=gross+value+added+datamart%5bsnaama%5d</w:t>
        </w:r>
      </w:hyperlink>
      <w:r w:rsidRPr="00E05679">
        <w:rPr>
          <w:rFonts w:asciiTheme="majorHAnsi" w:hAnsiTheme="majorHAnsi" w:cstheme="majorHAnsi"/>
          <w:szCs w:val="16"/>
        </w:rPr>
        <w:t>) and ILO World Employment and Social Outlook (</w:t>
      </w:r>
      <w:proofErr w:type="spellStart"/>
      <w:r w:rsidRPr="00E05679">
        <w:rPr>
          <w:rFonts w:asciiTheme="majorHAnsi" w:hAnsiTheme="majorHAnsi" w:cstheme="majorHAnsi"/>
          <w:szCs w:val="16"/>
        </w:rPr>
        <w:t>WESO</w:t>
      </w:r>
      <w:proofErr w:type="spellEnd"/>
      <w:r w:rsidRPr="00E05679">
        <w:rPr>
          <w:rFonts w:asciiTheme="majorHAnsi" w:hAnsiTheme="majorHAnsi" w:cstheme="majorHAnsi"/>
          <w:szCs w:val="16"/>
        </w:rPr>
        <w:t>) – Trends 2015 supporting dataset ‘employment by sector and sex’ (</w:t>
      </w:r>
      <w:hyperlink r:id="rId43" w:history="1">
        <w:r w:rsidRPr="00E05679">
          <w:rPr>
            <w:rStyle w:val="Hyperlink"/>
            <w:rFonts w:asciiTheme="majorHAnsi" w:hAnsiTheme="majorHAnsi" w:cstheme="majorHAnsi"/>
            <w:szCs w:val="16"/>
          </w:rPr>
          <w:t>http://www.ilo.org/global/research/global-reports/weso/2015/lang--en/index.htm</w:t>
        </w:r>
      </w:hyperlink>
      <w:r w:rsidRPr="00E05679">
        <w:rPr>
          <w:rFonts w:asciiTheme="majorHAnsi" w:hAnsiTheme="majorHAnsi" w:cstheme="majorHAnsi"/>
          <w:szCs w:val="16"/>
        </w:rPr>
        <w:t>).</w:t>
      </w:r>
      <w:r>
        <w:rPr>
          <w:rFonts w:asciiTheme="majorHAnsi" w:hAnsiTheme="majorHAnsi" w:cstheme="majorHAnsi"/>
          <w:szCs w:val="16"/>
        </w:rPr>
        <w:t xml:space="preserve"> </w:t>
      </w:r>
      <w:r>
        <w:t>NB: The gross value added data are for ‘State of Palestine’ and the employment data for ‘West Bank and Gaza Strip’. In the gross value added data ‘Agriculture’ excludes irrigation canals and landscaping care, ‘Mining, Manufacturing, Utilities’ (which are disaggregated here) excludes publishing activities and includes irrigation canals, ‘Manufacturing’ excludes recycling and publishing activities, ‘Wholesale, retail trade, restaurants and hotels’ excludes repair of personal and household goods, ‘Transport, storage and communication’ excludes travel agencies, includes publishing activities, computer and related activities and radio/TV activities, ‘Other’ excludes computer and related activities and radio/TV activities and includes travel agencies and landscaping care; it was not possible to make corresponding adjustments when aggregating the employment data.</w:t>
      </w:r>
      <w:r w:rsidRPr="00246C81">
        <w:t xml:space="preserve"> </w:t>
      </w:r>
    </w:p>
    <w:p w14:paraId="6476D778" w14:textId="77777777" w:rsidR="00246C81" w:rsidRDefault="00246C81" w:rsidP="00246C81">
      <w:pPr>
        <w:pStyle w:val="Source"/>
      </w:pPr>
    </w:p>
    <w:p w14:paraId="4BEFD392" w14:textId="6230CE4A" w:rsidR="00246C81" w:rsidRDefault="00246C81" w:rsidP="00246C81">
      <w:pPr>
        <w:pStyle w:val="BodyText"/>
      </w:pPr>
    </w:p>
    <w:p w14:paraId="7F28FAF7" w14:textId="77777777" w:rsidR="00246C81" w:rsidRPr="000B7E15" w:rsidRDefault="00246C81" w:rsidP="00246C81">
      <w:pPr>
        <w:pStyle w:val="BodyText"/>
      </w:pPr>
    </w:p>
    <w:p w14:paraId="69249E6D" w14:textId="45836441" w:rsidR="00011EA8" w:rsidRDefault="00011EA8" w:rsidP="00BA5FA0">
      <w:pPr>
        <w:pStyle w:val="FigureHeading"/>
      </w:pPr>
      <w:bookmarkStart w:id="35" w:name="_Toc404582445"/>
      <w:bookmarkStart w:id="36" w:name="_Toc406411724"/>
      <w:bookmarkStart w:id="37" w:name="_Toc428437705"/>
      <w:r w:rsidRPr="00BA5FA0">
        <w:t xml:space="preserve">Productivity </w:t>
      </w:r>
      <w:r w:rsidR="00E628F5" w:rsidRPr="00BA5FA0">
        <w:t>g</w:t>
      </w:r>
      <w:r w:rsidRPr="00BA5FA0">
        <w:t xml:space="preserve">aps in </w:t>
      </w:r>
      <w:r w:rsidR="006D469D">
        <w:t>West Bank &amp; Gaza</w:t>
      </w:r>
      <w:r w:rsidRPr="00BA5FA0">
        <w:t>, 201</w:t>
      </w:r>
      <w:bookmarkEnd w:id="35"/>
      <w:bookmarkEnd w:id="36"/>
      <w:r w:rsidR="004D6FA5">
        <w:t>2</w:t>
      </w:r>
      <w:r w:rsidR="008A6062">
        <w:t xml:space="preserve"> (</w:t>
      </w:r>
      <w:proofErr w:type="spellStart"/>
      <w:r w:rsidR="008A6062">
        <w:t>WDI</w:t>
      </w:r>
      <w:proofErr w:type="spellEnd"/>
      <w:r w:rsidR="008A6062">
        <w:t>/ILO GET data)</w:t>
      </w:r>
      <w:bookmarkEnd w:id="37"/>
    </w:p>
    <w:p w14:paraId="66F4D357" w14:textId="3D6DE247" w:rsidR="00F216AF" w:rsidRPr="00F216AF" w:rsidRDefault="00F216AF" w:rsidP="00F216AF">
      <w:pPr>
        <w:pStyle w:val="BodyText"/>
        <w:spacing w:before="39" w:after="0" w:line="240" w:lineRule="auto"/>
        <w:jc w:val="left"/>
      </w:pPr>
      <w:r>
        <w:rPr>
          <w:noProof/>
          <w:lang w:eastAsia="en-GB"/>
        </w:rPr>
        <w:drawing>
          <wp:inline distT="0" distB="0" distL="0" distR="0" wp14:anchorId="3B8E9D07" wp14:editId="692AEA36">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9249E6F" w14:textId="77777777" w:rsidR="004D6FA5" w:rsidRDefault="004D6FA5" w:rsidP="004D6FA5">
      <w:pPr>
        <w:pStyle w:val="Source"/>
      </w:pPr>
      <w:r>
        <w:t xml:space="preserve">Source: </w:t>
      </w:r>
      <w:r w:rsidRPr="000B7E15">
        <w:t>Authors’ calculations using sectoral</w:t>
      </w:r>
      <w:r>
        <w:t xml:space="preserve"> value added and employment share data from the World Bank’s World Development Indicators (</w:t>
      </w:r>
      <w:hyperlink r:id="rId45" w:history="1">
        <w:r w:rsidRPr="00C54E63">
          <w:rPr>
            <w:rStyle w:val="Hyperlink"/>
          </w:rPr>
          <w:t>http://databank.worldbank.org/data/views/variableSelection/selectvariables.aspx?source=world-development-indicators</w:t>
        </w:r>
      </w:hyperlink>
      <w:r>
        <w:t>) and total employment data from the ILO’s Global Employment Trends 2014 (</w:t>
      </w:r>
      <w:hyperlink r:id="rId46" w:history="1">
        <w:r w:rsidRPr="000B7E15">
          <w:rPr>
            <w:rStyle w:val="Hyperlink"/>
          </w:rPr>
          <w:t>http://www.ilo.org/global/research/global-reports/global-employment-trends/2014/WCMS_234879/lang--en/index.htm</w:t>
        </w:r>
      </w:hyperlink>
      <w:r>
        <w:t>).</w:t>
      </w:r>
    </w:p>
    <w:p w14:paraId="08E3CDF5" w14:textId="7A78A4A2" w:rsidR="00246C81" w:rsidRDefault="00246C81" w:rsidP="00246C81">
      <w:pPr>
        <w:pStyle w:val="BodyText"/>
      </w:pPr>
    </w:p>
    <w:p w14:paraId="1E31DAE9" w14:textId="0945D1E9" w:rsidR="00246C81" w:rsidRDefault="00246C81" w:rsidP="00246C81">
      <w:pPr>
        <w:pStyle w:val="FigureHeading"/>
        <w:numPr>
          <w:ilvl w:val="0"/>
          <w:numId w:val="1"/>
        </w:numPr>
        <w:tabs>
          <w:tab w:val="right" w:pos="9806"/>
        </w:tabs>
      </w:pPr>
      <w:bookmarkStart w:id="38" w:name="_Toc427753258"/>
      <w:bookmarkStart w:id="39" w:name="_Toc427767261"/>
      <w:bookmarkStart w:id="40" w:name="_Toc427768424"/>
      <w:bookmarkStart w:id="41" w:name="_Toc428437706"/>
      <w:r w:rsidRPr="00BA5FA0">
        <w:t>Productivity gaps in</w:t>
      </w:r>
      <w:r>
        <w:t xml:space="preserve"> </w:t>
      </w:r>
      <w:r>
        <w:rPr>
          <w:noProof/>
        </w:rPr>
        <w:t>West Bank &amp; Gaza</w:t>
      </w:r>
      <w:r w:rsidRPr="00BA5FA0">
        <w:t>, 201</w:t>
      </w:r>
      <w:r>
        <w:t>3 (</w:t>
      </w:r>
      <w:proofErr w:type="spellStart"/>
      <w:r>
        <w:t>UNSD</w:t>
      </w:r>
      <w:proofErr w:type="spellEnd"/>
      <w:r>
        <w:t xml:space="preserve">/ILO </w:t>
      </w:r>
      <w:proofErr w:type="spellStart"/>
      <w:r>
        <w:t>WESO</w:t>
      </w:r>
      <w:proofErr w:type="spellEnd"/>
      <w:r>
        <w:t xml:space="preserve"> data)</w:t>
      </w:r>
      <w:r>
        <w:tab/>
      </w:r>
      <w:r w:rsidRPr="00DB6A0A">
        <w:rPr>
          <w:color w:val="FF0000"/>
        </w:rPr>
        <w:t>NEW</w:t>
      </w:r>
      <w:bookmarkEnd w:id="38"/>
      <w:bookmarkEnd w:id="39"/>
      <w:bookmarkEnd w:id="40"/>
      <w:bookmarkEnd w:id="41"/>
    </w:p>
    <w:p w14:paraId="79A7D79C" w14:textId="25910BC6" w:rsidR="00246C81" w:rsidRDefault="00246C81" w:rsidP="00246C81">
      <w:pPr>
        <w:pStyle w:val="Source"/>
        <w:spacing w:after="0"/>
      </w:pPr>
      <w:r>
        <w:rPr>
          <w:noProof/>
          <w:lang w:eastAsia="en-GB"/>
        </w:rPr>
        <w:drawing>
          <wp:inline distT="0" distB="0" distL="0" distR="0" wp14:anchorId="487D6021" wp14:editId="0CDDAA7B">
            <wp:extent cx="5400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7077A00" w14:textId="22A88D36" w:rsidR="00246C81" w:rsidRDefault="00246C81" w:rsidP="00246C81">
      <w:pPr>
        <w:pStyle w:val="Source"/>
      </w:pPr>
      <w:r w:rsidRPr="00BC3613">
        <w:t xml:space="preserve">Source: Authors’ calculations using </w:t>
      </w:r>
      <w:proofErr w:type="spellStart"/>
      <w:r w:rsidRPr="00BC3613">
        <w:t>UNSD</w:t>
      </w:r>
      <w:proofErr w:type="spellEnd"/>
      <w:r w:rsidRPr="00BC3613">
        <w:t xml:space="preserve"> National Accounts Main Aggregates data on ‘gross value added by kind of economic activity’ (</w:t>
      </w:r>
      <w:hyperlink r:id="rId48" w:history="1">
        <w:r w:rsidRPr="00BC3613">
          <w:rPr>
            <w:rStyle w:val="Hyperlink"/>
            <w:rFonts w:asciiTheme="majorHAnsi" w:hAnsiTheme="majorHAnsi" w:cstheme="majorHAnsi"/>
            <w:i w:val="0"/>
            <w:szCs w:val="16"/>
          </w:rPr>
          <w:t>https://data.un.org/search.aspx?q=gross+value+added+datamart%5bsnaama%5d</w:t>
        </w:r>
      </w:hyperlink>
      <w:r w:rsidRPr="00BC3613">
        <w:t>) and ILO World Employment and Social Outlook (</w:t>
      </w:r>
      <w:proofErr w:type="spellStart"/>
      <w:r w:rsidRPr="00BC3613">
        <w:t>WESO</w:t>
      </w:r>
      <w:proofErr w:type="spellEnd"/>
      <w:r w:rsidRPr="00BC3613">
        <w:t>) – Trends 2015 supporting dataset ‘employment by sector and sex’ (</w:t>
      </w:r>
      <w:hyperlink r:id="rId49" w:history="1">
        <w:r w:rsidRPr="00BC3613">
          <w:rPr>
            <w:rStyle w:val="Hyperlink"/>
            <w:rFonts w:asciiTheme="majorHAnsi" w:hAnsiTheme="majorHAnsi" w:cstheme="majorHAnsi"/>
            <w:i w:val="0"/>
            <w:szCs w:val="16"/>
          </w:rPr>
          <w:t>http://www.ilo.org/global/research/global-reports/weso/2015/lang--en/index.htm</w:t>
        </w:r>
      </w:hyperlink>
      <w:r w:rsidRPr="00BC3613">
        <w:t>).</w:t>
      </w:r>
      <w:r>
        <w:t xml:space="preserve"> NB: The gross value added data are for ‘State of Palestine’ and the employment data for ‘West Bank and Gaza Strip’. In the gross value added data ‘Agriculture’ excludes irrigation canals and landscaping care, ‘Mining, Manufacturing, Utilities’ (which are disaggregated here) excludes publishing activities and includes irrigation canals, ‘Manufacturing’ excludes recycling and publishing activities, ‘Wholesale, retail trade, restaurants and hotels’ excludes repair of personal and household goods, ‘Transport, storage and communication’ excludes travel agencies, includes publishing activities, computer and related activities and radio/TV activities, ‘Other’ excludes computer and related activities and radio/TV activities and includes travel agencies and landscaping care; it was not possible to make corresponding adjustments when aggregating the employment data.</w:t>
      </w:r>
    </w:p>
    <w:p w14:paraId="69249E70" w14:textId="77777777" w:rsidR="009A2E9A" w:rsidRDefault="009A2E9A">
      <w:r>
        <w:br w:type="page"/>
      </w:r>
    </w:p>
    <w:p w14:paraId="69249E71" w14:textId="31F56B22" w:rsidR="009A2E9A" w:rsidRDefault="009A2E9A" w:rsidP="009A2E9A">
      <w:pPr>
        <w:pStyle w:val="FigureHeading"/>
      </w:pPr>
      <w:bookmarkStart w:id="42" w:name="_Toc408401694"/>
      <w:bookmarkStart w:id="43" w:name="_Toc428437707"/>
      <w:r>
        <w:t xml:space="preserve">Total employment by sex and </w:t>
      </w:r>
      <w:r w:rsidR="008A6062">
        <w:t xml:space="preserve">broad </w:t>
      </w:r>
      <w:r>
        <w:t xml:space="preserve">sector, </w:t>
      </w:r>
      <w:bookmarkEnd w:id="42"/>
      <w:r w:rsidR="00F11D38">
        <w:t>West Bank &amp; Gaza</w:t>
      </w:r>
      <w:r w:rsidR="008A6062">
        <w:t xml:space="preserve"> (ILO GET data)</w:t>
      </w:r>
      <w:bookmarkEnd w:id="43"/>
    </w:p>
    <w:p w14:paraId="69249E72" w14:textId="77777777" w:rsidR="009A2E9A" w:rsidRDefault="009A2E9A" w:rsidP="009A2E9A">
      <w:pPr>
        <w:pStyle w:val="BodyText"/>
        <w:tabs>
          <w:tab w:val="right" w:pos="8840"/>
        </w:tabs>
        <w:spacing w:before="39" w:after="0" w:line="240" w:lineRule="auto"/>
        <w:jc w:val="left"/>
      </w:pPr>
      <w:r>
        <w:rPr>
          <w:noProof/>
          <w:lang w:eastAsia="en-GB"/>
        </w:rPr>
        <mc:AlternateContent>
          <mc:Choice Requires="wpg">
            <w:drawing>
              <wp:inline distT="0" distB="0" distL="0" distR="0" wp14:anchorId="6924A0CC" wp14:editId="6924A0CD">
                <wp:extent cx="4720590" cy="2592000"/>
                <wp:effectExtent l="0" t="0" r="3810" b="0"/>
                <wp:docPr id="19" name="Group 1"/>
                <wp:cNvGraphicFramePr/>
                <a:graphic xmlns:a="http://schemas.openxmlformats.org/drawingml/2006/main">
                  <a:graphicData uri="http://schemas.microsoft.com/office/word/2010/wordprocessingGroup">
                    <wpg:wgp>
                      <wpg:cNvGrpSpPr/>
                      <wpg:grpSpPr>
                        <a:xfrm>
                          <a:off x="0" y="0"/>
                          <a:ext cx="4720590" cy="2592000"/>
                          <a:chOff x="0" y="0"/>
                          <a:chExt cx="4720590" cy="2592000"/>
                        </a:xfrm>
                      </wpg:grpSpPr>
                      <wpg:graphicFrame>
                        <wpg:cNvPr id="21" name="Chart 21"/>
                        <wpg:cNvFrPr/>
                        <wpg:xfrm>
                          <a:off x="0" y="0"/>
                          <a:ext cx="2268000" cy="2592000"/>
                        </wpg:xfrm>
                        <a:graphic>
                          <a:graphicData uri="http://schemas.openxmlformats.org/drawingml/2006/chart">
                            <c:chart xmlns:c="http://schemas.openxmlformats.org/drawingml/2006/chart" xmlns:r="http://schemas.openxmlformats.org/officeDocument/2006/relationships" r:id="rId50"/>
                          </a:graphicData>
                        </a:graphic>
                      </wpg:graphicFrame>
                      <wpg:graphicFrame>
                        <wpg:cNvPr id="22" name="Chart 22"/>
                        <wpg:cNvFrPr>
                          <a:graphicFrameLocks/>
                        </wpg:cNvFrPr>
                        <wpg:xfrm>
                          <a:off x="2213610" y="0"/>
                          <a:ext cx="2506980" cy="2592000"/>
                        </wpg:xfrm>
                        <a:graphic>
                          <a:graphicData uri="http://schemas.openxmlformats.org/drawingml/2006/chart">
                            <c:chart xmlns:c="http://schemas.openxmlformats.org/drawingml/2006/chart" xmlns:r="http://schemas.openxmlformats.org/officeDocument/2006/relationships" r:id="rId51"/>
                          </a:graphicData>
                        </a:graphic>
                      </wpg:graphicFrame>
                    </wpg:wgp>
                  </a:graphicData>
                </a:graphic>
              </wp:inline>
            </w:drawing>
          </mc:Choice>
          <mc:Fallback>
            <w:pict>
              <v:group id="Group 1" o:spid="_x0000_s1026" style="width:371.7pt;height:204.1pt;mso-position-horizontal-relative:char;mso-position-vertical-relative:line" coordsize="47205,25920"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1" o:spid="_x0000_s1027" type="#_x0000_t75" style="position:absolute;width:22677;height:259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">
                  <v:imagedata r:id="rId52" o:title=""/>
                  <o:lock v:ext="edit" aspectratio="f"/>
                </v:shape>
                <v:shape id="Chart 22" o:spid="_x0000_s1028" type="#_x0000_t75" style="position:absolute;left:22128;width:25055;height:259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">
                  <v:imagedata r:id="rId53" o:title=""/>
                  <o:lock v:ext="edit" aspectratio="f"/>
                </v:shape>
                <w10:anchorlock/>
              </v:group>
            </w:pict>
          </mc:Fallback>
        </mc:AlternateContent>
      </w:r>
      <w:r>
        <w:tab/>
      </w:r>
    </w:p>
    <w:p w14:paraId="69249E73" w14:textId="77777777" w:rsidR="009A2E9A" w:rsidRDefault="009A2E9A" w:rsidP="009A2E9A">
      <w:pPr>
        <w:pStyle w:val="Source"/>
      </w:pPr>
      <w:r>
        <w:t>Source: ILO Global Employment Trends 2014 (</w:t>
      </w:r>
      <w:hyperlink r:id="rId54" w:history="1">
        <w:r w:rsidRPr="000B7E15">
          <w:rPr>
            <w:rStyle w:val="Hyperlink"/>
          </w:rPr>
          <w:t>http://www.ilo.org/global/research/global-reports/global-employment-trends/2014/WCMS_234879/lang--en/index.htm</w:t>
        </w:r>
      </w:hyperlink>
      <w:r>
        <w:t>).</w:t>
      </w:r>
    </w:p>
    <w:p w14:paraId="69249E74" w14:textId="77777777" w:rsidR="009A2E9A" w:rsidRPr="00DB7F31" w:rsidRDefault="009A2E9A" w:rsidP="00246C81">
      <w:pPr>
        <w:pStyle w:val="BodyText"/>
      </w:pPr>
    </w:p>
    <w:p w14:paraId="69249E75" w14:textId="3A7A1609" w:rsidR="009A2E9A" w:rsidRDefault="008A6062" w:rsidP="009A2E9A">
      <w:pPr>
        <w:pStyle w:val="FigureHeading"/>
      </w:pPr>
      <w:bookmarkStart w:id="44" w:name="_Toc408401695"/>
      <w:bookmarkStart w:id="45" w:name="_Toc428437708"/>
      <w:r>
        <w:t>Broad s</w:t>
      </w:r>
      <w:r w:rsidR="009A2E9A">
        <w:t xml:space="preserve">ectoral employment by sex, </w:t>
      </w:r>
      <w:bookmarkEnd w:id="44"/>
      <w:r w:rsidR="00F11D38">
        <w:t>West Bank &amp; Gaza</w:t>
      </w:r>
      <w:r>
        <w:t xml:space="preserve"> (ILO GET data)</w:t>
      </w:r>
      <w:bookmarkEnd w:id="45"/>
    </w:p>
    <w:p w14:paraId="69249E76" w14:textId="77777777" w:rsidR="009A2E9A" w:rsidRDefault="009A2E9A" w:rsidP="009A2E9A">
      <w:pPr>
        <w:pStyle w:val="Source"/>
        <w:spacing w:after="0"/>
      </w:pPr>
      <w:r>
        <w:rPr>
          <w:noProof/>
          <w:lang w:eastAsia="en-GB"/>
        </w:rPr>
        <mc:AlternateContent>
          <mc:Choice Requires="wpg">
            <w:drawing>
              <wp:inline distT="0" distB="0" distL="0" distR="0" wp14:anchorId="6924A0CE" wp14:editId="6924A0CF">
                <wp:extent cx="5687568" cy="2578608"/>
                <wp:effectExtent l="0" t="0" r="8890" b="0"/>
                <wp:docPr id="23"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87568" cy="2578608"/>
                          <a:chOff x="0" y="0"/>
                          <a:chExt cx="6046590" cy="2743200"/>
                        </a:xfrm>
                      </wpg:grpSpPr>
                      <wpg:graphicFrame>
                        <wpg:cNvPr id="24" name="Chart 24"/>
                        <wpg:cNvFrPr/>
                        <wpg:xfrm>
                          <a:off x="0" y="0"/>
                          <a:ext cx="2268000" cy="2466000"/>
                        </wpg:xfrm>
                        <a:graphic>
                          <a:graphicData uri="http://schemas.openxmlformats.org/drawingml/2006/chart">
                            <c:chart xmlns:c="http://schemas.openxmlformats.org/drawingml/2006/chart" xmlns:r="http://schemas.openxmlformats.org/officeDocument/2006/relationships" r:id="rId55"/>
                          </a:graphicData>
                        </a:graphic>
                      </wpg:graphicFrame>
                      <wpg:graphicFrame>
                        <wpg:cNvPr id="25" name="Chart 25"/>
                        <wpg:cNvFrPr>
                          <a:graphicFrameLocks/>
                        </wpg:cNvFrPr>
                        <wpg:xfrm>
                          <a:off x="2165205" y="0"/>
                          <a:ext cx="1980000" cy="2743200"/>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27" name="Chart 27"/>
                        <wpg:cNvFrPr>
                          <a:graphicFrameLocks/>
                        </wpg:cNvFrPr>
                        <wpg:xfrm>
                          <a:off x="3958590" y="0"/>
                          <a:ext cx="2088000" cy="2466000"/>
                        </wpg:xfrm>
                        <a:graphic>
                          <a:graphicData uri="http://schemas.openxmlformats.org/drawingml/2006/chart">
                            <c:chart xmlns:c="http://schemas.openxmlformats.org/drawingml/2006/chart" xmlns:r="http://schemas.openxmlformats.org/officeDocument/2006/relationships" r:id="rId57"/>
                          </a:graphicData>
                        </a:graphic>
                      </wpg:graphicFrame>
                    </wpg:wgp>
                  </a:graphicData>
                </a:graphic>
              </wp:inline>
            </w:drawing>
          </mc:Choice>
          <mc:Fallback>
            <w:pict>
              <v:group id="Group 4" o:spid="_x0000_s1026" style="width:447.85pt;height:203.05pt;mso-position-horizontal-relative:char;mso-position-vertical-relative:line" coordsize="60465,27432"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">
                <o:lock v:ext="edit" aspectratio="t"/>
                <v:shape id="Chart 24" o:spid="_x0000_s1027" type="#_x0000_t75" style="position:absolute;width:22682;height:24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">
                  <v:imagedata r:id="rId58" o:title=""/>
                  <o:lock v:ext="edit" aspectratio="f"/>
                </v:shape>
                <v:shape id="Chart 25" o:spid="_x0000_s1028" type="#_x0000_t75" style="position:absolute;left:21645;width:19832;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">
                  <v:imagedata r:id="rId59" o:title=""/>
                  <o:lock v:ext="edit" aspectratio="f"/>
                </v:shape>
                <v:shape id="Chart 27" o:spid="_x0000_s1029" type="#_x0000_t75" style="position:absolute;left:39597;width:20868;height:24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">
                  <v:imagedata r:id="rId60" o:title=""/>
                  <o:lock v:ext="edit" aspectratio="f"/>
                </v:shape>
                <w10:anchorlock/>
              </v:group>
            </w:pict>
          </mc:Fallback>
        </mc:AlternateContent>
      </w:r>
    </w:p>
    <w:p w14:paraId="69249E77" w14:textId="77777777" w:rsidR="009A2E9A" w:rsidRDefault="009A2E9A" w:rsidP="009A2E9A">
      <w:pPr>
        <w:pStyle w:val="Source"/>
      </w:pPr>
      <w:r>
        <w:t>Source: Authors’ calculations using data from the ILO’s Global Employment Trends 2014 (</w:t>
      </w:r>
      <w:hyperlink r:id="rId61" w:history="1">
        <w:r w:rsidRPr="000B7E15">
          <w:rPr>
            <w:rStyle w:val="Hyperlink"/>
          </w:rPr>
          <w:t>http://www.ilo.org/global/research/global-reports/global-employment-trends/2014/WCMS_234879/lang--en/index.htm</w:t>
        </w:r>
      </w:hyperlink>
      <w:r>
        <w:t>).</w:t>
      </w:r>
    </w:p>
    <w:p w14:paraId="0408BAA3" w14:textId="77777777" w:rsidR="00246C81" w:rsidRDefault="00246C81" w:rsidP="009A2E9A">
      <w:pPr>
        <w:pStyle w:val="Source"/>
      </w:pPr>
    </w:p>
    <w:p w14:paraId="5E5BED47" w14:textId="77777777" w:rsidR="00246C81" w:rsidRDefault="00246C81">
      <w:pPr>
        <w:rPr>
          <w:rFonts w:ascii="Arial" w:hAnsi="Arial"/>
          <w:i/>
          <w:sz w:val="16"/>
        </w:rPr>
      </w:pPr>
      <w:r>
        <w:br w:type="page"/>
      </w:r>
    </w:p>
    <w:p w14:paraId="780D643E" w14:textId="28558CB3" w:rsidR="00246C81" w:rsidRDefault="00246C81" w:rsidP="00246C81">
      <w:pPr>
        <w:pStyle w:val="FigureHeading"/>
        <w:numPr>
          <w:ilvl w:val="0"/>
          <w:numId w:val="1"/>
        </w:numPr>
        <w:tabs>
          <w:tab w:val="right" w:pos="9806"/>
        </w:tabs>
      </w:pPr>
      <w:bookmarkStart w:id="46" w:name="_Toc427753261"/>
      <w:bookmarkStart w:id="47" w:name="_Toc427767264"/>
      <w:bookmarkStart w:id="48" w:name="_Toc427768427"/>
      <w:bookmarkStart w:id="49" w:name="_Toc428437709"/>
      <w:r>
        <w:t xml:space="preserve">Sectoral employment by sex, </w:t>
      </w:r>
      <w:r>
        <w:rPr>
          <w:noProof/>
        </w:rPr>
        <w:t>West Bank &amp; Gaza</w:t>
      </w:r>
      <w:r>
        <w:t xml:space="preserve"> (ILO </w:t>
      </w:r>
      <w:proofErr w:type="spellStart"/>
      <w:r>
        <w:t>WESO</w:t>
      </w:r>
      <w:proofErr w:type="spellEnd"/>
      <w:r>
        <w:t xml:space="preserve"> data)</w:t>
      </w:r>
      <w:r>
        <w:tab/>
      </w:r>
      <w:r w:rsidRPr="00DB6A0A">
        <w:rPr>
          <w:color w:val="FF0000"/>
        </w:rPr>
        <w:t>NEW</w:t>
      </w:r>
      <w:bookmarkEnd w:id="46"/>
      <w:bookmarkEnd w:id="47"/>
      <w:bookmarkEnd w:id="48"/>
      <w:bookmarkEnd w:id="49"/>
    </w:p>
    <w:p w14:paraId="34CB889F" w14:textId="54166250" w:rsidR="00246C81" w:rsidRPr="00D65C18" w:rsidRDefault="00246C81" w:rsidP="00246C81">
      <w:pPr>
        <w:pStyle w:val="BodyText"/>
      </w:pPr>
      <w:r>
        <w:rPr>
          <w:noProof/>
          <w:lang w:eastAsia="en-GB"/>
        </w:rPr>
        <mc:AlternateContent>
          <mc:Choice Requires="wpg">
            <w:drawing>
              <wp:inline distT="0" distB="0" distL="0" distR="0" wp14:anchorId="01F27105" wp14:editId="5EF7A549">
                <wp:extent cx="6355080" cy="2468880"/>
                <wp:effectExtent l="0" t="0" r="7620" b="7620"/>
                <wp:docPr id="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55080" cy="2468880"/>
                          <a:chOff x="0" y="0"/>
                          <a:chExt cx="7059930" cy="2743200"/>
                        </a:xfrm>
                      </wpg:grpSpPr>
                      <wpg:graphicFrame>
                        <wpg:cNvPr id="46" name="Chart 46"/>
                        <wpg:cNvFrPr/>
                        <wpg:xfrm>
                          <a:off x="0" y="0"/>
                          <a:ext cx="4572000" cy="2743200"/>
                        </wpg:xfrm>
                        <a:graphic>
                          <a:graphicData uri="http://schemas.openxmlformats.org/drawingml/2006/chart">
                            <c:chart xmlns:c="http://schemas.openxmlformats.org/drawingml/2006/chart" xmlns:r="http://schemas.openxmlformats.org/officeDocument/2006/relationships" r:id="rId62"/>
                          </a:graphicData>
                        </a:graphic>
                      </wpg:graphicFrame>
                      <wpg:graphicFrame>
                        <wpg:cNvPr id="47" name="Chart 47"/>
                        <wpg:cNvFrPr>
                          <a:graphicFrameLocks/>
                        </wpg:cNvFrPr>
                        <wpg:xfrm>
                          <a:off x="2891790" y="0"/>
                          <a:ext cx="4168140" cy="2743200"/>
                        </wpg:xfrm>
                        <a:graphic>
                          <a:graphicData uri="http://schemas.openxmlformats.org/drawingml/2006/chart">
                            <c:chart xmlns:c="http://schemas.openxmlformats.org/drawingml/2006/chart" xmlns:r="http://schemas.openxmlformats.org/officeDocument/2006/relationships" r:id="rId63"/>
                          </a:graphicData>
                        </a:graphic>
                      </wpg:graphicFrame>
                    </wpg:wgp>
                  </a:graphicData>
                </a:graphic>
              </wp:inline>
            </w:drawing>
          </mc:Choice>
          <mc:Fallback>
            <w:pict>
              <v:group id="Group 2" o:spid="_x0000_s1026" style="width:500.4pt;height:194.4pt;mso-position-horizontal-relative:char;mso-position-vertical-relative:line" coordsize="70599,2743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6" o:spid="_x0000_s1027" type="#_x0000_t75" style="position:absolute;width:45711;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">
                  <v:imagedata r:id="rId64" o:title=""/>
                  <o:lock v:ext="edit" aspectratio="f"/>
                </v:shape>
                <v:shape id="Chart 47" o:spid="_x0000_s1028" type="#_x0000_t75" style="position:absolute;left:28916;width:41649;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">
                  <v:imagedata r:id="rId65" o:title=""/>
                  <o:lock v:ext="edit" aspectratio="f"/>
                </v:shape>
                <w10:anchorlock/>
              </v:group>
            </w:pict>
          </mc:Fallback>
        </mc:AlternateContent>
      </w:r>
    </w:p>
    <w:p w14:paraId="7F451D64" w14:textId="77777777" w:rsidR="00246C81" w:rsidRDefault="00246C81" w:rsidP="00246C81">
      <w:pPr>
        <w:rPr>
          <w:rFonts w:asciiTheme="majorHAnsi" w:hAnsiTheme="majorHAnsi" w:cstheme="majorHAnsi"/>
          <w:i/>
          <w:sz w:val="16"/>
          <w:szCs w:val="16"/>
        </w:rPr>
      </w:pPr>
      <w:r w:rsidRPr="00BC3613">
        <w:rPr>
          <w:rFonts w:asciiTheme="majorHAnsi" w:hAnsiTheme="majorHAnsi" w:cstheme="majorHAnsi"/>
          <w:i/>
          <w:sz w:val="16"/>
          <w:szCs w:val="16"/>
        </w:rPr>
        <w:t>Source: ILO World Employment and Social Outlook (</w:t>
      </w:r>
      <w:proofErr w:type="spellStart"/>
      <w:r w:rsidRPr="00BC3613">
        <w:rPr>
          <w:rFonts w:asciiTheme="majorHAnsi" w:hAnsiTheme="majorHAnsi" w:cstheme="majorHAnsi"/>
          <w:i/>
          <w:sz w:val="16"/>
          <w:szCs w:val="16"/>
        </w:rPr>
        <w:t>WESO</w:t>
      </w:r>
      <w:proofErr w:type="spellEnd"/>
      <w:r w:rsidRPr="00BC3613">
        <w:rPr>
          <w:rFonts w:asciiTheme="majorHAnsi" w:hAnsiTheme="majorHAnsi" w:cstheme="majorHAnsi"/>
          <w:i/>
          <w:sz w:val="16"/>
          <w:szCs w:val="16"/>
        </w:rPr>
        <w:t>) – Trends 2015 supporting dataset ‘employment by sector and sex’ (</w:t>
      </w:r>
      <w:hyperlink r:id="rId66" w:history="1">
        <w:r w:rsidRPr="00BC3613">
          <w:rPr>
            <w:rStyle w:val="Hyperlink"/>
            <w:rFonts w:asciiTheme="majorHAnsi" w:hAnsiTheme="majorHAnsi" w:cstheme="majorHAnsi"/>
            <w:i/>
            <w:sz w:val="16"/>
            <w:szCs w:val="16"/>
          </w:rPr>
          <w:t>http://www.ilo.org/global/research/global-reports/weso/2015/lang--en/index.htm</w:t>
        </w:r>
      </w:hyperlink>
      <w:r w:rsidRPr="00BC3613">
        <w:rPr>
          <w:rFonts w:asciiTheme="majorHAnsi" w:hAnsiTheme="majorHAnsi" w:cstheme="majorHAnsi"/>
          <w:i/>
          <w:sz w:val="16"/>
          <w:szCs w:val="16"/>
        </w:rPr>
        <w:t>).</w:t>
      </w:r>
    </w:p>
    <w:p w14:paraId="17AB03F5" w14:textId="5DECBEAD" w:rsidR="00246C81" w:rsidRPr="00DB7F31" w:rsidRDefault="00246C81" w:rsidP="009A2E9A">
      <w:pPr>
        <w:pStyle w:val="Source"/>
      </w:pPr>
    </w:p>
    <w:p w14:paraId="69249E78" w14:textId="77777777" w:rsidR="005D2D85" w:rsidRDefault="005D2D85">
      <w:pPr>
        <w:rPr>
          <w:rFonts w:ascii="Arial" w:hAnsi="Arial"/>
          <w:b/>
          <w:color w:val="006C67" w:themeColor="accent1"/>
          <w:sz w:val="24"/>
        </w:rPr>
      </w:pPr>
      <w:r>
        <w:br w:type="page"/>
      </w:r>
    </w:p>
    <w:p w14:paraId="69249E79" w14:textId="77777777" w:rsidR="00B12AEC" w:rsidRDefault="00B12AEC" w:rsidP="00B12AEC">
      <w:pPr>
        <w:pStyle w:val="Heading1"/>
      </w:pPr>
      <w:bookmarkStart w:id="50" w:name="_Toc428437710"/>
      <w:bookmarkStart w:id="51" w:name="_Toc406411725"/>
      <w:r>
        <w:t>Trade</w:t>
      </w:r>
      <w:bookmarkEnd w:id="50"/>
    </w:p>
    <w:p w14:paraId="69249E7A" w14:textId="77777777" w:rsidR="004D6FA5" w:rsidRDefault="004D6FA5" w:rsidP="004D6FA5">
      <w:pPr>
        <w:pStyle w:val="Heading2"/>
      </w:pPr>
      <w:bookmarkStart w:id="52" w:name="_Toc428437711"/>
      <w:r>
        <w:t>Basic data</w:t>
      </w:r>
      <w:bookmarkEnd w:id="52"/>
    </w:p>
    <w:p w14:paraId="69249E7B" w14:textId="77777777" w:rsidR="001006D4" w:rsidRDefault="001006D4" w:rsidP="001006D4">
      <w:pPr>
        <w:pStyle w:val="FigureHeading"/>
      </w:pPr>
      <w:bookmarkStart w:id="53" w:name="_Toc408671446"/>
      <w:bookmarkStart w:id="54" w:name="_Toc408671837"/>
      <w:bookmarkStart w:id="55" w:name="_Toc428437712"/>
      <w:r>
        <w:t>Total value of trade, West Bank &amp; Gaza, 2007–1</w:t>
      </w:r>
      <w:bookmarkEnd w:id="53"/>
      <w:bookmarkEnd w:id="54"/>
      <w:r>
        <w:t>2</w:t>
      </w:r>
      <w:bookmarkEnd w:id="55"/>
    </w:p>
    <w:p w14:paraId="69249E7C" w14:textId="77777777" w:rsidR="001006D4" w:rsidRPr="00CA2271" w:rsidRDefault="001006D4" w:rsidP="001006D4">
      <w:pPr>
        <w:pStyle w:val="BodyText"/>
        <w:spacing w:before="39" w:after="0" w:line="240" w:lineRule="auto"/>
        <w:jc w:val="left"/>
      </w:pPr>
      <w:r>
        <w:rPr>
          <w:noProof/>
          <w:lang w:eastAsia="en-GB"/>
        </w:rPr>
        <w:drawing>
          <wp:inline distT="0" distB="0" distL="0" distR="0" wp14:anchorId="6924A0D0" wp14:editId="6924A0D1">
            <wp:extent cx="4187190" cy="2376000"/>
            <wp:effectExtent l="0" t="0" r="381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9249E7D" w14:textId="77777777" w:rsidR="001006D4" w:rsidRDefault="001006D4" w:rsidP="001006D4">
      <w:pPr>
        <w:pStyle w:val="Source"/>
        <w:rPr>
          <w:noProof/>
          <w:lang w:eastAsia="en-GB"/>
        </w:rPr>
      </w:pPr>
      <w:r>
        <w:rPr>
          <w:noProof/>
          <w:lang w:eastAsia="en-GB"/>
        </w:rPr>
        <w:t>Source: UN COMTRADE database.</w:t>
      </w:r>
    </w:p>
    <w:p w14:paraId="69249E7E" w14:textId="77777777" w:rsidR="001006D4" w:rsidRPr="00CA2271" w:rsidRDefault="001006D4" w:rsidP="001006D4">
      <w:pPr>
        <w:pStyle w:val="BodyText"/>
      </w:pPr>
    </w:p>
    <w:p w14:paraId="69249E7F" w14:textId="77777777" w:rsidR="001006D4" w:rsidRDefault="001006D4" w:rsidP="001006D4">
      <w:pPr>
        <w:rPr>
          <w:rFonts w:ascii="Arial" w:hAnsi="Arial"/>
          <w:b/>
          <w:color w:val="006C67" w:themeColor="accent1"/>
          <w:sz w:val="24"/>
        </w:rPr>
      </w:pPr>
      <w:r>
        <w:br w:type="page"/>
      </w:r>
    </w:p>
    <w:p w14:paraId="69249E80" w14:textId="77777777" w:rsidR="00230AAA" w:rsidRDefault="00230AAA" w:rsidP="00230AAA">
      <w:pPr>
        <w:pStyle w:val="FigureHeading"/>
        <w:spacing w:before="0"/>
      </w:pPr>
      <w:bookmarkStart w:id="56" w:name="_Toc405451563"/>
      <w:bookmarkStart w:id="57" w:name="_Toc405466101"/>
      <w:bookmarkStart w:id="58" w:name="_Toc428437713"/>
      <w:bookmarkEnd w:id="51"/>
      <w:r>
        <w:t xml:space="preserve">Exports by broad HS Section, </w:t>
      </w:r>
      <w:r w:rsidR="006D469D">
        <w:t>West Bank &amp; Gaza</w:t>
      </w:r>
      <w:r>
        <w:t xml:space="preserve">, </w:t>
      </w:r>
      <w:r w:rsidR="008E50D2">
        <w:t>2007</w:t>
      </w:r>
      <w:r>
        <w:t xml:space="preserve">–8 and </w:t>
      </w:r>
      <w:bookmarkEnd w:id="56"/>
      <w:r>
        <w:t>2009–</w:t>
      </w:r>
      <w:r w:rsidR="008E50D2">
        <w:t>12</w:t>
      </w:r>
      <w:bookmarkEnd w:id="57"/>
      <w:bookmarkEnd w:id="58"/>
    </w:p>
    <w:p w14:paraId="69249E81" w14:textId="77777777" w:rsidR="00230AAA" w:rsidRPr="008114C6" w:rsidRDefault="008E50D2" w:rsidP="008E50D2">
      <w:pPr>
        <w:pStyle w:val="BodyText"/>
        <w:spacing w:before="39" w:after="0" w:line="240" w:lineRule="auto"/>
        <w:jc w:val="left"/>
      </w:pPr>
      <w:r>
        <w:rPr>
          <w:noProof/>
          <w:lang w:eastAsia="en-GB"/>
        </w:rPr>
        <w:drawing>
          <wp:inline distT="0" distB="0" distL="0" distR="0" wp14:anchorId="6924A0D2" wp14:editId="6924A0D3">
            <wp:extent cx="5486400" cy="26060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8E50D2">
        <w:rPr>
          <w:noProof/>
          <w:lang w:eastAsia="en-GB"/>
        </w:rPr>
        <w:t xml:space="preserve"> </w:t>
      </w:r>
      <w:r>
        <w:rPr>
          <w:noProof/>
          <w:lang w:eastAsia="en-GB"/>
        </w:rPr>
        <w:drawing>
          <wp:inline distT="0" distB="0" distL="0" distR="0" wp14:anchorId="6924A0D4" wp14:editId="6924A0D5">
            <wp:extent cx="5486400" cy="246888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bl>
      <w:tblPr>
        <w:tblW w:w="5000" w:type="pct"/>
        <w:tblLayout w:type="fixed"/>
        <w:tblCellMar>
          <w:left w:w="0" w:type="dxa"/>
          <w:right w:w="0" w:type="dxa"/>
        </w:tblCellMar>
        <w:tblLook w:val="04A0" w:firstRow="1" w:lastRow="0" w:firstColumn="1" w:lastColumn="0" w:noHBand="0" w:noVBand="1"/>
      </w:tblPr>
      <w:tblGrid>
        <w:gridCol w:w="630"/>
        <w:gridCol w:w="8210"/>
      </w:tblGrid>
      <w:tr w:rsidR="00230AAA" w:rsidRPr="00C91C87" w14:paraId="69249E84" w14:textId="77777777" w:rsidTr="001C4EF9">
        <w:tc>
          <w:tcPr>
            <w:tcW w:w="630" w:type="dxa"/>
            <w:tcBorders>
              <w:top w:val="nil"/>
              <w:left w:val="nil"/>
              <w:bottom w:val="nil"/>
              <w:right w:val="nil"/>
            </w:tcBorders>
            <w:shd w:val="clear" w:color="auto" w:fill="auto"/>
            <w:noWrap/>
          </w:tcPr>
          <w:p w14:paraId="69249E82" w14:textId="77777777" w:rsidR="00230AAA" w:rsidRPr="00A364CB" w:rsidRDefault="00230AAA" w:rsidP="001C4EF9">
            <w:pPr>
              <w:rPr>
                <w:rFonts w:asciiTheme="majorHAnsi" w:eastAsia="Times New Roman" w:hAnsiTheme="majorHAnsi" w:cstheme="majorHAnsi"/>
                <w:color w:val="000000"/>
                <w:sz w:val="16"/>
                <w:szCs w:val="16"/>
                <w:lang w:eastAsia="en-GB"/>
              </w:rPr>
            </w:pPr>
            <w:r w:rsidRPr="00A364CB">
              <w:rPr>
                <w:rFonts w:asciiTheme="majorHAnsi" w:eastAsia="Times New Roman" w:hAnsiTheme="majorHAnsi" w:cstheme="majorHAnsi"/>
                <w:color w:val="000000"/>
                <w:sz w:val="16"/>
                <w:szCs w:val="16"/>
                <w:lang w:eastAsia="en-GB"/>
              </w:rPr>
              <w:t>Key:</w:t>
            </w:r>
          </w:p>
        </w:tc>
        <w:tc>
          <w:tcPr>
            <w:tcW w:w="8210" w:type="dxa"/>
            <w:tcBorders>
              <w:top w:val="nil"/>
              <w:left w:val="nil"/>
              <w:bottom w:val="nil"/>
              <w:right w:val="nil"/>
            </w:tcBorders>
            <w:shd w:val="clear" w:color="auto" w:fill="auto"/>
            <w:noWrap/>
          </w:tcPr>
          <w:p w14:paraId="69249E83" w14:textId="77777777" w:rsidR="00230AAA" w:rsidRDefault="00230AAA" w:rsidP="001C4EF9">
            <w:pPr>
              <w:rPr>
                <w:rFonts w:ascii="Calibri" w:eastAsia="Times New Roman" w:hAnsi="Calibri"/>
                <w:color w:val="000000"/>
                <w:sz w:val="16"/>
                <w:szCs w:val="16"/>
                <w:lang w:eastAsia="en-GB"/>
              </w:rPr>
            </w:pPr>
          </w:p>
        </w:tc>
      </w:tr>
      <w:tr w:rsidR="00230AAA" w:rsidRPr="00C91C87" w14:paraId="69249E87" w14:textId="77777777" w:rsidTr="001C4EF9">
        <w:tc>
          <w:tcPr>
            <w:tcW w:w="630" w:type="dxa"/>
            <w:tcBorders>
              <w:top w:val="nil"/>
              <w:left w:val="nil"/>
              <w:bottom w:val="nil"/>
              <w:right w:val="nil"/>
            </w:tcBorders>
            <w:shd w:val="clear" w:color="auto" w:fill="auto"/>
            <w:noWrap/>
          </w:tcPr>
          <w:p w14:paraId="69249E8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HS Sect.</w:t>
            </w:r>
          </w:p>
        </w:tc>
        <w:tc>
          <w:tcPr>
            <w:tcW w:w="8210" w:type="dxa"/>
            <w:tcBorders>
              <w:top w:val="nil"/>
              <w:left w:val="nil"/>
              <w:bottom w:val="nil"/>
              <w:right w:val="nil"/>
            </w:tcBorders>
            <w:shd w:val="clear" w:color="auto" w:fill="auto"/>
            <w:noWrap/>
          </w:tcPr>
          <w:p w14:paraId="69249E8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Description</w:t>
            </w:r>
          </w:p>
        </w:tc>
      </w:tr>
      <w:tr w:rsidR="00230AAA" w:rsidRPr="00C91C87" w14:paraId="69249E8A" w14:textId="77777777" w:rsidTr="001C4EF9">
        <w:tc>
          <w:tcPr>
            <w:tcW w:w="630" w:type="dxa"/>
            <w:tcBorders>
              <w:top w:val="nil"/>
              <w:left w:val="nil"/>
              <w:bottom w:val="nil"/>
              <w:right w:val="nil"/>
            </w:tcBorders>
            <w:shd w:val="clear" w:color="auto" w:fill="auto"/>
            <w:noWrap/>
            <w:hideMark/>
          </w:tcPr>
          <w:p w14:paraId="69249E88"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w:t>
            </w:r>
          </w:p>
        </w:tc>
        <w:tc>
          <w:tcPr>
            <w:tcW w:w="8210" w:type="dxa"/>
            <w:tcBorders>
              <w:top w:val="nil"/>
              <w:left w:val="nil"/>
              <w:bottom w:val="nil"/>
              <w:right w:val="nil"/>
            </w:tcBorders>
            <w:shd w:val="clear" w:color="auto" w:fill="auto"/>
            <w:noWrap/>
            <w:hideMark/>
          </w:tcPr>
          <w:p w14:paraId="69249E89"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Live animals; animal products </w:t>
            </w:r>
          </w:p>
        </w:tc>
      </w:tr>
      <w:tr w:rsidR="00230AAA" w:rsidRPr="00C91C87" w14:paraId="69249E8D" w14:textId="77777777" w:rsidTr="001C4EF9">
        <w:tc>
          <w:tcPr>
            <w:tcW w:w="630" w:type="dxa"/>
            <w:tcBorders>
              <w:top w:val="nil"/>
              <w:left w:val="nil"/>
              <w:bottom w:val="nil"/>
              <w:right w:val="nil"/>
            </w:tcBorders>
            <w:shd w:val="clear" w:color="auto" w:fill="auto"/>
            <w:noWrap/>
            <w:hideMark/>
          </w:tcPr>
          <w:p w14:paraId="69249E8B"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w:t>
            </w:r>
          </w:p>
        </w:tc>
        <w:tc>
          <w:tcPr>
            <w:tcW w:w="8210" w:type="dxa"/>
            <w:tcBorders>
              <w:top w:val="nil"/>
              <w:left w:val="nil"/>
              <w:bottom w:val="nil"/>
              <w:right w:val="nil"/>
            </w:tcBorders>
            <w:shd w:val="clear" w:color="auto" w:fill="auto"/>
            <w:noWrap/>
            <w:hideMark/>
          </w:tcPr>
          <w:p w14:paraId="69249E8C"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Vegetable products</w:t>
            </w:r>
          </w:p>
        </w:tc>
      </w:tr>
      <w:tr w:rsidR="00230AAA" w:rsidRPr="00C91C87" w14:paraId="69249E90" w14:textId="77777777" w:rsidTr="001C4EF9">
        <w:tc>
          <w:tcPr>
            <w:tcW w:w="630" w:type="dxa"/>
            <w:tcBorders>
              <w:top w:val="nil"/>
              <w:left w:val="nil"/>
              <w:bottom w:val="nil"/>
              <w:right w:val="nil"/>
            </w:tcBorders>
            <w:shd w:val="clear" w:color="auto" w:fill="auto"/>
            <w:noWrap/>
            <w:hideMark/>
          </w:tcPr>
          <w:p w14:paraId="69249E8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3</w:t>
            </w:r>
          </w:p>
        </w:tc>
        <w:tc>
          <w:tcPr>
            <w:tcW w:w="8210" w:type="dxa"/>
            <w:tcBorders>
              <w:top w:val="nil"/>
              <w:left w:val="nil"/>
              <w:bottom w:val="nil"/>
              <w:right w:val="nil"/>
            </w:tcBorders>
            <w:shd w:val="clear" w:color="auto" w:fill="auto"/>
            <w:noWrap/>
            <w:hideMark/>
          </w:tcPr>
          <w:p w14:paraId="69249E8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Animal or vegetable fats and oils and their cleavage products; prepared edible fats; animal or vegetable waxes</w:t>
            </w:r>
          </w:p>
        </w:tc>
      </w:tr>
      <w:tr w:rsidR="00230AAA" w:rsidRPr="00C91C87" w14:paraId="69249E93" w14:textId="77777777" w:rsidTr="001C4EF9">
        <w:tc>
          <w:tcPr>
            <w:tcW w:w="630" w:type="dxa"/>
            <w:tcBorders>
              <w:top w:val="nil"/>
              <w:left w:val="nil"/>
              <w:bottom w:val="nil"/>
              <w:right w:val="nil"/>
            </w:tcBorders>
            <w:shd w:val="clear" w:color="auto" w:fill="auto"/>
            <w:noWrap/>
            <w:hideMark/>
          </w:tcPr>
          <w:p w14:paraId="69249E9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4</w:t>
            </w:r>
          </w:p>
        </w:tc>
        <w:tc>
          <w:tcPr>
            <w:tcW w:w="8210" w:type="dxa"/>
            <w:tcBorders>
              <w:top w:val="nil"/>
              <w:left w:val="nil"/>
              <w:bottom w:val="nil"/>
              <w:right w:val="nil"/>
            </w:tcBorders>
            <w:shd w:val="clear" w:color="auto" w:fill="auto"/>
            <w:noWrap/>
            <w:hideMark/>
          </w:tcPr>
          <w:p w14:paraId="69249E9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Prepared foodstuffs; beverages, spirits and vinegar; tobacco and manufactured tobacco substitutes </w:t>
            </w:r>
          </w:p>
        </w:tc>
      </w:tr>
      <w:tr w:rsidR="00230AAA" w:rsidRPr="00C91C87" w14:paraId="69249E96" w14:textId="77777777" w:rsidTr="001C4EF9">
        <w:tc>
          <w:tcPr>
            <w:tcW w:w="630" w:type="dxa"/>
            <w:tcBorders>
              <w:top w:val="nil"/>
              <w:left w:val="nil"/>
              <w:bottom w:val="nil"/>
              <w:right w:val="nil"/>
            </w:tcBorders>
            <w:shd w:val="clear" w:color="auto" w:fill="auto"/>
            <w:noWrap/>
            <w:hideMark/>
          </w:tcPr>
          <w:p w14:paraId="69249E9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5</w:t>
            </w:r>
          </w:p>
        </w:tc>
        <w:tc>
          <w:tcPr>
            <w:tcW w:w="8210" w:type="dxa"/>
            <w:tcBorders>
              <w:top w:val="nil"/>
              <w:left w:val="nil"/>
              <w:bottom w:val="nil"/>
              <w:right w:val="nil"/>
            </w:tcBorders>
            <w:shd w:val="clear" w:color="auto" w:fill="auto"/>
            <w:noWrap/>
            <w:hideMark/>
          </w:tcPr>
          <w:p w14:paraId="69249E9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Mineral products </w:t>
            </w:r>
          </w:p>
        </w:tc>
      </w:tr>
      <w:tr w:rsidR="00230AAA" w:rsidRPr="00C91C87" w14:paraId="69249E99" w14:textId="77777777" w:rsidTr="001C4EF9">
        <w:tc>
          <w:tcPr>
            <w:tcW w:w="630" w:type="dxa"/>
            <w:tcBorders>
              <w:top w:val="nil"/>
              <w:left w:val="nil"/>
              <w:bottom w:val="nil"/>
              <w:right w:val="nil"/>
            </w:tcBorders>
            <w:shd w:val="clear" w:color="auto" w:fill="auto"/>
            <w:noWrap/>
            <w:hideMark/>
          </w:tcPr>
          <w:p w14:paraId="69249E97"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6</w:t>
            </w:r>
          </w:p>
        </w:tc>
        <w:tc>
          <w:tcPr>
            <w:tcW w:w="8210" w:type="dxa"/>
            <w:tcBorders>
              <w:top w:val="nil"/>
              <w:left w:val="nil"/>
              <w:bottom w:val="nil"/>
              <w:right w:val="nil"/>
            </w:tcBorders>
            <w:shd w:val="clear" w:color="auto" w:fill="auto"/>
            <w:noWrap/>
            <w:hideMark/>
          </w:tcPr>
          <w:p w14:paraId="69249E98"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Products of the chemical or allied industries </w:t>
            </w:r>
          </w:p>
        </w:tc>
      </w:tr>
      <w:tr w:rsidR="00230AAA" w:rsidRPr="00C91C87" w14:paraId="69249E9C" w14:textId="77777777" w:rsidTr="001C4EF9">
        <w:tc>
          <w:tcPr>
            <w:tcW w:w="630" w:type="dxa"/>
            <w:tcBorders>
              <w:top w:val="nil"/>
              <w:left w:val="nil"/>
              <w:bottom w:val="nil"/>
              <w:right w:val="nil"/>
            </w:tcBorders>
            <w:shd w:val="clear" w:color="auto" w:fill="auto"/>
            <w:noWrap/>
            <w:hideMark/>
          </w:tcPr>
          <w:p w14:paraId="69249E9A"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7</w:t>
            </w:r>
          </w:p>
        </w:tc>
        <w:tc>
          <w:tcPr>
            <w:tcW w:w="8210" w:type="dxa"/>
            <w:tcBorders>
              <w:top w:val="nil"/>
              <w:left w:val="nil"/>
              <w:bottom w:val="nil"/>
              <w:right w:val="nil"/>
            </w:tcBorders>
            <w:shd w:val="clear" w:color="auto" w:fill="auto"/>
            <w:noWrap/>
            <w:hideMark/>
          </w:tcPr>
          <w:p w14:paraId="69249E9B"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Plastics and articles thereof; rubber and articles thereof </w:t>
            </w:r>
          </w:p>
        </w:tc>
      </w:tr>
      <w:tr w:rsidR="00230AAA" w:rsidRPr="00C91C87" w14:paraId="69249E9F" w14:textId="77777777" w:rsidTr="001C4EF9">
        <w:tc>
          <w:tcPr>
            <w:tcW w:w="630" w:type="dxa"/>
            <w:tcBorders>
              <w:top w:val="nil"/>
              <w:left w:val="nil"/>
              <w:bottom w:val="nil"/>
              <w:right w:val="nil"/>
            </w:tcBorders>
            <w:shd w:val="clear" w:color="auto" w:fill="auto"/>
            <w:noWrap/>
            <w:hideMark/>
          </w:tcPr>
          <w:p w14:paraId="69249E9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8</w:t>
            </w:r>
          </w:p>
        </w:tc>
        <w:tc>
          <w:tcPr>
            <w:tcW w:w="8210" w:type="dxa"/>
            <w:tcBorders>
              <w:top w:val="nil"/>
              <w:left w:val="nil"/>
              <w:bottom w:val="nil"/>
              <w:right w:val="nil"/>
            </w:tcBorders>
            <w:shd w:val="clear" w:color="auto" w:fill="auto"/>
            <w:noWrap/>
            <w:hideMark/>
          </w:tcPr>
          <w:p w14:paraId="69249E9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Raw hides and skins, leather, furskins and articles thereof; saddlery and harness; travel goods, handbags and similar containers; articles of animal gut (other than silk-worm gut) </w:t>
            </w:r>
          </w:p>
        </w:tc>
      </w:tr>
      <w:tr w:rsidR="00230AAA" w:rsidRPr="00C91C87" w14:paraId="69249EA2" w14:textId="77777777" w:rsidTr="001C4EF9">
        <w:tc>
          <w:tcPr>
            <w:tcW w:w="630" w:type="dxa"/>
            <w:tcBorders>
              <w:top w:val="nil"/>
              <w:left w:val="nil"/>
              <w:bottom w:val="nil"/>
              <w:right w:val="nil"/>
            </w:tcBorders>
            <w:shd w:val="clear" w:color="auto" w:fill="auto"/>
            <w:noWrap/>
            <w:hideMark/>
          </w:tcPr>
          <w:p w14:paraId="69249EA0"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9</w:t>
            </w:r>
          </w:p>
        </w:tc>
        <w:tc>
          <w:tcPr>
            <w:tcW w:w="8210" w:type="dxa"/>
            <w:tcBorders>
              <w:top w:val="nil"/>
              <w:left w:val="nil"/>
              <w:bottom w:val="nil"/>
              <w:right w:val="nil"/>
            </w:tcBorders>
            <w:shd w:val="clear" w:color="auto" w:fill="auto"/>
            <w:noWrap/>
            <w:hideMark/>
          </w:tcPr>
          <w:p w14:paraId="69249EA1"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 xml:space="preserve">Wood and articles of wood; wood charcoal; cork and articles of cork; manufactures of straw, of esparto or of other plaiting materials; </w:t>
            </w:r>
            <w:proofErr w:type="spellStart"/>
            <w:r w:rsidRPr="00A364CB">
              <w:rPr>
                <w:rFonts w:asciiTheme="majorHAnsi" w:eastAsia="Times New Roman" w:hAnsiTheme="majorHAnsi" w:cstheme="majorHAnsi"/>
                <w:color w:val="000000"/>
                <w:sz w:val="14"/>
                <w:szCs w:val="14"/>
                <w:lang w:eastAsia="en-GB"/>
              </w:rPr>
              <w:t>basketware</w:t>
            </w:r>
            <w:proofErr w:type="spellEnd"/>
            <w:r w:rsidRPr="00A364CB">
              <w:rPr>
                <w:rFonts w:asciiTheme="majorHAnsi" w:eastAsia="Times New Roman" w:hAnsiTheme="majorHAnsi" w:cstheme="majorHAnsi"/>
                <w:color w:val="000000"/>
                <w:sz w:val="14"/>
                <w:szCs w:val="14"/>
                <w:lang w:eastAsia="en-GB"/>
              </w:rPr>
              <w:t xml:space="preserve"> and wickerwork</w:t>
            </w:r>
          </w:p>
        </w:tc>
      </w:tr>
      <w:tr w:rsidR="00230AAA" w:rsidRPr="00C91C87" w14:paraId="69249EA5" w14:textId="77777777" w:rsidTr="001C4EF9">
        <w:tc>
          <w:tcPr>
            <w:tcW w:w="630" w:type="dxa"/>
            <w:tcBorders>
              <w:top w:val="nil"/>
              <w:left w:val="nil"/>
              <w:bottom w:val="nil"/>
              <w:right w:val="nil"/>
            </w:tcBorders>
            <w:shd w:val="clear" w:color="auto" w:fill="auto"/>
            <w:noWrap/>
            <w:hideMark/>
          </w:tcPr>
          <w:p w14:paraId="69249EA3"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10</w:t>
            </w:r>
          </w:p>
        </w:tc>
        <w:tc>
          <w:tcPr>
            <w:tcW w:w="8210" w:type="dxa"/>
            <w:tcBorders>
              <w:top w:val="nil"/>
              <w:left w:val="nil"/>
              <w:bottom w:val="nil"/>
              <w:right w:val="nil"/>
            </w:tcBorders>
            <w:shd w:val="clear" w:color="auto" w:fill="auto"/>
            <w:noWrap/>
            <w:hideMark/>
          </w:tcPr>
          <w:p w14:paraId="69249EA4"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Pulp of wood or of other fibrous cellulosic material; recovered (waste and scrap) paper or paperboard; paper and paperboard and articles thereof </w:t>
            </w:r>
          </w:p>
        </w:tc>
      </w:tr>
      <w:tr w:rsidR="00230AAA" w:rsidRPr="00C91C87" w14:paraId="69249EA8" w14:textId="77777777" w:rsidTr="001C4EF9">
        <w:tc>
          <w:tcPr>
            <w:tcW w:w="630" w:type="dxa"/>
            <w:tcBorders>
              <w:top w:val="nil"/>
              <w:left w:val="nil"/>
              <w:bottom w:val="nil"/>
              <w:right w:val="nil"/>
            </w:tcBorders>
            <w:shd w:val="clear" w:color="auto" w:fill="auto"/>
            <w:noWrap/>
            <w:hideMark/>
          </w:tcPr>
          <w:p w14:paraId="69249EA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11</w:t>
            </w:r>
          </w:p>
        </w:tc>
        <w:tc>
          <w:tcPr>
            <w:tcW w:w="8210" w:type="dxa"/>
            <w:tcBorders>
              <w:top w:val="nil"/>
              <w:left w:val="nil"/>
              <w:bottom w:val="nil"/>
              <w:right w:val="nil"/>
            </w:tcBorders>
            <w:shd w:val="clear" w:color="auto" w:fill="auto"/>
            <w:noWrap/>
            <w:hideMark/>
          </w:tcPr>
          <w:p w14:paraId="69249EA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Textiles and textile articles </w:t>
            </w:r>
          </w:p>
        </w:tc>
      </w:tr>
      <w:tr w:rsidR="00230AAA" w:rsidRPr="00C91C87" w14:paraId="69249EAB" w14:textId="77777777" w:rsidTr="001C4EF9">
        <w:tc>
          <w:tcPr>
            <w:tcW w:w="630" w:type="dxa"/>
            <w:tcBorders>
              <w:top w:val="nil"/>
              <w:left w:val="nil"/>
              <w:bottom w:val="nil"/>
              <w:right w:val="nil"/>
            </w:tcBorders>
            <w:shd w:val="clear" w:color="auto" w:fill="auto"/>
            <w:noWrap/>
            <w:hideMark/>
          </w:tcPr>
          <w:p w14:paraId="69249EA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12</w:t>
            </w:r>
          </w:p>
        </w:tc>
        <w:tc>
          <w:tcPr>
            <w:tcW w:w="8210" w:type="dxa"/>
            <w:tcBorders>
              <w:top w:val="nil"/>
              <w:left w:val="nil"/>
              <w:bottom w:val="nil"/>
              <w:right w:val="nil"/>
            </w:tcBorders>
            <w:shd w:val="clear" w:color="auto" w:fill="auto"/>
            <w:noWrap/>
            <w:hideMark/>
          </w:tcPr>
          <w:p w14:paraId="69249EA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Footwear, headgear, umbrellas, sun umbrellas, walking-sticks, seat-sticks, whips, riding-crops and parts thereof; prepared feathers and articles made therewith; artificial flowers; articles of human hair </w:t>
            </w:r>
          </w:p>
        </w:tc>
      </w:tr>
      <w:tr w:rsidR="00230AAA" w:rsidRPr="00C91C87" w14:paraId="69249EAE" w14:textId="77777777" w:rsidTr="001C4EF9">
        <w:tc>
          <w:tcPr>
            <w:tcW w:w="630" w:type="dxa"/>
            <w:tcBorders>
              <w:top w:val="nil"/>
              <w:left w:val="nil"/>
              <w:bottom w:val="nil"/>
              <w:right w:val="nil"/>
            </w:tcBorders>
            <w:shd w:val="clear" w:color="auto" w:fill="auto"/>
            <w:noWrap/>
            <w:hideMark/>
          </w:tcPr>
          <w:p w14:paraId="69249EA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13</w:t>
            </w:r>
          </w:p>
        </w:tc>
        <w:tc>
          <w:tcPr>
            <w:tcW w:w="8210" w:type="dxa"/>
            <w:tcBorders>
              <w:top w:val="nil"/>
              <w:left w:val="nil"/>
              <w:bottom w:val="nil"/>
              <w:right w:val="nil"/>
            </w:tcBorders>
            <w:shd w:val="clear" w:color="auto" w:fill="auto"/>
            <w:noWrap/>
            <w:hideMark/>
          </w:tcPr>
          <w:p w14:paraId="69249EA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Articles of stone, plaster, cement, asbestos, mica or similar materials; ceramic products; glass and glassware </w:t>
            </w:r>
          </w:p>
        </w:tc>
      </w:tr>
      <w:tr w:rsidR="00230AAA" w:rsidRPr="00C91C87" w14:paraId="69249EB1" w14:textId="77777777" w:rsidTr="001C4EF9">
        <w:tc>
          <w:tcPr>
            <w:tcW w:w="630" w:type="dxa"/>
            <w:tcBorders>
              <w:top w:val="nil"/>
              <w:left w:val="nil"/>
              <w:bottom w:val="nil"/>
              <w:right w:val="nil"/>
            </w:tcBorders>
            <w:shd w:val="clear" w:color="auto" w:fill="auto"/>
            <w:noWrap/>
            <w:hideMark/>
          </w:tcPr>
          <w:p w14:paraId="69249EAF"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14</w:t>
            </w:r>
          </w:p>
        </w:tc>
        <w:tc>
          <w:tcPr>
            <w:tcW w:w="8210" w:type="dxa"/>
            <w:tcBorders>
              <w:top w:val="nil"/>
              <w:left w:val="nil"/>
              <w:bottom w:val="nil"/>
              <w:right w:val="nil"/>
            </w:tcBorders>
            <w:shd w:val="clear" w:color="auto" w:fill="auto"/>
            <w:noWrap/>
            <w:hideMark/>
          </w:tcPr>
          <w:p w14:paraId="69249EB0"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Natural or cultured pearls, precious or semi-precious stones, precious metals, metals clad with precious metal and articles thereof; imitation jewellery; coin thereof; imitation jewellery; coin </w:t>
            </w:r>
          </w:p>
        </w:tc>
      </w:tr>
      <w:tr w:rsidR="00230AAA" w:rsidRPr="00C91C87" w14:paraId="69249EB4" w14:textId="77777777" w:rsidTr="001C4EF9">
        <w:tc>
          <w:tcPr>
            <w:tcW w:w="630" w:type="dxa"/>
            <w:tcBorders>
              <w:top w:val="nil"/>
              <w:left w:val="nil"/>
              <w:bottom w:val="nil"/>
              <w:right w:val="nil"/>
            </w:tcBorders>
            <w:shd w:val="clear" w:color="auto" w:fill="auto"/>
            <w:noWrap/>
            <w:hideMark/>
          </w:tcPr>
          <w:p w14:paraId="69249EB2"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15</w:t>
            </w:r>
          </w:p>
        </w:tc>
        <w:tc>
          <w:tcPr>
            <w:tcW w:w="8210" w:type="dxa"/>
            <w:tcBorders>
              <w:top w:val="nil"/>
              <w:left w:val="nil"/>
              <w:bottom w:val="nil"/>
              <w:right w:val="nil"/>
            </w:tcBorders>
            <w:shd w:val="clear" w:color="auto" w:fill="auto"/>
            <w:noWrap/>
            <w:hideMark/>
          </w:tcPr>
          <w:p w14:paraId="69249EB3"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Base metals and articles of base metal </w:t>
            </w:r>
          </w:p>
        </w:tc>
      </w:tr>
      <w:tr w:rsidR="00230AAA" w:rsidRPr="00C91C87" w14:paraId="69249EB7" w14:textId="77777777" w:rsidTr="001C4EF9">
        <w:tc>
          <w:tcPr>
            <w:tcW w:w="630" w:type="dxa"/>
            <w:tcBorders>
              <w:top w:val="nil"/>
              <w:left w:val="nil"/>
              <w:bottom w:val="nil"/>
              <w:right w:val="nil"/>
            </w:tcBorders>
            <w:shd w:val="clear" w:color="auto" w:fill="auto"/>
            <w:noWrap/>
            <w:hideMark/>
          </w:tcPr>
          <w:p w14:paraId="69249EB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16</w:t>
            </w:r>
          </w:p>
        </w:tc>
        <w:tc>
          <w:tcPr>
            <w:tcW w:w="8210" w:type="dxa"/>
            <w:tcBorders>
              <w:top w:val="nil"/>
              <w:left w:val="nil"/>
              <w:bottom w:val="nil"/>
              <w:right w:val="nil"/>
            </w:tcBorders>
            <w:shd w:val="clear" w:color="auto" w:fill="auto"/>
            <w:noWrap/>
            <w:hideMark/>
          </w:tcPr>
          <w:p w14:paraId="69249EB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Machinery and mechanical appliances; electrical equipment; parts thereof; sound recorders and reproducers, television image and sound recorders and reproducers, and parts and accessories of such articles </w:t>
            </w:r>
          </w:p>
        </w:tc>
      </w:tr>
      <w:tr w:rsidR="00230AAA" w:rsidRPr="00C91C87" w14:paraId="69249EBA" w14:textId="77777777" w:rsidTr="001C4EF9">
        <w:tc>
          <w:tcPr>
            <w:tcW w:w="630" w:type="dxa"/>
            <w:tcBorders>
              <w:top w:val="nil"/>
              <w:left w:val="nil"/>
              <w:bottom w:val="nil"/>
              <w:right w:val="nil"/>
            </w:tcBorders>
            <w:shd w:val="clear" w:color="auto" w:fill="auto"/>
            <w:noWrap/>
            <w:hideMark/>
          </w:tcPr>
          <w:p w14:paraId="69249EB8"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17</w:t>
            </w:r>
          </w:p>
        </w:tc>
        <w:tc>
          <w:tcPr>
            <w:tcW w:w="8210" w:type="dxa"/>
            <w:tcBorders>
              <w:top w:val="nil"/>
              <w:left w:val="nil"/>
              <w:bottom w:val="nil"/>
              <w:right w:val="nil"/>
            </w:tcBorders>
            <w:shd w:val="clear" w:color="auto" w:fill="auto"/>
            <w:noWrap/>
            <w:hideMark/>
          </w:tcPr>
          <w:p w14:paraId="69249EB9"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Vehicles, aircraft, vessels and associated transport equipment </w:t>
            </w:r>
          </w:p>
        </w:tc>
      </w:tr>
      <w:tr w:rsidR="00230AAA" w:rsidRPr="00C91C87" w14:paraId="69249EBD" w14:textId="77777777" w:rsidTr="001C4EF9">
        <w:tc>
          <w:tcPr>
            <w:tcW w:w="630" w:type="dxa"/>
            <w:tcBorders>
              <w:top w:val="nil"/>
              <w:left w:val="nil"/>
              <w:bottom w:val="nil"/>
              <w:right w:val="nil"/>
            </w:tcBorders>
            <w:shd w:val="clear" w:color="auto" w:fill="auto"/>
            <w:noWrap/>
            <w:hideMark/>
          </w:tcPr>
          <w:p w14:paraId="69249EBB"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18</w:t>
            </w:r>
          </w:p>
        </w:tc>
        <w:tc>
          <w:tcPr>
            <w:tcW w:w="8210" w:type="dxa"/>
            <w:tcBorders>
              <w:top w:val="nil"/>
              <w:left w:val="nil"/>
              <w:bottom w:val="nil"/>
              <w:right w:val="nil"/>
            </w:tcBorders>
            <w:shd w:val="clear" w:color="auto" w:fill="auto"/>
            <w:noWrap/>
            <w:hideMark/>
          </w:tcPr>
          <w:p w14:paraId="69249EBC"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Optical, photographic, cinematographic, measuring, checking, precision, medical or surgical instruments and apparatus; clocks and watches; musical instruments; parts and accessories thereof </w:t>
            </w:r>
          </w:p>
        </w:tc>
      </w:tr>
      <w:tr w:rsidR="00230AAA" w:rsidRPr="00C91C87" w14:paraId="69249EC0" w14:textId="77777777" w:rsidTr="001C4EF9">
        <w:tc>
          <w:tcPr>
            <w:tcW w:w="630" w:type="dxa"/>
            <w:tcBorders>
              <w:top w:val="nil"/>
              <w:left w:val="nil"/>
              <w:bottom w:val="nil"/>
              <w:right w:val="nil"/>
            </w:tcBorders>
            <w:shd w:val="clear" w:color="auto" w:fill="auto"/>
            <w:noWrap/>
            <w:hideMark/>
          </w:tcPr>
          <w:p w14:paraId="69249EB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19</w:t>
            </w:r>
          </w:p>
        </w:tc>
        <w:tc>
          <w:tcPr>
            <w:tcW w:w="8210" w:type="dxa"/>
            <w:tcBorders>
              <w:top w:val="nil"/>
              <w:left w:val="nil"/>
              <w:bottom w:val="nil"/>
              <w:right w:val="nil"/>
            </w:tcBorders>
            <w:shd w:val="clear" w:color="auto" w:fill="auto"/>
            <w:noWrap/>
            <w:hideMark/>
          </w:tcPr>
          <w:p w14:paraId="69249EB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Arms and ammunition; parts and accessories thereof </w:t>
            </w:r>
          </w:p>
        </w:tc>
      </w:tr>
      <w:tr w:rsidR="00230AAA" w:rsidRPr="00C91C87" w14:paraId="69249EC3" w14:textId="77777777" w:rsidTr="001C4EF9">
        <w:tc>
          <w:tcPr>
            <w:tcW w:w="630" w:type="dxa"/>
            <w:tcBorders>
              <w:top w:val="nil"/>
              <w:left w:val="nil"/>
              <w:bottom w:val="nil"/>
              <w:right w:val="nil"/>
            </w:tcBorders>
            <w:shd w:val="clear" w:color="auto" w:fill="auto"/>
            <w:noWrap/>
            <w:hideMark/>
          </w:tcPr>
          <w:p w14:paraId="69249EC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20</w:t>
            </w:r>
          </w:p>
        </w:tc>
        <w:tc>
          <w:tcPr>
            <w:tcW w:w="8210" w:type="dxa"/>
            <w:tcBorders>
              <w:top w:val="nil"/>
              <w:left w:val="nil"/>
              <w:bottom w:val="nil"/>
              <w:right w:val="nil"/>
            </w:tcBorders>
            <w:shd w:val="clear" w:color="auto" w:fill="auto"/>
            <w:noWrap/>
            <w:hideMark/>
          </w:tcPr>
          <w:p w14:paraId="69249EC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Miscellaneous manufactured articles </w:t>
            </w:r>
          </w:p>
        </w:tc>
      </w:tr>
      <w:tr w:rsidR="00230AAA" w:rsidRPr="00C91C87" w14:paraId="69249EC6" w14:textId="77777777" w:rsidTr="001C4EF9">
        <w:tc>
          <w:tcPr>
            <w:tcW w:w="630" w:type="dxa"/>
            <w:tcBorders>
              <w:top w:val="nil"/>
              <w:left w:val="nil"/>
              <w:bottom w:val="nil"/>
              <w:right w:val="nil"/>
            </w:tcBorders>
            <w:shd w:val="clear" w:color="auto" w:fill="auto"/>
            <w:noWrap/>
            <w:hideMark/>
          </w:tcPr>
          <w:p w14:paraId="69249EC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21</w:t>
            </w:r>
          </w:p>
        </w:tc>
        <w:tc>
          <w:tcPr>
            <w:tcW w:w="8210" w:type="dxa"/>
            <w:tcBorders>
              <w:top w:val="nil"/>
              <w:left w:val="nil"/>
              <w:bottom w:val="nil"/>
              <w:right w:val="nil"/>
            </w:tcBorders>
            <w:shd w:val="clear" w:color="auto" w:fill="auto"/>
            <w:noWrap/>
            <w:hideMark/>
          </w:tcPr>
          <w:p w14:paraId="69249EC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Works of art, collectors’ pieces and antiques </w:t>
            </w:r>
          </w:p>
        </w:tc>
      </w:tr>
    </w:tbl>
    <w:p w14:paraId="69249EC7" w14:textId="77777777" w:rsidR="008E50D2" w:rsidRDefault="00230AAA" w:rsidP="00230AAA">
      <w:pPr>
        <w:pStyle w:val="Source"/>
      </w:pPr>
      <w:r>
        <w:t xml:space="preserve">Note: </w:t>
      </w:r>
      <w:r w:rsidRPr="00C91C87">
        <w:t xml:space="preserve">Bubble sizes and labels relate to </w:t>
      </w:r>
      <w:r>
        <w:t xml:space="preserve">the </w:t>
      </w:r>
      <w:r w:rsidRPr="00C91C87">
        <w:t>number of HS 6-digit subheads within the Section which were exported</w:t>
      </w:r>
      <w:r>
        <w:br/>
        <w:t xml:space="preserve">Source: Authors’ calculation using data from the UN’s </w:t>
      </w:r>
      <w:proofErr w:type="spellStart"/>
      <w:r>
        <w:t>COMTRADE</w:t>
      </w:r>
      <w:proofErr w:type="spellEnd"/>
      <w:r>
        <w:t xml:space="preserve"> database.</w:t>
      </w:r>
      <w:bookmarkStart w:id="59" w:name="_Toc405451000"/>
      <w:bookmarkStart w:id="60" w:name="_Toc405451564"/>
    </w:p>
    <w:p w14:paraId="69249EC8" w14:textId="77777777" w:rsidR="00230AAA" w:rsidRDefault="00230AAA" w:rsidP="00230AAA">
      <w:pPr>
        <w:pStyle w:val="FigureHeading"/>
        <w:spacing w:before="0"/>
      </w:pPr>
      <w:bookmarkStart w:id="61" w:name="_Toc405466102"/>
      <w:bookmarkStart w:id="62" w:name="_Toc428437714"/>
      <w:r>
        <w:t xml:space="preserve">Change in export share by HS Section, </w:t>
      </w:r>
      <w:r w:rsidR="006D469D">
        <w:t>West Bank &amp; Gaza</w:t>
      </w:r>
      <w:r>
        <w:t xml:space="preserve">, </w:t>
      </w:r>
      <w:r w:rsidR="008E50D2">
        <w:t>2007</w:t>
      </w:r>
      <w:r>
        <w:t>–8 and 2009–</w:t>
      </w:r>
      <w:bookmarkEnd w:id="59"/>
      <w:bookmarkEnd w:id="60"/>
      <w:r w:rsidR="008E50D2">
        <w:t>12</w:t>
      </w:r>
      <w:bookmarkEnd w:id="61"/>
      <w:bookmarkEnd w:id="62"/>
    </w:p>
    <w:p w14:paraId="69249EC9" w14:textId="77777777" w:rsidR="00230AAA" w:rsidRPr="00EE561B" w:rsidRDefault="008E50D2" w:rsidP="00D40056">
      <w:pPr>
        <w:pStyle w:val="BodyText"/>
        <w:spacing w:before="39" w:after="0" w:line="240" w:lineRule="auto"/>
        <w:jc w:val="left"/>
      </w:pPr>
      <w:r>
        <w:rPr>
          <w:noProof/>
          <w:lang w:eastAsia="en-GB"/>
        </w:rPr>
        <w:drawing>
          <wp:inline distT="0" distB="0" distL="0" distR="0" wp14:anchorId="6924A0D6" wp14:editId="6924A0D7">
            <wp:extent cx="4572000" cy="26060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bl>
      <w:tblPr>
        <w:tblW w:w="5000" w:type="pct"/>
        <w:tblLayout w:type="fixed"/>
        <w:tblCellMar>
          <w:left w:w="0" w:type="dxa"/>
          <w:right w:w="0" w:type="dxa"/>
        </w:tblCellMar>
        <w:tblLook w:val="04A0" w:firstRow="1" w:lastRow="0" w:firstColumn="1" w:lastColumn="0" w:noHBand="0" w:noVBand="1"/>
      </w:tblPr>
      <w:tblGrid>
        <w:gridCol w:w="630"/>
        <w:gridCol w:w="8210"/>
      </w:tblGrid>
      <w:tr w:rsidR="00230AAA" w:rsidRPr="00C91C87" w14:paraId="69249ECC" w14:textId="77777777" w:rsidTr="001C4EF9">
        <w:tc>
          <w:tcPr>
            <w:tcW w:w="630" w:type="dxa"/>
            <w:tcBorders>
              <w:top w:val="nil"/>
              <w:left w:val="nil"/>
              <w:bottom w:val="nil"/>
              <w:right w:val="nil"/>
            </w:tcBorders>
            <w:shd w:val="clear" w:color="auto" w:fill="auto"/>
            <w:noWrap/>
          </w:tcPr>
          <w:p w14:paraId="69249ECA" w14:textId="77777777" w:rsidR="00230AAA" w:rsidRPr="00A364CB" w:rsidRDefault="00230AAA" w:rsidP="001C4EF9">
            <w:pPr>
              <w:rPr>
                <w:rFonts w:asciiTheme="majorHAnsi" w:eastAsia="Times New Roman" w:hAnsiTheme="majorHAnsi" w:cstheme="majorHAnsi"/>
                <w:color w:val="000000"/>
                <w:sz w:val="16"/>
                <w:szCs w:val="16"/>
                <w:lang w:eastAsia="en-GB"/>
              </w:rPr>
            </w:pPr>
            <w:r w:rsidRPr="00A364CB">
              <w:rPr>
                <w:rFonts w:asciiTheme="majorHAnsi" w:eastAsia="Times New Roman" w:hAnsiTheme="majorHAnsi" w:cstheme="majorHAnsi"/>
                <w:color w:val="000000"/>
                <w:sz w:val="16"/>
                <w:szCs w:val="16"/>
                <w:lang w:eastAsia="en-GB"/>
              </w:rPr>
              <w:t>Key:</w:t>
            </w:r>
          </w:p>
        </w:tc>
        <w:tc>
          <w:tcPr>
            <w:tcW w:w="8210" w:type="dxa"/>
            <w:tcBorders>
              <w:top w:val="nil"/>
              <w:left w:val="nil"/>
              <w:bottom w:val="nil"/>
              <w:right w:val="nil"/>
            </w:tcBorders>
            <w:shd w:val="clear" w:color="auto" w:fill="auto"/>
            <w:noWrap/>
          </w:tcPr>
          <w:p w14:paraId="69249ECB" w14:textId="77777777" w:rsidR="00230AAA" w:rsidRDefault="00230AAA" w:rsidP="001C4EF9">
            <w:pPr>
              <w:rPr>
                <w:rFonts w:ascii="Calibri" w:eastAsia="Times New Roman" w:hAnsi="Calibri"/>
                <w:color w:val="000000"/>
                <w:sz w:val="16"/>
                <w:szCs w:val="16"/>
                <w:lang w:eastAsia="en-GB"/>
              </w:rPr>
            </w:pPr>
          </w:p>
        </w:tc>
      </w:tr>
      <w:tr w:rsidR="00230AAA" w:rsidRPr="00C91C87" w14:paraId="69249ECF" w14:textId="77777777" w:rsidTr="001C4EF9">
        <w:tc>
          <w:tcPr>
            <w:tcW w:w="630" w:type="dxa"/>
            <w:tcBorders>
              <w:top w:val="nil"/>
              <w:left w:val="nil"/>
              <w:bottom w:val="nil"/>
              <w:right w:val="nil"/>
            </w:tcBorders>
            <w:shd w:val="clear" w:color="auto" w:fill="auto"/>
            <w:noWrap/>
          </w:tcPr>
          <w:p w14:paraId="69249EC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HS Sect.</w:t>
            </w:r>
          </w:p>
        </w:tc>
        <w:tc>
          <w:tcPr>
            <w:tcW w:w="8210" w:type="dxa"/>
            <w:tcBorders>
              <w:top w:val="nil"/>
              <w:left w:val="nil"/>
              <w:bottom w:val="nil"/>
              <w:right w:val="nil"/>
            </w:tcBorders>
            <w:shd w:val="clear" w:color="auto" w:fill="auto"/>
            <w:noWrap/>
          </w:tcPr>
          <w:p w14:paraId="69249EC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Description</w:t>
            </w:r>
          </w:p>
        </w:tc>
      </w:tr>
      <w:tr w:rsidR="00230AAA" w:rsidRPr="00C91C87" w14:paraId="69249ED2" w14:textId="77777777" w:rsidTr="001C4EF9">
        <w:tc>
          <w:tcPr>
            <w:tcW w:w="630" w:type="dxa"/>
            <w:tcBorders>
              <w:top w:val="nil"/>
              <w:left w:val="nil"/>
              <w:bottom w:val="nil"/>
              <w:right w:val="nil"/>
            </w:tcBorders>
            <w:shd w:val="clear" w:color="auto" w:fill="auto"/>
            <w:noWrap/>
            <w:hideMark/>
          </w:tcPr>
          <w:p w14:paraId="69249ED0"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w:t>
            </w:r>
          </w:p>
        </w:tc>
        <w:tc>
          <w:tcPr>
            <w:tcW w:w="8210" w:type="dxa"/>
            <w:tcBorders>
              <w:top w:val="nil"/>
              <w:left w:val="nil"/>
              <w:bottom w:val="nil"/>
              <w:right w:val="nil"/>
            </w:tcBorders>
            <w:shd w:val="clear" w:color="auto" w:fill="auto"/>
            <w:noWrap/>
            <w:hideMark/>
          </w:tcPr>
          <w:p w14:paraId="69249ED1"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Live animals; animal products </w:t>
            </w:r>
          </w:p>
        </w:tc>
      </w:tr>
      <w:tr w:rsidR="00230AAA" w:rsidRPr="00C91C87" w14:paraId="69249ED5" w14:textId="77777777" w:rsidTr="001C4EF9">
        <w:tc>
          <w:tcPr>
            <w:tcW w:w="630" w:type="dxa"/>
            <w:tcBorders>
              <w:top w:val="nil"/>
              <w:left w:val="nil"/>
              <w:bottom w:val="nil"/>
              <w:right w:val="nil"/>
            </w:tcBorders>
            <w:shd w:val="clear" w:color="auto" w:fill="auto"/>
            <w:noWrap/>
            <w:hideMark/>
          </w:tcPr>
          <w:p w14:paraId="69249ED3"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w:t>
            </w:r>
          </w:p>
        </w:tc>
        <w:tc>
          <w:tcPr>
            <w:tcW w:w="8210" w:type="dxa"/>
            <w:tcBorders>
              <w:top w:val="nil"/>
              <w:left w:val="nil"/>
              <w:bottom w:val="nil"/>
              <w:right w:val="nil"/>
            </w:tcBorders>
            <w:shd w:val="clear" w:color="auto" w:fill="auto"/>
            <w:noWrap/>
            <w:hideMark/>
          </w:tcPr>
          <w:p w14:paraId="69249ED4"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Vegetable products</w:t>
            </w:r>
          </w:p>
        </w:tc>
      </w:tr>
      <w:tr w:rsidR="00230AAA" w:rsidRPr="00C91C87" w14:paraId="69249ED8" w14:textId="77777777" w:rsidTr="001C4EF9">
        <w:tc>
          <w:tcPr>
            <w:tcW w:w="630" w:type="dxa"/>
            <w:tcBorders>
              <w:top w:val="nil"/>
              <w:left w:val="nil"/>
              <w:bottom w:val="nil"/>
              <w:right w:val="nil"/>
            </w:tcBorders>
            <w:shd w:val="clear" w:color="auto" w:fill="auto"/>
            <w:noWrap/>
            <w:hideMark/>
          </w:tcPr>
          <w:p w14:paraId="69249ED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3</w:t>
            </w:r>
          </w:p>
        </w:tc>
        <w:tc>
          <w:tcPr>
            <w:tcW w:w="8210" w:type="dxa"/>
            <w:tcBorders>
              <w:top w:val="nil"/>
              <w:left w:val="nil"/>
              <w:bottom w:val="nil"/>
              <w:right w:val="nil"/>
            </w:tcBorders>
            <w:shd w:val="clear" w:color="auto" w:fill="auto"/>
            <w:noWrap/>
            <w:hideMark/>
          </w:tcPr>
          <w:p w14:paraId="69249ED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Animal or vegetable fats and oils and their cleavage products; prepared edible fats; animal or vegetable waxes</w:t>
            </w:r>
          </w:p>
        </w:tc>
      </w:tr>
      <w:tr w:rsidR="00230AAA" w:rsidRPr="00C91C87" w14:paraId="69249EDB" w14:textId="77777777" w:rsidTr="001C4EF9">
        <w:tc>
          <w:tcPr>
            <w:tcW w:w="630" w:type="dxa"/>
            <w:tcBorders>
              <w:top w:val="nil"/>
              <w:left w:val="nil"/>
              <w:bottom w:val="nil"/>
              <w:right w:val="nil"/>
            </w:tcBorders>
            <w:shd w:val="clear" w:color="auto" w:fill="auto"/>
            <w:noWrap/>
            <w:hideMark/>
          </w:tcPr>
          <w:p w14:paraId="69249ED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4</w:t>
            </w:r>
          </w:p>
        </w:tc>
        <w:tc>
          <w:tcPr>
            <w:tcW w:w="8210" w:type="dxa"/>
            <w:tcBorders>
              <w:top w:val="nil"/>
              <w:left w:val="nil"/>
              <w:bottom w:val="nil"/>
              <w:right w:val="nil"/>
            </w:tcBorders>
            <w:shd w:val="clear" w:color="auto" w:fill="auto"/>
            <w:noWrap/>
            <w:hideMark/>
          </w:tcPr>
          <w:p w14:paraId="69249ED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Prepared foodstuffs; beverages, spirits and vinegar; tobacco and manufactured tobacco substitutes </w:t>
            </w:r>
          </w:p>
        </w:tc>
      </w:tr>
      <w:tr w:rsidR="00230AAA" w:rsidRPr="00C91C87" w14:paraId="69249EDE" w14:textId="77777777" w:rsidTr="001C4EF9">
        <w:tc>
          <w:tcPr>
            <w:tcW w:w="630" w:type="dxa"/>
            <w:tcBorders>
              <w:top w:val="nil"/>
              <w:left w:val="nil"/>
              <w:bottom w:val="nil"/>
              <w:right w:val="nil"/>
            </w:tcBorders>
            <w:shd w:val="clear" w:color="auto" w:fill="auto"/>
            <w:noWrap/>
            <w:hideMark/>
          </w:tcPr>
          <w:p w14:paraId="69249ED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5</w:t>
            </w:r>
          </w:p>
        </w:tc>
        <w:tc>
          <w:tcPr>
            <w:tcW w:w="8210" w:type="dxa"/>
            <w:tcBorders>
              <w:top w:val="nil"/>
              <w:left w:val="nil"/>
              <w:bottom w:val="nil"/>
              <w:right w:val="nil"/>
            </w:tcBorders>
            <w:shd w:val="clear" w:color="auto" w:fill="auto"/>
            <w:noWrap/>
            <w:hideMark/>
          </w:tcPr>
          <w:p w14:paraId="69249ED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Mineral products </w:t>
            </w:r>
          </w:p>
        </w:tc>
      </w:tr>
      <w:tr w:rsidR="00230AAA" w:rsidRPr="00C91C87" w14:paraId="69249EE1" w14:textId="77777777" w:rsidTr="001C4EF9">
        <w:tc>
          <w:tcPr>
            <w:tcW w:w="630" w:type="dxa"/>
            <w:tcBorders>
              <w:top w:val="nil"/>
              <w:left w:val="nil"/>
              <w:bottom w:val="nil"/>
              <w:right w:val="nil"/>
            </w:tcBorders>
            <w:shd w:val="clear" w:color="auto" w:fill="auto"/>
            <w:noWrap/>
            <w:hideMark/>
          </w:tcPr>
          <w:p w14:paraId="69249EDF"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6</w:t>
            </w:r>
          </w:p>
        </w:tc>
        <w:tc>
          <w:tcPr>
            <w:tcW w:w="8210" w:type="dxa"/>
            <w:tcBorders>
              <w:top w:val="nil"/>
              <w:left w:val="nil"/>
              <w:bottom w:val="nil"/>
              <w:right w:val="nil"/>
            </w:tcBorders>
            <w:shd w:val="clear" w:color="auto" w:fill="auto"/>
            <w:noWrap/>
            <w:hideMark/>
          </w:tcPr>
          <w:p w14:paraId="69249EE0"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Products of the chemical or allied industries </w:t>
            </w:r>
          </w:p>
        </w:tc>
      </w:tr>
      <w:tr w:rsidR="00230AAA" w:rsidRPr="00C91C87" w14:paraId="69249EE4" w14:textId="77777777" w:rsidTr="001C4EF9">
        <w:tc>
          <w:tcPr>
            <w:tcW w:w="630" w:type="dxa"/>
            <w:tcBorders>
              <w:top w:val="nil"/>
              <w:left w:val="nil"/>
              <w:bottom w:val="nil"/>
              <w:right w:val="nil"/>
            </w:tcBorders>
            <w:shd w:val="clear" w:color="auto" w:fill="auto"/>
            <w:noWrap/>
            <w:hideMark/>
          </w:tcPr>
          <w:p w14:paraId="69249EE2"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7</w:t>
            </w:r>
          </w:p>
        </w:tc>
        <w:tc>
          <w:tcPr>
            <w:tcW w:w="8210" w:type="dxa"/>
            <w:tcBorders>
              <w:top w:val="nil"/>
              <w:left w:val="nil"/>
              <w:bottom w:val="nil"/>
              <w:right w:val="nil"/>
            </w:tcBorders>
            <w:shd w:val="clear" w:color="auto" w:fill="auto"/>
            <w:noWrap/>
            <w:hideMark/>
          </w:tcPr>
          <w:p w14:paraId="69249EE3"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Plastics and articles thereof; rubber and articles thereof </w:t>
            </w:r>
          </w:p>
        </w:tc>
      </w:tr>
      <w:tr w:rsidR="00230AAA" w:rsidRPr="00C91C87" w14:paraId="69249EE7" w14:textId="77777777" w:rsidTr="001C4EF9">
        <w:tc>
          <w:tcPr>
            <w:tcW w:w="630" w:type="dxa"/>
            <w:tcBorders>
              <w:top w:val="nil"/>
              <w:left w:val="nil"/>
              <w:bottom w:val="nil"/>
              <w:right w:val="nil"/>
            </w:tcBorders>
            <w:shd w:val="clear" w:color="auto" w:fill="auto"/>
            <w:noWrap/>
            <w:hideMark/>
          </w:tcPr>
          <w:p w14:paraId="69249EE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8</w:t>
            </w:r>
          </w:p>
        </w:tc>
        <w:tc>
          <w:tcPr>
            <w:tcW w:w="8210" w:type="dxa"/>
            <w:tcBorders>
              <w:top w:val="nil"/>
              <w:left w:val="nil"/>
              <w:bottom w:val="nil"/>
              <w:right w:val="nil"/>
            </w:tcBorders>
            <w:shd w:val="clear" w:color="auto" w:fill="auto"/>
            <w:noWrap/>
            <w:hideMark/>
          </w:tcPr>
          <w:p w14:paraId="69249EE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Raw hides and skins, leather, furskins and articles thereof; saddlery and harness; travel goods, handbags and similar containers; articles of animal gut (other than silk-worm gut) </w:t>
            </w:r>
          </w:p>
        </w:tc>
      </w:tr>
      <w:tr w:rsidR="00230AAA" w:rsidRPr="00C91C87" w14:paraId="69249EEA" w14:textId="77777777" w:rsidTr="001C4EF9">
        <w:tc>
          <w:tcPr>
            <w:tcW w:w="630" w:type="dxa"/>
            <w:tcBorders>
              <w:top w:val="nil"/>
              <w:left w:val="nil"/>
              <w:bottom w:val="nil"/>
              <w:right w:val="nil"/>
            </w:tcBorders>
            <w:shd w:val="clear" w:color="auto" w:fill="auto"/>
            <w:noWrap/>
            <w:hideMark/>
          </w:tcPr>
          <w:p w14:paraId="69249EE8"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9</w:t>
            </w:r>
          </w:p>
        </w:tc>
        <w:tc>
          <w:tcPr>
            <w:tcW w:w="8210" w:type="dxa"/>
            <w:tcBorders>
              <w:top w:val="nil"/>
              <w:left w:val="nil"/>
              <w:bottom w:val="nil"/>
              <w:right w:val="nil"/>
            </w:tcBorders>
            <w:shd w:val="clear" w:color="auto" w:fill="auto"/>
            <w:noWrap/>
            <w:hideMark/>
          </w:tcPr>
          <w:p w14:paraId="69249EE9"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 xml:space="preserve">Wood and articles of wood; wood charcoal; cork and articles of cork; manufactures of straw, of esparto or of other plaiting materials; </w:t>
            </w:r>
            <w:proofErr w:type="spellStart"/>
            <w:r w:rsidRPr="00A364CB">
              <w:rPr>
                <w:rFonts w:asciiTheme="majorHAnsi" w:eastAsia="Times New Roman" w:hAnsiTheme="majorHAnsi" w:cstheme="majorHAnsi"/>
                <w:color w:val="000000"/>
                <w:sz w:val="14"/>
                <w:szCs w:val="14"/>
                <w:lang w:eastAsia="en-GB"/>
              </w:rPr>
              <w:t>basketware</w:t>
            </w:r>
            <w:proofErr w:type="spellEnd"/>
            <w:r w:rsidRPr="00A364CB">
              <w:rPr>
                <w:rFonts w:asciiTheme="majorHAnsi" w:eastAsia="Times New Roman" w:hAnsiTheme="majorHAnsi" w:cstheme="majorHAnsi"/>
                <w:color w:val="000000"/>
                <w:sz w:val="14"/>
                <w:szCs w:val="14"/>
                <w:lang w:eastAsia="en-GB"/>
              </w:rPr>
              <w:t xml:space="preserve"> and wickerwork</w:t>
            </w:r>
          </w:p>
        </w:tc>
      </w:tr>
      <w:tr w:rsidR="00230AAA" w:rsidRPr="00C91C87" w14:paraId="69249EED" w14:textId="77777777" w:rsidTr="001C4EF9">
        <w:tc>
          <w:tcPr>
            <w:tcW w:w="630" w:type="dxa"/>
            <w:tcBorders>
              <w:top w:val="nil"/>
              <w:left w:val="nil"/>
              <w:bottom w:val="nil"/>
              <w:right w:val="nil"/>
            </w:tcBorders>
            <w:shd w:val="clear" w:color="auto" w:fill="auto"/>
            <w:noWrap/>
            <w:hideMark/>
          </w:tcPr>
          <w:p w14:paraId="69249EEB"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10</w:t>
            </w:r>
          </w:p>
        </w:tc>
        <w:tc>
          <w:tcPr>
            <w:tcW w:w="8210" w:type="dxa"/>
            <w:tcBorders>
              <w:top w:val="nil"/>
              <w:left w:val="nil"/>
              <w:bottom w:val="nil"/>
              <w:right w:val="nil"/>
            </w:tcBorders>
            <w:shd w:val="clear" w:color="auto" w:fill="auto"/>
            <w:noWrap/>
            <w:hideMark/>
          </w:tcPr>
          <w:p w14:paraId="69249EEC"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Pulp of wood or of other fibrous cellulosic material; recovered (waste and scrap) paper or paperboard; paper and paperboard and articles thereof </w:t>
            </w:r>
          </w:p>
        </w:tc>
      </w:tr>
      <w:tr w:rsidR="00230AAA" w:rsidRPr="00C91C87" w14:paraId="69249EF0" w14:textId="77777777" w:rsidTr="001C4EF9">
        <w:tc>
          <w:tcPr>
            <w:tcW w:w="630" w:type="dxa"/>
            <w:tcBorders>
              <w:top w:val="nil"/>
              <w:left w:val="nil"/>
              <w:bottom w:val="nil"/>
              <w:right w:val="nil"/>
            </w:tcBorders>
            <w:shd w:val="clear" w:color="auto" w:fill="auto"/>
            <w:noWrap/>
            <w:hideMark/>
          </w:tcPr>
          <w:p w14:paraId="69249EE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11</w:t>
            </w:r>
          </w:p>
        </w:tc>
        <w:tc>
          <w:tcPr>
            <w:tcW w:w="8210" w:type="dxa"/>
            <w:tcBorders>
              <w:top w:val="nil"/>
              <w:left w:val="nil"/>
              <w:bottom w:val="nil"/>
              <w:right w:val="nil"/>
            </w:tcBorders>
            <w:shd w:val="clear" w:color="auto" w:fill="auto"/>
            <w:noWrap/>
            <w:hideMark/>
          </w:tcPr>
          <w:p w14:paraId="69249EE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Textiles and textile articles </w:t>
            </w:r>
          </w:p>
        </w:tc>
      </w:tr>
      <w:tr w:rsidR="00230AAA" w:rsidRPr="00C91C87" w14:paraId="69249EF3" w14:textId="77777777" w:rsidTr="001C4EF9">
        <w:tc>
          <w:tcPr>
            <w:tcW w:w="630" w:type="dxa"/>
            <w:tcBorders>
              <w:top w:val="nil"/>
              <w:left w:val="nil"/>
              <w:bottom w:val="nil"/>
              <w:right w:val="nil"/>
            </w:tcBorders>
            <w:shd w:val="clear" w:color="auto" w:fill="auto"/>
            <w:noWrap/>
            <w:hideMark/>
          </w:tcPr>
          <w:p w14:paraId="69249EF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12</w:t>
            </w:r>
          </w:p>
        </w:tc>
        <w:tc>
          <w:tcPr>
            <w:tcW w:w="8210" w:type="dxa"/>
            <w:tcBorders>
              <w:top w:val="nil"/>
              <w:left w:val="nil"/>
              <w:bottom w:val="nil"/>
              <w:right w:val="nil"/>
            </w:tcBorders>
            <w:shd w:val="clear" w:color="auto" w:fill="auto"/>
            <w:noWrap/>
            <w:hideMark/>
          </w:tcPr>
          <w:p w14:paraId="69249EF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Footwear, headgear, umbrellas, sun umbrellas, walking-sticks, seat-sticks, whips, riding-crops and parts thereof; prepared feathers and articles made therewith; artificial flowers; articles of human hair </w:t>
            </w:r>
          </w:p>
        </w:tc>
      </w:tr>
      <w:tr w:rsidR="00230AAA" w:rsidRPr="00C91C87" w14:paraId="69249EF6" w14:textId="77777777" w:rsidTr="001C4EF9">
        <w:tc>
          <w:tcPr>
            <w:tcW w:w="630" w:type="dxa"/>
            <w:tcBorders>
              <w:top w:val="nil"/>
              <w:left w:val="nil"/>
              <w:bottom w:val="nil"/>
              <w:right w:val="nil"/>
            </w:tcBorders>
            <w:shd w:val="clear" w:color="auto" w:fill="auto"/>
            <w:noWrap/>
            <w:hideMark/>
          </w:tcPr>
          <w:p w14:paraId="69249EF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13</w:t>
            </w:r>
          </w:p>
        </w:tc>
        <w:tc>
          <w:tcPr>
            <w:tcW w:w="8210" w:type="dxa"/>
            <w:tcBorders>
              <w:top w:val="nil"/>
              <w:left w:val="nil"/>
              <w:bottom w:val="nil"/>
              <w:right w:val="nil"/>
            </w:tcBorders>
            <w:shd w:val="clear" w:color="auto" w:fill="auto"/>
            <w:noWrap/>
            <w:hideMark/>
          </w:tcPr>
          <w:p w14:paraId="69249EF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Articles of stone, plaster, cement, asbestos, mica or similar materials; ceramic products; glass and glassware </w:t>
            </w:r>
          </w:p>
        </w:tc>
      </w:tr>
      <w:tr w:rsidR="00230AAA" w:rsidRPr="00C91C87" w14:paraId="69249EF9" w14:textId="77777777" w:rsidTr="001C4EF9">
        <w:tc>
          <w:tcPr>
            <w:tcW w:w="630" w:type="dxa"/>
            <w:tcBorders>
              <w:top w:val="nil"/>
              <w:left w:val="nil"/>
              <w:bottom w:val="nil"/>
              <w:right w:val="nil"/>
            </w:tcBorders>
            <w:shd w:val="clear" w:color="auto" w:fill="auto"/>
            <w:noWrap/>
            <w:hideMark/>
          </w:tcPr>
          <w:p w14:paraId="69249EF7"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14</w:t>
            </w:r>
          </w:p>
        </w:tc>
        <w:tc>
          <w:tcPr>
            <w:tcW w:w="8210" w:type="dxa"/>
            <w:tcBorders>
              <w:top w:val="nil"/>
              <w:left w:val="nil"/>
              <w:bottom w:val="nil"/>
              <w:right w:val="nil"/>
            </w:tcBorders>
            <w:shd w:val="clear" w:color="auto" w:fill="auto"/>
            <w:noWrap/>
            <w:hideMark/>
          </w:tcPr>
          <w:p w14:paraId="69249EF8"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Natural or cultured pearls, precious or semi-precious stones, precious metals, metals clad with precious metal and articles thereof; imitation jewellery; coin thereof; imitation jewellery; coin </w:t>
            </w:r>
          </w:p>
        </w:tc>
      </w:tr>
      <w:tr w:rsidR="00230AAA" w:rsidRPr="00C91C87" w14:paraId="69249EFC" w14:textId="77777777" w:rsidTr="001C4EF9">
        <w:tc>
          <w:tcPr>
            <w:tcW w:w="630" w:type="dxa"/>
            <w:tcBorders>
              <w:top w:val="nil"/>
              <w:left w:val="nil"/>
              <w:bottom w:val="nil"/>
              <w:right w:val="nil"/>
            </w:tcBorders>
            <w:shd w:val="clear" w:color="auto" w:fill="auto"/>
            <w:noWrap/>
            <w:hideMark/>
          </w:tcPr>
          <w:p w14:paraId="69249EFA"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15</w:t>
            </w:r>
          </w:p>
        </w:tc>
        <w:tc>
          <w:tcPr>
            <w:tcW w:w="8210" w:type="dxa"/>
            <w:tcBorders>
              <w:top w:val="nil"/>
              <w:left w:val="nil"/>
              <w:bottom w:val="nil"/>
              <w:right w:val="nil"/>
            </w:tcBorders>
            <w:shd w:val="clear" w:color="auto" w:fill="auto"/>
            <w:noWrap/>
            <w:hideMark/>
          </w:tcPr>
          <w:p w14:paraId="69249EFB"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Base metals and articles of base metal </w:t>
            </w:r>
          </w:p>
        </w:tc>
      </w:tr>
      <w:tr w:rsidR="00230AAA" w:rsidRPr="00C91C87" w14:paraId="69249EFF" w14:textId="77777777" w:rsidTr="001C4EF9">
        <w:tc>
          <w:tcPr>
            <w:tcW w:w="630" w:type="dxa"/>
            <w:tcBorders>
              <w:top w:val="nil"/>
              <w:left w:val="nil"/>
              <w:bottom w:val="nil"/>
              <w:right w:val="nil"/>
            </w:tcBorders>
            <w:shd w:val="clear" w:color="auto" w:fill="auto"/>
            <w:noWrap/>
            <w:hideMark/>
          </w:tcPr>
          <w:p w14:paraId="69249EF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16</w:t>
            </w:r>
          </w:p>
        </w:tc>
        <w:tc>
          <w:tcPr>
            <w:tcW w:w="8210" w:type="dxa"/>
            <w:tcBorders>
              <w:top w:val="nil"/>
              <w:left w:val="nil"/>
              <w:bottom w:val="nil"/>
              <w:right w:val="nil"/>
            </w:tcBorders>
            <w:shd w:val="clear" w:color="auto" w:fill="auto"/>
            <w:noWrap/>
            <w:hideMark/>
          </w:tcPr>
          <w:p w14:paraId="69249EF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Machinery and mechanical appliances; electrical equipment; parts thereof; sound recorders and reproducers, television image and sound recorders and reproducers, and parts and accessories of such articles </w:t>
            </w:r>
          </w:p>
        </w:tc>
      </w:tr>
      <w:tr w:rsidR="00230AAA" w:rsidRPr="00C91C87" w14:paraId="69249F02" w14:textId="77777777" w:rsidTr="001C4EF9">
        <w:tc>
          <w:tcPr>
            <w:tcW w:w="630" w:type="dxa"/>
            <w:tcBorders>
              <w:top w:val="nil"/>
              <w:left w:val="nil"/>
              <w:bottom w:val="nil"/>
              <w:right w:val="nil"/>
            </w:tcBorders>
            <w:shd w:val="clear" w:color="auto" w:fill="auto"/>
            <w:noWrap/>
            <w:hideMark/>
          </w:tcPr>
          <w:p w14:paraId="69249F00"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17</w:t>
            </w:r>
          </w:p>
        </w:tc>
        <w:tc>
          <w:tcPr>
            <w:tcW w:w="8210" w:type="dxa"/>
            <w:tcBorders>
              <w:top w:val="nil"/>
              <w:left w:val="nil"/>
              <w:bottom w:val="nil"/>
              <w:right w:val="nil"/>
            </w:tcBorders>
            <w:shd w:val="clear" w:color="auto" w:fill="auto"/>
            <w:noWrap/>
            <w:hideMark/>
          </w:tcPr>
          <w:p w14:paraId="69249F01"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Vehicles, aircraft, vessels and associated transport equipment </w:t>
            </w:r>
          </w:p>
        </w:tc>
      </w:tr>
      <w:tr w:rsidR="00230AAA" w:rsidRPr="00C91C87" w14:paraId="69249F05" w14:textId="77777777" w:rsidTr="001C4EF9">
        <w:tc>
          <w:tcPr>
            <w:tcW w:w="630" w:type="dxa"/>
            <w:tcBorders>
              <w:top w:val="nil"/>
              <w:left w:val="nil"/>
              <w:bottom w:val="nil"/>
              <w:right w:val="nil"/>
            </w:tcBorders>
            <w:shd w:val="clear" w:color="auto" w:fill="auto"/>
            <w:noWrap/>
            <w:hideMark/>
          </w:tcPr>
          <w:p w14:paraId="69249F03"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18</w:t>
            </w:r>
          </w:p>
        </w:tc>
        <w:tc>
          <w:tcPr>
            <w:tcW w:w="8210" w:type="dxa"/>
            <w:tcBorders>
              <w:top w:val="nil"/>
              <w:left w:val="nil"/>
              <w:bottom w:val="nil"/>
              <w:right w:val="nil"/>
            </w:tcBorders>
            <w:shd w:val="clear" w:color="auto" w:fill="auto"/>
            <w:noWrap/>
            <w:hideMark/>
          </w:tcPr>
          <w:p w14:paraId="69249F04"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Optical, photographic, cinematographic, measuring, checking, precision, medical or surgical instruments and apparatus; clocks and watches; musical instruments; parts and accessories thereof </w:t>
            </w:r>
          </w:p>
        </w:tc>
      </w:tr>
      <w:tr w:rsidR="00230AAA" w:rsidRPr="00C91C87" w14:paraId="69249F08" w14:textId="77777777" w:rsidTr="001C4EF9">
        <w:tc>
          <w:tcPr>
            <w:tcW w:w="630" w:type="dxa"/>
            <w:tcBorders>
              <w:top w:val="nil"/>
              <w:left w:val="nil"/>
              <w:bottom w:val="nil"/>
              <w:right w:val="nil"/>
            </w:tcBorders>
            <w:shd w:val="clear" w:color="auto" w:fill="auto"/>
            <w:noWrap/>
            <w:hideMark/>
          </w:tcPr>
          <w:p w14:paraId="69249F0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19</w:t>
            </w:r>
          </w:p>
        </w:tc>
        <w:tc>
          <w:tcPr>
            <w:tcW w:w="8210" w:type="dxa"/>
            <w:tcBorders>
              <w:top w:val="nil"/>
              <w:left w:val="nil"/>
              <w:bottom w:val="nil"/>
              <w:right w:val="nil"/>
            </w:tcBorders>
            <w:shd w:val="clear" w:color="auto" w:fill="auto"/>
            <w:noWrap/>
            <w:hideMark/>
          </w:tcPr>
          <w:p w14:paraId="69249F0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Arms and ammunition; parts and accessories thereof </w:t>
            </w:r>
          </w:p>
        </w:tc>
      </w:tr>
      <w:tr w:rsidR="00230AAA" w:rsidRPr="00C91C87" w14:paraId="69249F0B" w14:textId="77777777" w:rsidTr="001C4EF9">
        <w:tc>
          <w:tcPr>
            <w:tcW w:w="630" w:type="dxa"/>
            <w:tcBorders>
              <w:top w:val="nil"/>
              <w:left w:val="nil"/>
              <w:bottom w:val="nil"/>
              <w:right w:val="nil"/>
            </w:tcBorders>
            <w:shd w:val="clear" w:color="auto" w:fill="auto"/>
            <w:noWrap/>
            <w:hideMark/>
          </w:tcPr>
          <w:p w14:paraId="69249F0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20</w:t>
            </w:r>
          </w:p>
        </w:tc>
        <w:tc>
          <w:tcPr>
            <w:tcW w:w="8210" w:type="dxa"/>
            <w:tcBorders>
              <w:top w:val="nil"/>
              <w:left w:val="nil"/>
              <w:bottom w:val="nil"/>
              <w:right w:val="nil"/>
            </w:tcBorders>
            <w:shd w:val="clear" w:color="auto" w:fill="auto"/>
            <w:noWrap/>
            <w:hideMark/>
          </w:tcPr>
          <w:p w14:paraId="69249F0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Miscellaneous manufactured articles </w:t>
            </w:r>
          </w:p>
        </w:tc>
      </w:tr>
      <w:tr w:rsidR="00230AAA" w:rsidRPr="00C91C87" w14:paraId="69249F0E" w14:textId="77777777" w:rsidTr="001C4EF9">
        <w:tc>
          <w:tcPr>
            <w:tcW w:w="630" w:type="dxa"/>
            <w:tcBorders>
              <w:top w:val="nil"/>
              <w:left w:val="nil"/>
              <w:bottom w:val="nil"/>
              <w:right w:val="nil"/>
            </w:tcBorders>
            <w:shd w:val="clear" w:color="auto" w:fill="auto"/>
            <w:noWrap/>
            <w:hideMark/>
          </w:tcPr>
          <w:p w14:paraId="69249F0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21</w:t>
            </w:r>
          </w:p>
        </w:tc>
        <w:tc>
          <w:tcPr>
            <w:tcW w:w="8210" w:type="dxa"/>
            <w:tcBorders>
              <w:top w:val="nil"/>
              <w:left w:val="nil"/>
              <w:bottom w:val="nil"/>
              <w:right w:val="nil"/>
            </w:tcBorders>
            <w:shd w:val="clear" w:color="auto" w:fill="auto"/>
            <w:noWrap/>
            <w:hideMark/>
          </w:tcPr>
          <w:p w14:paraId="69249F0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Works of art, collectors’ pieces and antiques </w:t>
            </w:r>
          </w:p>
        </w:tc>
      </w:tr>
    </w:tbl>
    <w:p w14:paraId="69249F0F" w14:textId="77777777" w:rsidR="00230AAA" w:rsidRDefault="00230AAA" w:rsidP="00230AAA">
      <w:pPr>
        <w:pStyle w:val="Source"/>
      </w:pPr>
      <w:r>
        <w:t xml:space="preserve">Source: Authors’ calculation using data from the UN’s </w:t>
      </w:r>
      <w:proofErr w:type="spellStart"/>
      <w:r>
        <w:t>COMTRADE</w:t>
      </w:r>
      <w:proofErr w:type="spellEnd"/>
      <w:r>
        <w:t xml:space="preserve"> database.</w:t>
      </w:r>
    </w:p>
    <w:p w14:paraId="69249F10" w14:textId="77777777" w:rsidR="00230AAA" w:rsidRPr="00092E42" w:rsidRDefault="00230AAA" w:rsidP="00230AAA"/>
    <w:p w14:paraId="69249F11" w14:textId="77777777" w:rsidR="00230AAA" w:rsidRDefault="00230AAA" w:rsidP="00230AAA">
      <w:pPr>
        <w:rPr>
          <w:rFonts w:ascii="Arial" w:hAnsi="Arial"/>
          <w:b/>
          <w:iCs/>
          <w:color w:val="006C67" w:themeColor="accent1"/>
          <w:sz w:val="24"/>
          <w:szCs w:val="18"/>
        </w:rPr>
      </w:pPr>
      <w:r>
        <w:br w:type="page"/>
      </w:r>
    </w:p>
    <w:p w14:paraId="69249F12" w14:textId="77777777" w:rsidR="00230AAA" w:rsidRDefault="00230AAA" w:rsidP="00230AAA">
      <w:pPr>
        <w:pStyle w:val="FigureHeading"/>
        <w:spacing w:before="0"/>
      </w:pPr>
      <w:bookmarkStart w:id="63" w:name="_Toc405451003"/>
      <w:bookmarkStart w:id="64" w:name="_Toc405451567"/>
      <w:bookmarkStart w:id="65" w:name="_Toc405466105"/>
      <w:bookmarkStart w:id="66" w:name="_Toc428437715"/>
      <w:r>
        <w:t xml:space="preserve">Top export products, </w:t>
      </w:r>
      <w:r w:rsidR="006D469D">
        <w:t>West Bank &amp; Gaza</w:t>
      </w:r>
      <w:r>
        <w:t xml:space="preserve"> (average </w:t>
      </w:r>
      <w:r w:rsidR="008E50D2">
        <w:t>2010–12</w:t>
      </w:r>
      <w:r>
        <w:t>)</w:t>
      </w:r>
      <w:bookmarkEnd w:id="63"/>
      <w:bookmarkEnd w:id="64"/>
      <w:bookmarkEnd w:id="65"/>
      <w:bookmarkEnd w:id="66"/>
    </w:p>
    <w:p w14:paraId="69249F13" w14:textId="77777777" w:rsidR="009E6C20" w:rsidRPr="009E6C20" w:rsidRDefault="009E6C20" w:rsidP="009E6C20">
      <w:pPr>
        <w:pStyle w:val="BodyText"/>
      </w:pPr>
      <w:r>
        <w:rPr>
          <w:noProof/>
          <w:lang w:eastAsia="en-GB"/>
        </w:rPr>
        <w:drawing>
          <wp:inline distT="0" distB="0" distL="0" distR="0" wp14:anchorId="6924A0D8" wp14:editId="6924A0D9">
            <wp:extent cx="4773010" cy="24003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1">
                      <a:extLst>
                        <a:ext uri="{28A0092B-C50C-407E-A947-70E740481C1C}">
                          <a14:useLocalDpi xmlns:a14="http://schemas.microsoft.com/office/drawing/2010/main" val="0"/>
                        </a:ext>
                      </a:extLst>
                    </a:blip>
                    <a:srcRect l="11325" t="6805"/>
                    <a:stretch/>
                  </pic:blipFill>
                  <pic:spPr bwMode="auto">
                    <a:xfrm>
                      <a:off x="0" y="0"/>
                      <a:ext cx="4778894" cy="2403259"/>
                    </a:xfrm>
                    <a:prstGeom prst="rect">
                      <a:avLst/>
                    </a:prstGeom>
                    <a:noFill/>
                    <a:ln>
                      <a:noFill/>
                    </a:ln>
                    <a:extLst>
                      <a:ext uri="{53640926-AAD7-44D8-BBD7-CCE9431645EC}">
                        <a14:shadowObscured xmlns:a14="http://schemas.microsoft.com/office/drawing/2010/main"/>
                      </a:ext>
                    </a:extLst>
                  </pic:spPr>
                </pic:pic>
              </a:graphicData>
            </a:graphic>
          </wp:inline>
        </w:drawing>
      </w:r>
    </w:p>
    <w:p w14:paraId="69249F14" w14:textId="77777777" w:rsidR="00230AAA" w:rsidRDefault="00230AAA" w:rsidP="00230AAA">
      <w:pPr>
        <w:pStyle w:val="Source"/>
      </w:pPr>
      <w:r>
        <w:t>Note: At Harmonised System 6-digit level.</w:t>
      </w:r>
      <w:r>
        <w:br/>
        <w:t xml:space="preserve">Source: Authors’ calculations using data from UN </w:t>
      </w:r>
      <w:proofErr w:type="spellStart"/>
      <w:r>
        <w:t>COMTRADE</w:t>
      </w:r>
      <w:proofErr w:type="spellEnd"/>
      <w:r>
        <w:t xml:space="preserve"> database.</w:t>
      </w:r>
    </w:p>
    <w:p w14:paraId="69249F15" w14:textId="77777777" w:rsidR="009A2E9A" w:rsidRDefault="009A2E9A" w:rsidP="00230AAA">
      <w:pPr>
        <w:pStyle w:val="Source"/>
      </w:pPr>
    </w:p>
    <w:p w14:paraId="69249F16" w14:textId="77777777" w:rsidR="00230AAA" w:rsidRDefault="00230AAA" w:rsidP="00230AAA">
      <w:pPr>
        <w:pStyle w:val="FigureHeading"/>
        <w:spacing w:before="0"/>
      </w:pPr>
      <w:bookmarkStart w:id="67" w:name="_Toc405451004"/>
      <w:bookmarkStart w:id="68" w:name="_Toc405451568"/>
      <w:bookmarkStart w:id="69" w:name="_Toc405466106"/>
      <w:bookmarkStart w:id="70" w:name="_Toc428437716"/>
      <w:r>
        <w:t xml:space="preserve">Top export markets, </w:t>
      </w:r>
      <w:r w:rsidR="006D469D">
        <w:t>West Bank &amp; Gaza</w:t>
      </w:r>
      <w:r>
        <w:t xml:space="preserve"> (average </w:t>
      </w:r>
      <w:r w:rsidR="008E50D2">
        <w:t>2010–12</w:t>
      </w:r>
      <w:r>
        <w:t>)</w:t>
      </w:r>
      <w:bookmarkEnd w:id="67"/>
      <w:bookmarkEnd w:id="68"/>
      <w:bookmarkEnd w:id="69"/>
      <w:bookmarkEnd w:id="70"/>
    </w:p>
    <w:p w14:paraId="69249F17" w14:textId="77777777" w:rsidR="009E6C20" w:rsidRPr="009E6C20" w:rsidRDefault="009E6C20" w:rsidP="009E6C20">
      <w:pPr>
        <w:pStyle w:val="BodyText"/>
        <w:spacing w:before="39" w:after="0" w:line="240" w:lineRule="auto"/>
        <w:jc w:val="left"/>
      </w:pPr>
      <w:r>
        <w:rPr>
          <w:noProof/>
          <w:lang w:eastAsia="en-GB"/>
        </w:rPr>
        <w:drawing>
          <wp:inline distT="0" distB="0" distL="0" distR="0" wp14:anchorId="6924A0DA" wp14:editId="6924A0DB">
            <wp:extent cx="4826349" cy="24155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2">
                      <a:extLst>
                        <a:ext uri="{28A0092B-C50C-407E-A947-70E740481C1C}">
                          <a14:useLocalDpi xmlns:a14="http://schemas.microsoft.com/office/drawing/2010/main" val="0"/>
                        </a:ext>
                      </a:extLst>
                    </a:blip>
                    <a:srcRect l="10334" b="6213"/>
                    <a:stretch/>
                  </pic:blipFill>
                  <pic:spPr bwMode="auto">
                    <a:xfrm>
                      <a:off x="0" y="0"/>
                      <a:ext cx="4832299" cy="2418518"/>
                    </a:xfrm>
                    <a:prstGeom prst="rect">
                      <a:avLst/>
                    </a:prstGeom>
                    <a:noFill/>
                    <a:ln>
                      <a:noFill/>
                    </a:ln>
                    <a:extLst>
                      <a:ext uri="{53640926-AAD7-44D8-BBD7-CCE9431645EC}">
                        <a14:shadowObscured xmlns:a14="http://schemas.microsoft.com/office/drawing/2010/main"/>
                      </a:ext>
                    </a:extLst>
                  </pic:spPr>
                </pic:pic>
              </a:graphicData>
            </a:graphic>
          </wp:inline>
        </w:drawing>
      </w:r>
    </w:p>
    <w:p w14:paraId="69249F18" w14:textId="77777777" w:rsidR="00230AAA" w:rsidRDefault="00230AAA" w:rsidP="00230AAA">
      <w:pPr>
        <w:pStyle w:val="Source"/>
        <w:rPr>
          <w:b/>
          <w:color w:val="006C67" w:themeColor="accent1"/>
          <w:sz w:val="24"/>
        </w:rPr>
      </w:pPr>
      <w:r>
        <w:t xml:space="preserve">Source: Authors’ calculations using data from UN </w:t>
      </w:r>
      <w:proofErr w:type="spellStart"/>
      <w:r>
        <w:t>COMTRADE</w:t>
      </w:r>
      <w:proofErr w:type="spellEnd"/>
      <w:r>
        <w:t xml:space="preserve"> database.</w:t>
      </w:r>
      <w:bookmarkStart w:id="71" w:name="_Toc405451005"/>
      <w:bookmarkStart w:id="72" w:name="_Toc405451569"/>
      <w:r>
        <w:br w:type="page"/>
      </w:r>
    </w:p>
    <w:p w14:paraId="69249F19" w14:textId="77777777" w:rsidR="00230AAA" w:rsidRDefault="00230AAA" w:rsidP="00230AAA">
      <w:pPr>
        <w:pStyle w:val="FigureHeading"/>
        <w:spacing w:before="0"/>
      </w:pPr>
      <w:bookmarkStart w:id="73" w:name="_Toc405466107"/>
      <w:bookmarkStart w:id="74" w:name="_Toc428437717"/>
      <w:r>
        <w:t xml:space="preserve">Imports by broad HS Section, </w:t>
      </w:r>
      <w:r w:rsidR="006D469D">
        <w:t>West Bank &amp; Gaza</w:t>
      </w:r>
      <w:r>
        <w:t xml:space="preserve">, </w:t>
      </w:r>
      <w:r w:rsidR="008E50D2">
        <w:t>2007</w:t>
      </w:r>
      <w:r>
        <w:t>–8 and 2009–</w:t>
      </w:r>
      <w:bookmarkEnd w:id="71"/>
      <w:bookmarkEnd w:id="72"/>
      <w:r w:rsidR="008E50D2">
        <w:t>12</w:t>
      </w:r>
      <w:bookmarkEnd w:id="73"/>
      <w:bookmarkEnd w:id="74"/>
    </w:p>
    <w:p w14:paraId="69249F1A" w14:textId="77777777" w:rsidR="00D40056" w:rsidRPr="00D40056" w:rsidRDefault="009E6C20" w:rsidP="009E6C20">
      <w:pPr>
        <w:pStyle w:val="BodyText"/>
        <w:spacing w:before="39" w:after="0" w:line="240" w:lineRule="auto"/>
        <w:jc w:val="left"/>
      </w:pPr>
      <w:r>
        <w:rPr>
          <w:noProof/>
          <w:lang w:eastAsia="en-GB"/>
        </w:rPr>
        <w:drawing>
          <wp:inline distT="0" distB="0" distL="0" distR="0" wp14:anchorId="6924A0DC" wp14:editId="6924A0DD">
            <wp:extent cx="5486400" cy="2514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Pr>
          <w:noProof/>
          <w:lang w:eastAsia="en-GB"/>
        </w:rPr>
        <w:drawing>
          <wp:inline distT="0" distB="0" distL="0" distR="0" wp14:anchorId="6924A0DE" wp14:editId="6924A0DF">
            <wp:extent cx="5486400" cy="25146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bl>
      <w:tblPr>
        <w:tblW w:w="5000" w:type="pct"/>
        <w:tblLayout w:type="fixed"/>
        <w:tblCellMar>
          <w:left w:w="0" w:type="dxa"/>
          <w:right w:w="0" w:type="dxa"/>
        </w:tblCellMar>
        <w:tblLook w:val="04A0" w:firstRow="1" w:lastRow="0" w:firstColumn="1" w:lastColumn="0" w:noHBand="0" w:noVBand="1"/>
      </w:tblPr>
      <w:tblGrid>
        <w:gridCol w:w="630"/>
        <w:gridCol w:w="8210"/>
      </w:tblGrid>
      <w:tr w:rsidR="00230AAA" w:rsidRPr="00C91C87" w14:paraId="69249F1D" w14:textId="77777777" w:rsidTr="001C4EF9">
        <w:tc>
          <w:tcPr>
            <w:tcW w:w="630" w:type="dxa"/>
            <w:tcBorders>
              <w:top w:val="nil"/>
              <w:left w:val="nil"/>
              <w:bottom w:val="nil"/>
              <w:right w:val="nil"/>
            </w:tcBorders>
            <w:shd w:val="clear" w:color="auto" w:fill="auto"/>
            <w:noWrap/>
          </w:tcPr>
          <w:p w14:paraId="69249F1B" w14:textId="77777777" w:rsidR="00230AAA" w:rsidRPr="00A364CB" w:rsidRDefault="00230AAA" w:rsidP="001C4EF9">
            <w:pPr>
              <w:rPr>
                <w:rFonts w:asciiTheme="majorHAnsi" w:eastAsia="Times New Roman" w:hAnsiTheme="majorHAnsi" w:cstheme="majorHAnsi"/>
                <w:color w:val="000000"/>
                <w:sz w:val="16"/>
                <w:szCs w:val="16"/>
                <w:lang w:eastAsia="en-GB"/>
              </w:rPr>
            </w:pPr>
            <w:r w:rsidRPr="00A364CB">
              <w:rPr>
                <w:rFonts w:asciiTheme="majorHAnsi" w:eastAsia="Times New Roman" w:hAnsiTheme="majorHAnsi" w:cstheme="majorHAnsi"/>
                <w:color w:val="000000"/>
                <w:sz w:val="16"/>
                <w:szCs w:val="16"/>
                <w:lang w:eastAsia="en-GB"/>
              </w:rPr>
              <w:t>Key:</w:t>
            </w:r>
          </w:p>
        </w:tc>
        <w:tc>
          <w:tcPr>
            <w:tcW w:w="8210" w:type="dxa"/>
            <w:tcBorders>
              <w:top w:val="nil"/>
              <w:left w:val="nil"/>
              <w:bottom w:val="nil"/>
              <w:right w:val="nil"/>
            </w:tcBorders>
            <w:shd w:val="clear" w:color="auto" w:fill="auto"/>
            <w:noWrap/>
          </w:tcPr>
          <w:p w14:paraId="69249F1C" w14:textId="77777777" w:rsidR="00230AAA" w:rsidRDefault="00230AAA" w:rsidP="001C4EF9">
            <w:pPr>
              <w:rPr>
                <w:rFonts w:ascii="Calibri" w:eastAsia="Times New Roman" w:hAnsi="Calibri"/>
                <w:color w:val="000000"/>
                <w:sz w:val="16"/>
                <w:szCs w:val="16"/>
                <w:lang w:eastAsia="en-GB"/>
              </w:rPr>
            </w:pPr>
          </w:p>
        </w:tc>
      </w:tr>
      <w:tr w:rsidR="00230AAA" w:rsidRPr="00C91C87" w14:paraId="69249F20" w14:textId="77777777" w:rsidTr="001C4EF9">
        <w:tc>
          <w:tcPr>
            <w:tcW w:w="630" w:type="dxa"/>
            <w:tcBorders>
              <w:top w:val="nil"/>
              <w:left w:val="nil"/>
              <w:bottom w:val="nil"/>
              <w:right w:val="nil"/>
            </w:tcBorders>
            <w:shd w:val="clear" w:color="auto" w:fill="auto"/>
            <w:noWrap/>
          </w:tcPr>
          <w:p w14:paraId="69249F1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HS Sect.</w:t>
            </w:r>
          </w:p>
        </w:tc>
        <w:tc>
          <w:tcPr>
            <w:tcW w:w="8210" w:type="dxa"/>
            <w:tcBorders>
              <w:top w:val="nil"/>
              <w:left w:val="nil"/>
              <w:bottom w:val="nil"/>
              <w:right w:val="nil"/>
            </w:tcBorders>
            <w:shd w:val="clear" w:color="auto" w:fill="auto"/>
            <w:noWrap/>
          </w:tcPr>
          <w:p w14:paraId="69249F1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Description</w:t>
            </w:r>
          </w:p>
        </w:tc>
      </w:tr>
      <w:tr w:rsidR="00230AAA" w:rsidRPr="00C91C87" w14:paraId="69249F23" w14:textId="77777777" w:rsidTr="001C4EF9">
        <w:tc>
          <w:tcPr>
            <w:tcW w:w="630" w:type="dxa"/>
            <w:tcBorders>
              <w:top w:val="nil"/>
              <w:left w:val="nil"/>
              <w:bottom w:val="nil"/>
              <w:right w:val="nil"/>
            </w:tcBorders>
            <w:shd w:val="clear" w:color="auto" w:fill="auto"/>
            <w:noWrap/>
            <w:hideMark/>
          </w:tcPr>
          <w:p w14:paraId="69249F2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w:t>
            </w:r>
          </w:p>
        </w:tc>
        <w:tc>
          <w:tcPr>
            <w:tcW w:w="8210" w:type="dxa"/>
            <w:tcBorders>
              <w:top w:val="nil"/>
              <w:left w:val="nil"/>
              <w:bottom w:val="nil"/>
              <w:right w:val="nil"/>
            </w:tcBorders>
            <w:shd w:val="clear" w:color="auto" w:fill="auto"/>
            <w:noWrap/>
            <w:hideMark/>
          </w:tcPr>
          <w:p w14:paraId="69249F2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Live animals; animal products </w:t>
            </w:r>
          </w:p>
        </w:tc>
      </w:tr>
      <w:tr w:rsidR="00230AAA" w:rsidRPr="00C91C87" w14:paraId="69249F26" w14:textId="77777777" w:rsidTr="001C4EF9">
        <w:tc>
          <w:tcPr>
            <w:tcW w:w="630" w:type="dxa"/>
            <w:tcBorders>
              <w:top w:val="nil"/>
              <w:left w:val="nil"/>
              <w:bottom w:val="nil"/>
              <w:right w:val="nil"/>
            </w:tcBorders>
            <w:shd w:val="clear" w:color="auto" w:fill="auto"/>
            <w:noWrap/>
            <w:hideMark/>
          </w:tcPr>
          <w:p w14:paraId="69249F2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w:t>
            </w:r>
          </w:p>
        </w:tc>
        <w:tc>
          <w:tcPr>
            <w:tcW w:w="8210" w:type="dxa"/>
            <w:tcBorders>
              <w:top w:val="nil"/>
              <w:left w:val="nil"/>
              <w:bottom w:val="nil"/>
              <w:right w:val="nil"/>
            </w:tcBorders>
            <w:shd w:val="clear" w:color="auto" w:fill="auto"/>
            <w:noWrap/>
            <w:hideMark/>
          </w:tcPr>
          <w:p w14:paraId="69249F2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Vegetable products</w:t>
            </w:r>
          </w:p>
        </w:tc>
      </w:tr>
      <w:tr w:rsidR="00230AAA" w:rsidRPr="00C91C87" w14:paraId="69249F29" w14:textId="77777777" w:rsidTr="001C4EF9">
        <w:tc>
          <w:tcPr>
            <w:tcW w:w="630" w:type="dxa"/>
            <w:tcBorders>
              <w:top w:val="nil"/>
              <w:left w:val="nil"/>
              <w:bottom w:val="nil"/>
              <w:right w:val="nil"/>
            </w:tcBorders>
            <w:shd w:val="clear" w:color="auto" w:fill="auto"/>
            <w:noWrap/>
            <w:hideMark/>
          </w:tcPr>
          <w:p w14:paraId="69249F27"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3</w:t>
            </w:r>
          </w:p>
        </w:tc>
        <w:tc>
          <w:tcPr>
            <w:tcW w:w="8210" w:type="dxa"/>
            <w:tcBorders>
              <w:top w:val="nil"/>
              <w:left w:val="nil"/>
              <w:bottom w:val="nil"/>
              <w:right w:val="nil"/>
            </w:tcBorders>
            <w:shd w:val="clear" w:color="auto" w:fill="auto"/>
            <w:noWrap/>
            <w:hideMark/>
          </w:tcPr>
          <w:p w14:paraId="69249F28"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Animal or vegetable fats and oils and their cleavage products; prepared edible fats; animal or vegetable waxes</w:t>
            </w:r>
          </w:p>
        </w:tc>
      </w:tr>
      <w:tr w:rsidR="00230AAA" w:rsidRPr="00C91C87" w14:paraId="69249F2C" w14:textId="77777777" w:rsidTr="001C4EF9">
        <w:tc>
          <w:tcPr>
            <w:tcW w:w="630" w:type="dxa"/>
            <w:tcBorders>
              <w:top w:val="nil"/>
              <w:left w:val="nil"/>
              <w:bottom w:val="nil"/>
              <w:right w:val="nil"/>
            </w:tcBorders>
            <w:shd w:val="clear" w:color="auto" w:fill="auto"/>
            <w:noWrap/>
            <w:hideMark/>
          </w:tcPr>
          <w:p w14:paraId="69249F2A"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4</w:t>
            </w:r>
          </w:p>
        </w:tc>
        <w:tc>
          <w:tcPr>
            <w:tcW w:w="8210" w:type="dxa"/>
            <w:tcBorders>
              <w:top w:val="nil"/>
              <w:left w:val="nil"/>
              <w:bottom w:val="nil"/>
              <w:right w:val="nil"/>
            </w:tcBorders>
            <w:shd w:val="clear" w:color="auto" w:fill="auto"/>
            <w:noWrap/>
            <w:hideMark/>
          </w:tcPr>
          <w:p w14:paraId="69249F2B"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Prepared foodstuffs; beverages, spirits and vinegar; tobacco and manufactured tobacco substitutes </w:t>
            </w:r>
          </w:p>
        </w:tc>
      </w:tr>
      <w:tr w:rsidR="00230AAA" w:rsidRPr="00C91C87" w14:paraId="69249F2F" w14:textId="77777777" w:rsidTr="001C4EF9">
        <w:tc>
          <w:tcPr>
            <w:tcW w:w="630" w:type="dxa"/>
            <w:tcBorders>
              <w:top w:val="nil"/>
              <w:left w:val="nil"/>
              <w:bottom w:val="nil"/>
              <w:right w:val="nil"/>
            </w:tcBorders>
            <w:shd w:val="clear" w:color="auto" w:fill="auto"/>
            <w:noWrap/>
            <w:hideMark/>
          </w:tcPr>
          <w:p w14:paraId="69249F2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5</w:t>
            </w:r>
          </w:p>
        </w:tc>
        <w:tc>
          <w:tcPr>
            <w:tcW w:w="8210" w:type="dxa"/>
            <w:tcBorders>
              <w:top w:val="nil"/>
              <w:left w:val="nil"/>
              <w:bottom w:val="nil"/>
              <w:right w:val="nil"/>
            </w:tcBorders>
            <w:shd w:val="clear" w:color="auto" w:fill="auto"/>
            <w:noWrap/>
            <w:hideMark/>
          </w:tcPr>
          <w:p w14:paraId="69249F2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Mineral products </w:t>
            </w:r>
          </w:p>
        </w:tc>
      </w:tr>
      <w:tr w:rsidR="00230AAA" w:rsidRPr="00C91C87" w14:paraId="69249F32" w14:textId="77777777" w:rsidTr="001C4EF9">
        <w:tc>
          <w:tcPr>
            <w:tcW w:w="630" w:type="dxa"/>
            <w:tcBorders>
              <w:top w:val="nil"/>
              <w:left w:val="nil"/>
              <w:bottom w:val="nil"/>
              <w:right w:val="nil"/>
            </w:tcBorders>
            <w:shd w:val="clear" w:color="auto" w:fill="auto"/>
            <w:noWrap/>
            <w:hideMark/>
          </w:tcPr>
          <w:p w14:paraId="69249F30"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6</w:t>
            </w:r>
          </w:p>
        </w:tc>
        <w:tc>
          <w:tcPr>
            <w:tcW w:w="8210" w:type="dxa"/>
            <w:tcBorders>
              <w:top w:val="nil"/>
              <w:left w:val="nil"/>
              <w:bottom w:val="nil"/>
              <w:right w:val="nil"/>
            </w:tcBorders>
            <w:shd w:val="clear" w:color="auto" w:fill="auto"/>
            <w:noWrap/>
            <w:hideMark/>
          </w:tcPr>
          <w:p w14:paraId="69249F31"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Products of the chemical or allied industries </w:t>
            </w:r>
          </w:p>
        </w:tc>
      </w:tr>
      <w:tr w:rsidR="00230AAA" w:rsidRPr="00C91C87" w14:paraId="69249F35" w14:textId="77777777" w:rsidTr="001C4EF9">
        <w:tc>
          <w:tcPr>
            <w:tcW w:w="630" w:type="dxa"/>
            <w:tcBorders>
              <w:top w:val="nil"/>
              <w:left w:val="nil"/>
              <w:bottom w:val="nil"/>
              <w:right w:val="nil"/>
            </w:tcBorders>
            <w:shd w:val="clear" w:color="auto" w:fill="auto"/>
            <w:noWrap/>
            <w:hideMark/>
          </w:tcPr>
          <w:p w14:paraId="69249F33"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7</w:t>
            </w:r>
          </w:p>
        </w:tc>
        <w:tc>
          <w:tcPr>
            <w:tcW w:w="8210" w:type="dxa"/>
            <w:tcBorders>
              <w:top w:val="nil"/>
              <w:left w:val="nil"/>
              <w:bottom w:val="nil"/>
              <w:right w:val="nil"/>
            </w:tcBorders>
            <w:shd w:val="clear" w:color="auto" w:fill="auto"/>
            <w:noWrap/>
            <w:hideMark/>
          </w:tcPr>
          <w:p w14:paraId="69249F34"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Plastics and articles thereof; rubber and articles thereof </w:t>
            </w:r>
          </w:p>
        </w:tc>
      </w:tr>
      <w:tr w:rsidR="00230AAA" w:rsidRPr="00C91C87" w14:paraId="69249F38" w14:textId="77777777" w:rsidTr="001C4EF9">
        <w:tc>
          <w:tcPr>
            <w:tcW w:w="630" w:type="dxa"/>
            <w:tcBorders>
              <w:top w:val="nil"/>
              <w:left w:val="nil"/>
              <w:bottom w:val="nil"/>
              <w:right w:val="nil"/>
            </w:tcBorders>
            <w:shd w:val="clear" w:color="auto" w:fill="auto"/>
            <w:noWrap/>
            <w:hideMark/>
          </w:tcPr>
          <w:p w14:paraId="69249F3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8</w:t>
            </w:r>
          </w:p>
        </w:tc>
        <w:tc>
          <w:tcPr>
            <w:tcW w:w="8210" w:type="dxa"/>
            <w:tcBorders>
              <w:top w:val="nil"/>
              <w:left w:val="nil"/>
              <w:bottom w:val="nil"/>
              <w:right w:val="nil"/>
            </w:tcBorders>
            <w:shd w:val="clear" w:color="auto" w:fill="auto"/>
            <w:noWrap/>
            <w:hideMark/>
          </w:tcPr>
          <w:p w14:paraId="69249F3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Raw hides and skins, leather, furskins and articles thereof; saddlery and harness; travel goods, handbags and similar containers; articles of animal gut (other than silk-worm gut) </w:t>
            </w:r>
          </w:p>
        </w:tc>
      </w:tr>
      <w:tr w:rsidR="00230AAA" w:rsidRPr="00C91C87" w14:paraId="69249F3B" w14:textId="77777777" w:rsidTr="001C4EF9">
        <w:tc>
          <w:tcPr>
            <w:tcW w:w="630" w:type="dxa"/>
            <w:tcBorders>
              <w:top w:val="nil"/>
              <w:left w:val="nil"/>
              <w:bottom w:val="nil"/>
              <w:right w:val="nil"/>
            </w:tcBorders>
            <w:shd w:val="clear" w:color="auto" w:fill="auto"/>
            <w:noWrap/>
            <w:hideMark/>
          </w:tcPr>
          <w:p w14:paraId="69249F3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9</w:t>
            </w:r>
          </w:p>
        </w:tc>
        <w:tc>
          <w:tcPr>
            <w:tcW w:w="8210" w:type="dxa"/>
            <w:tcBorders>
              <w:top w:val="nil"/>
              <w:left w:val="nil"/>
              <w:bottom w:val="nil"/>
              <w:right w:val="nil"/>
            </w:tcBorders>
            <w:shd w:val="clear" w:color="auto" w:fill="auto"/>
            <w:noWrap/>
            <w:hideMark/>
          </w:tcPr>
          <w:p w14:paraId="69249F3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 xml:space="preserve">Wood and articles of wood; wood charcoal; cork and articles of cork; manufactures of straw, of esparto or of other plaiting materials; </w:t>
            </w:r>
            <w:proofErr w:type="spellStart"/>
            <w:r w:rsidRPr="00A364CB">
              <w:rPr>
                <w:rFonts w:asciiTheme="majorHAnsi" w:eastAsia="Times New Roman" w:hAnsiTheme="majorHAnsi" w:cstheme="majorHAnsi"/>
                <w:color w:val="000000"/>
                <w:sz w:val="14"/>
                <w:szCs w:val="14"/>
                <w:lang w:eastAsia="en-GB"/>
              </w:rPr>
              <w:t>basketware</w:t>
            </w:r>
            <w:proofErr w:type="spellEnd"/>
            <w:r w:rsidRPr="00A364CB">
              <w:rPr>
                <w:rFonts w:asciiTheme="majorHAnsi" w:eastAsia="Times New Roman" w:hAnsiTheme="majorHAnsi" w:cstheme="majorHAnsi"/>
                <w:color w:val="000000"/>
                <w:sz w:val="14"/>
                <w:szCs w:val="14"/>
                <w:lang w:eastAsia="en-GB"/>
              </w:rPr>
              <w:t xml:space="preserve"> and wickerwork</w:t>
            </w:r>
          </w:p>
        </w:tc>
      </w:tr>
      <w:tr w:rsidR="00230AAA" w:rsidRPr="00C91C87" w14:paraId="69249F3E" w14:textId="77777777" w:rsidTr="001C4EF9">
        <w:tc>
          <w:tcPr>
            <w:tcW w:w="630" w:type="dxa"/>
            <w:tcBorders>
              <w:top w:val="nil"/>
              <w:left w:val="nil"/>
              <w:bottom w:val="nil"/>
              <w:right w:val="nil"/>
            </w:tcBorders>
            <w:shd w:val="clear" w:color="auto" w:fill="auto"/>
            <w:noWrap/>
            <w:hideMark/>
          </w:tcPr>
          <w:p w14:paraId="69249F3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10</w:t>
            </w:r>
          </w:p>
        </w:tc>
        <w:tc>
          <w:tcPr>
            <w:tcW w:w="8210" w:type="dxa"/>
            <w:tcBorders>
              <w:top w:val="nil"/>
              <w:left w:val="nil"/>
              <w:bottom w:val="nil"/>
              <w:right w:val="nil"/>
            </w:tcBorders>
            <w:shd w:val="clear" w:color="auto" w:fill="auto"/>
            <w:noWrap/>
            <w:hideMark/>
          </w:tcPr>
          <w:p w14:paraId="69249F3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Pulp of wood or of other fibrous cellulosic material; recovered (waste and scrap) paper or paperboard; paper and paperboard and articles thereof </w:t>
            </w:r>
          </w:p>
        </w:tc>
      </w:tr>
      <w:tr w:rsidR="00230AAA" w:rsidRPr="00C91C87" w14:paraId="69249F41" w14:textId="77777777" w:rsidTr="001C4EF9">
        <w:tc>
          <w:tcPr>
            <w:tcW w:w="630" w:type="dxa"/>
            <w:tcBorders>
              <w:top w:val="nil"/>
              <w:left w:val="nil"/>
              <w:bottom w:val="nil"/>
              <w:right w:val="nil"/>
            </w:tcBorders>
            <w:shd w:val="clear" w:color="auto" w:fill="auto"/>
            <w:noWrap/>
            <w:hideMark/>
          </w:tcPr>
          <w:p w14:paraId="69249F3F"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11</w:t>
            </w:r>
          </w:p>
        </w:tc>
        <w:tc>
          <w:tcPr>
            <w:tcW w:w="8210" w:type="dxa"/>
            <w:tcBorders>
              <w:top w:val="nil"/>
              <w:left w:val="nil"/>
              <w:bottom w:val="nil"/>
              <w:right w:val="nil"/>
            </w:tcBorders>
            <w:shd w:val="clear" w:color="auto" w:fill="auto"/>
            <w:noWrap/>
            <w:hideMark/>
          </w:tcPr>
          <w:p w14:paraId="69249F40"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Textiles and textile articles </w:t>
            </w:r>
          </w:p>
        </w:tc>
      </w:tr>
      <w:tr w:rsidR="00230AAA" w:rsidRPr="00C91C87" w14:paraId="69249F44" w14:textId="77777777" w:rsidTr="001C4EF9">
        <w:tc>
          <w:tcPr>
            <w:tcW w:w="630" w:type="dxa"/>
            <w:tcBorders>
              <w:top w:val="nil"/>
              <w:left w:val="nil"/>
              <w:bottom w:val="nil"/>
              <w:right w:val="nil"/>
            </w:tcBorders>
            <w:shd w:val="clear" w:color="auto" w:fill="auto"/>
            <w:noWrap/>
            <w:hideMark/>
          </w:tcPr>
          <w:p w14:paraId="69249F42"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12</w:t>
            </w:r>
          </w:p>
        </w:tc>
        <w:tc>
          <w:tcPr>
            <w:tcW w:w="8210" w:type="dxa"/>
            <w:tcBorders>
              <w:top w:val="nil"/>
              <w:left w:val="nil"/>
              <w:bottom w:val="nil"/>
              <w:right w:val="nil"/>
            </w:tcBorders>
            <w:shd w:val="clear" w:color="auto" w:fill="auto"/>
            <w:noWrap/>
            <w:hideMark/>
          </w:tcPr>
          <w:p w14:paraId="69249F43"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Footwear, headgear, umbrellas, sun umbrellas, walking-sticks, seat-sticks, whips, riding-crops and parts thereof; prepared feathers and articles made therewith; artificial flowers; articles of human hair </w:t>
            </w:r>
          </w:p>
        </w:tc>
      </w:tr>
      <w:tr w:rsidR="00230AAA" w:rsidRPr="00C91C87" w14:paraId="69249F47" w14:textId="77777777" w:rsidTr="001C4EF9">
        <w:tc>
          <w:tcPr>
            <w:tcW w:w="630" w:type="dxa"/>
            <w:tcBorders>
              <w:top w:val="nil"/>
              <w:left w:val="nil"/>
              <w:bottom w:val="nil"/>
              <w:right w:val="nil"/>
            </w:tcBorders>
            <w:shd w:val="clear" w:color="auto" w:fill="auto"/>
            <w:noWrap/>
            <w:hideMark/>
          </w:tcPr>
          <w:p w14:paraId="69249F4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13</w:t>
            </w:r>
          </w:p>
        </w:tc>
        <w:tc>
          <w:tcPr>
            <w:tcW w:w="8210" w:type="dxa"/>
            <w:tcBorders>
              <w:top w:val="nil"/>
              <w:left w:val="nil"/>
              <w:bottom w:val="nil"/>
              <w:right w:val="nil"/>
            </w:tcBorders>
            <w:shd w:val="clear" w:color="auto" w:fill="auto"/>
            <w:noWrap/>
            <w:hideMark/>
          </w:tcPr>
          <w:p w14:paraId="69249F4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Articles of stone, plaster, cement, asbestos, mica or similar materials; ceramic products; glass and glassware </w:t>
            </w:r>
          </w:p>
        </w:tc>
      </w:tr>
      <w:tr w:rsidR="00230AAA" w:rsidRPr="00C91C87" w14:paraId="69249F4A" w14:textId="77777777" w:rsidTr="001C4EF9">
        <w:tc>
          <w:tcPr>
            <w:tcW w:w="630" w:type="dxa"/>
            <w:tcBorders>
              <w:top w:val="nil"/>
              <w:left w:val="nil"/>
              <w:bottom w:val="nil"/>
              <w:right w:val="nil"/>
            </w:tcBorders>
            <w:shd w:val="clear" w:color="auto" w:fill="auto"/>
            <w:noWrap/>
            <w:hideMark/>
          </w:tcPr>
          <w:p w14:paraId="69249F48"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14</w:t>
            </w:r>
          </w:p>
        </w:tc>
        <w:tc>
          <w:tcPr>
            <w:tcW w:w="8210" w:type="dxa"/>
            <w:tcBorders>
              <w:top w:val="nil"/>
              <w:left w:val="nil"/>
              <w:bottom w:val="nil"/>
              <w:right w:val="nil"/>
            </w:tcBorders>
            <w:shd w:val="clear" w:color="auto" w:fill="auto"/>
            <w:noWrap/>
            <w:hideMark/>
          </w:tcPr>
          <w:p w14:paraId="69249F49"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Natural or cultured pearls, precious or semi-precious stones, precious metals, metals clad with precious metal and articles thereof; imitation jewellery; coin thereof; imitation jewellery; coin </w:t>
            </w:r>
          </w:p>
        </w:tc>
      </w:tr>
      <w:tr w:rsidR="00230AAA" w:rsidRPr="00C91C87" w14:paraId="69249F4D" w14:textId="77777777" w:rsidTr="001C4EF9">
        <w:tc>
          <w:tcPr>
            <w:tcW w:w="630" w:type="dxa"/>
            <w:tcBorders>
              <w:top w:val="nil"/>
              <w:left w:val="nil"/>
              <w:bottom w:val="nil"/>
              <w:right w:val="nil"/>
            </w:tcBorders>
            <w:shd w:val="clear" w:color="auto" w:fill="auto"/>
            <w:noWrap/>
            <w:hideMark/>
          </w:tcPr>
          <w:p w14:paraId="69249F4B"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15</w:t>
            </w:r>
          </w:p>
        </w:tc>
        <w:tc>
          <w:tcPr>
            <w:tcW w:w="8210" w:type="dxa"/>
            <w:tcBorders>
              <w:top w:val="nil"/>
              <w:left w:val="nil"/>
              <w:bottom w:val="nil"/>
              <w:right w:val="nil"/>
            </w:tcBorders>
            <w:shd w:val="clear" w:color="auto" w:fill="auto"/>
            <w:noWrap/>
            <w:hideMark/>
          </w:tcPr>
          <w:p w14:paraId="69249F4C"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Base metals and articles of base metal </w:t>
            </w:r>
          </w:p>
        </w:tc>
      </w:tr>
      <w:tr w:rsidR="00230AAA" w:rsidRPr="00C91C87" w14:paraId="69249F50" w14:textId="77777777" w:rsidTr="001C4EF9">
        <w:tc>
          <w:tcPr>
            <w:tcW w:w="630" w:type="dxa"/>
            <w:tcBorders>
              <w:top w:val="nil"/>
              <w:left w:val="nil"/>
              <w:bottom w:val="nil"/>
              <w:right w:val="nil"/>
            </w:tcBorders>
            <w:shd w:val="clear" w:color="auto" w:fill="auto"/>
            <w:noWrap/>
            <w:hideMark/>
          </w:tcPr>
          <w:p w14:paraId="69249F4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16</w:t>
            </w:r>
          </w:p>
        </w:tc>
        <w:tc>
          <w:tcPr>
            <w:tcW w:w="8210" w:type="dxa"/>
            <w:tcBorders>
              <w:top w:val="nil"/>
              <w:left w:val="nil"/>
              <w:bottom w:val="nil"/>
              <w:right w:val="nil"/>
            </w:tcBorders>
            <w:shd w:val="clear" w:color="auto" w:fill="auto"/>
            <w:noWrap/>
            <w:hideMark/>
          </w:tcPr>
          <w:p w14:paraId="69249F4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Machinery and mechanical appliances; electrical equipment; parts thereof; sound recorders and reproducers, television image and sound recorders and reproducers, and parts and accessories of such articles </w:t>
            </w:r>
          </w:p>
        </w:tc>
      </w:tr>
      <w:tr w:rsidR="00230AAA" w:rsidRPr="00C91C87" w14:paraId="69249F53" w14:textId="77777777" w:rsidTr="001C4EF9">
        <w:tc>
          <w:tcPr>
            <w:tcW w:w="630" w:type="dxa"/>
            <w:tcBorders>
              <w:top w:val="nil"/>
              <w:left w:val="nil"/>
              <w:bottom w:val="nil"/>
              <w:right w:val="nil"/>
            </w:tcBorders>
            <w:shd w:val="clear" w:color="auto" w:fill="auto"/>
            <w:noWrap/>
            <w:hideMark/>
          </w:tcPr>
          <w:p w14:paraId="69249F5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17</w:t>
            </w:r>
          </w:p>
        </w:tc>
        <w:tc>
          <w:tcPr>
            <w:tcW w:w="8210" w:type="dxa"/>
            <w:tcBorders>
              <w:top w:val="nil"/>
              <w:left w:val="nil"/>
              <w:bottom w:val="nil"/>
              <w:right w:val="nil"/>
            </w:tcBorders>
            <w:shd w:val="clear" w:color="auto" w:fill="auto"/>
            <w:noWrap/>
            <w:hideMark/>
          </w:tcPr>
          <w:p w14:paraId="69249F5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Vehicles, aircraft, vessels and associated transport equipment </w:t>
            </w:r>
          </w:p>
        </w:tc>
      </w:tr>
      <w:tr w:rsidR="00230AAA" w:rsidRPr="00C91C87" w14:paraId="69249F56" w14:textId="77777777" w:rsidTr="001C4EF9">
        <w:tc>
          <w:tcPr>
            <w:tcW w:w="630" w:type="dxa"/>
            <w:tcBorders>
              <w:top w:val="nil"/>
              <w:left w:val="nil"/>
              <w:bottom w:val="nil"/>
              <w:right w:val="nil"/>
            </w:tcBorders>
            <w:shd w:val="clear" w:color="auto" w:fill="auto"/>
            <w:noWrap/>
            <w:hideMark/>
          </w:tcPr>
          <w:p w14:paraId="69249F5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18</w:t>
            </w:r>
          </w:p>
        </w:tc>
        <w:tc>
          <w:tcPr>
            <w:tcW w:w="8210" w:type="dxa"/>
            <w:tcBorders>
              <w:top w:val="nil"/>
              <w:left w:val="nil"/>
              <w:bottom w:val="nil"/>
              <w:right w:val="nil"/>
            </w:tcBorders>
            <w:shd w:val="clear" w:color="auto" w:fill="auto"/>
            <w:noWrap/>
            <w:hideMark/>
          </w:tcPr>
          <w:p w14:paraId="69249F5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Optical, photographic, cinematographic, measuring, checking, precision, medical or surgical instruments and apparatus; clocks and watches; musical instruments; parts and accessories thereof </w:t>
            </w:r>
          </w:p>
        </w:tc>
      </w:tr>
      <w:tr w:rsidR="00230AAA" w:rsidRPr="00C91C87" w14:paraId="69249F59" w14:textId="77777777" w:rsidTr="001C4EF9">
        <w:tc>
          <w:tcPr>
            <w:tcW w:w="630" w:type="dxa"/>
            <w:tcBorders>
              <w:top w:val="nil"/>
              <w:left w:val="nil"/>
              <w:bottom w:val="nil"/>
              <w:right w:val="nil"/>
            </w:tcBorders>
            <w:shd w:val="clear" w:color="auto" w:fill="auto"/>
            <w:noWrap/>
            <w:hideMark/>
          </w:tcPr>
          <w:p w14:paraId="69249F57"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19</w:t>
            </w:r>
          </w:p>
        </w:tc>
        <w:tc>
          <w:tcPr>
            <w:tcW w:w="8210" w:type="dxa"/>
            <w:tcBorders>
              <w:top w:val="nil"/>
              <w:left w:val="nil"/>
              <w:bottom w:val="nil"/>
              <w:right w:val="nil"/>
            </w:tcBorders>
            <w:shd w:val="clear" w:color="auto" w:fill="auto"/>
            <w:noWrap/>
            <w:hideMark/>
          </w:tcPr>
          <w:p w14:paraId="69249F58"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Arms and ammunition; parts and accessories thereof </w:t>
            </w:r>
          </w:p>
        </w:tc>
      </w:tr>
      <w:tr w:rsidR="00230AAA" w:rsidRPr="00C91C87" w14:paraId="69249F5C" w14:textId="77777777" w:rsidTr="001C4EF9">
        <w:tc>
          <w:tcPr>
            <w:tcW w:w="630" w:type="dxa"/>
            <w:tcBorders>
              <w:top w:val="nil"/>
              <w:left w:val="nil"/>
              <w:bottom w:val="nil"/>
              <w:right w:val="nil"/>
            </w:tcBorders>
            <w:shd w:val="clear" w:color="auto" w:fill="auto"/>
            <w:noWrap/>
            <w:hideMark/>
          </w:tcPr>
          <w:p w14:paraId="69249F5A"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20</w:t>
            </w:r>
          </w:p>
        </w:tc>
        <w:tc>
          <w:tcPr>
            <w:tcW w:w="8210" w:type="dxa"/>
            <w:tcBorders>
              <w:top w:val="nil"/>
              <w:left w:val="nil"/>
              <w:bottom w:val="nil"/>
              <w:right w:val="nil"/>
            </w:tcBorders>
            <w:shd w:val="clear" w:color="auto" w:fill="auto"/>
            <w:noWrap/>
            <w:hideMark/>
          </w:tcPr>
          <w:p w14:paraId="69249F5B"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Miscellaneous manufactured articles </w:t>
            </w:r>
          </w:p>
        </w:tc>
      </w:tr>
      <w:tr w:rsidR="00230AAA" w:rsidRPr="00C91C87" w14:paraId="69249F5F" w14:textId="77777777" w:rsidTr="001C4EF9">
        <w:tc>
          <w:tcPr>
            <w:tcW w:w="630" w:type="dxa"/>
            <w:tcBorders>
              <w:top w:val="nil"/>
              <w:left w:val="nil"/>
              <w:bottom w:val="nil"/>
              <w:right w:val="nil"/>
            </w:tcBorders>
            <w:shd w:val="clear" w:color="auto" w:fill="auto"/>
            <w:noWrap/>
            <w:hideMark/>
          </w:tcPr>
          <w:p w14:paraId="69249F5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21</w:t>
            </w:r>
          </w:p>
        </w:tc>
        <w:tc>
          <w:tcPr>
            <w:tcW w:w="8210" w:type="dxa"/>
            <w:tcBorders>
              <w:top w:val="nil"/>
              <w:left w:val="nil"/>
              <w:bottom w:val="nil"/>
              <w:right w:val="nil"/>
            </w:tcBorders>
            <w:shd w:val="clear" w:color="auto" w:fill="auto"/>
            <w:noWrap/>
            <w:hideMark/>
          </w:tcPr>
          <w:p w14:paraId="69249F5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Works of art, collectors’ pieces and antiques </w:t>
            </w:r>
          </w:p>
        </w:tc>
      </w:tr>
    </w:tbl>
    <w:p w14:paraId="69249F60" w14:textId="77777777" w:rsidR="00230AAA" w:rsidRPr="002103C5" w:rsidRDefault="00230AAA" w:rsidP="00230AAA">
      <w:pPr>
        <w:pStyle w:val="Source"/>
      </w:pPr>
      <w:r>
        <w:t xml:space="preserve">Note: </w:t>
      </w:r>
      <w:r w:rsidRPr="00C91C87">
        <w:t xml:space="preserve">Bubble sizes and labels relate to </w:t>
      </w:r>
      <w:r>
        <w:t xml:space="preserve">the </w:t>
      </w:r>
      <w:r w:rsidRPr="00C91C87">
        <w:t xml:space="preserve">number of HS 6-digit subheads within the Section which were </w:t>
      </w:r>
      <w:r>
        <w:t>im</w:t>
      </w:r>
      <w:r w:rsidRPr="00C91C87">
        <w:t>ported</w:t>
      </w:r>
      <w:r>
        <w:br/>
        <w:t xml:space="preserve">Source: Authors’ calculation using data from the UN’s </w:t>
      </w:r>
      <w:proofErr w:type="spellStart"/>
      <w:r>
        <w:t>COMTRADE</w:t>
      </w:r>
      <w:proofErr w:type="spellEnd"/>
      <w:r>
        <w:t xml:space="preserve"> database.</w:t>
      </w:r>
      <w:bookmarkStart w:id="75" w:name="_Toc405451006"/>
      <w:bookmarkStart w:id="76" w:name="_Toc405451570"/>
      <w:r>
        <w:br w:type="page"/>
      </w:r>
    </w:p>
    <w:p w14:paraId="69249F61" w14:textId="77777777" w:rsidR="00230AAA" w:rsidRDefault="00230AAA" w:rsidP="00230AAA">
      <w:pPr>
        <w:pStyle w:val="FigureHeading"/>
        <w:spacing w:before="0"/>
      </w:pPr>
      <w:bookmarkStart w:id="77" w:name="_Toc405466108"/>
      <w:bookmarkStart w:id="78" w:name="_Toc428437718"/>
      <w:r>
        <w:t xml:space="preserve">Change in import share by HS Section, </w:t>
      </w:r>
      <w:r w:rsidR="006D469D">
        <w:t>West Bank &amp; Gaza</w:t>
      </w:r>
      <w:r>
        <w:t xml:space="preserve">, </w:t>
      </w:r>
      <w:r w:rsidR="008E50D2">
        <w:t>2007</w:t>
      </w:r>
      <w:r>
        <w:t>–8 and 2009–</w:t>
      </w:r>
      <w:bookmarkEnd w:id="75"/>
      <w:bookmarkEnd w:id="76"/>
      <w:r w:rsidR="008E50D2">
        <w:t>12</w:t>
      </w:r>
      <w:bookmarkEnd w:id="77"/>
      <w:bookmarkEnd w:id="78"/>
    </w:p>
    <w:p w14:paraId="69249F62" w14:textId="77777777" w:rsidR="008D1979" w:rsidRPr="008D1979" w:rsidRDefault="008D1979" w:rsidP="008D1979">
      <w:pPr>
        <w:pStyle w:val="BodyText"/>
        <w:spacing w:before="39" w:after="0" w:line="240" w:lineRule="auto"/>
        <w:jc w:val="left"/>
      </w:pPr>
      <w:r>
        <w:rPr>
          <w:noProof/>
          <w:lang w:eastAsia="en-GB"/>
        </w:rPr>
        <w:drawing>
          <wp:inline distT="0" distB="0" distL="0" distR="0" wp14:anchorId="6924A0E0" wp14:editId="6924A0E1">
            <wp:extent cx="4572000" cy="2606040"/>
            <wp:effectExtent l="0" t="0" r="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bl>
      <w:tblPr>
        <w:tblW w:w="5000" w:type="pct"/>
        <w:tblLayout w:type="fixed"/>
        <w:tblCellMar>
          <w:left w:w="0" w:type="dxa"/>
          <w:right w:w="0" w:type="dxa"/>
        </w:tblCellMar>
        <w:tblLook w:val="04A0" w:firstRow="1" w:lastRow="0" w:firstColumn="1" w:lastColumn="0" w:noHBand="0" w:noVBand="1"/>
      </w:tblPr>
      <w:tblGrid>
        <w:gridCol w:w="630"/>
        <w:gridCol w:w="8210"/>
      </w:tblGrid>
      <w:tr w:rsidR="00230AAA" w:rsidRPr="00C91C87" w14:paraId="69249F65" w14:textId="77777777" w:rsidTr="001C4EF9">
        <w:tc>
          <w:tcPr>
            <w:tcW w:w="630" w:type="dxa"/>
            <w:tcBorders>
              <w:top w:val="nil"/>
              <w:left w:val="nil"/>
              <w:bottom w:val="nil"/>
              <w:right w:val="nil"/>
            </w:tcBorders>
            <w:shd w:val="clear" w:color="auto" w:fill="auto"/>
            <w:noWrap/>
          </w:tcPr>
          <w:p w14:paraId="69249F63" w14:textId="77777777" w:rsidR="00230AAA" w:rsidRPr="00A364CB" w:rsidRDefault="00230AAA" w:rsidP="001C4EF9">
            <w:pPr>
              <w:rPr>
                <w:rFonts w:asciiTheme="majorHAnsi" w:eastAsia="Times New Roman" w:hAnsiTheme="majorHAnsi" w:cstheme="majorHAnsi"/>
                <w:color w:val="000000"/>
                <w:sz w:val="16"/>
                <w:szCs w:val="16"/>
                <w:lang w:eastAsia="en-GB"/>
              </w:rPr>
            </w:pPr>
            <w:r w:rsidRPr="00A364CB">
              <w:rPr>
                <w:rFonts w:asciiTheme="majorHAnsi" w:eastAsia="Times New Roman" w:hAnsiTheme="majorHAnsi" w:cstheme="majorHAnsi"/>
                <w:color w:val="000000"/>
                <w:sz w:val="16"/>
                <w:szCs w:val="16"/>
                <w:lang w:eastAsia="en-GB"/>
              </w:rPr>
              <w:t>Key:</w:t>
            </w:r>
          </w:p>
        </w:tc>
        <w:tc>
          <w:tcPr>
            <w:tcW w:w="8210" w:type="dxa"/>
            <w:tcBorders>
              <w:top w:val="nil"/>
              <w:left w:val="nil"/>
              <w:bottom w:val="nil"/>
              <w:right w:val="nil"/>
            </w:tcBorders>
            <w:shd w:val="clear" w:color="auto" w:fill="auto"/>
            <w:noWrap/>
          </w:tcPr>
          <w:p w14:paraId="69249F64" w14:textId="77777777" w:rsidR="00230AAA" w:rsidRDefault="00230AAA" w:rsidP="001C4EF9">
            <w:pPr>
              <w:rPr>
                <w:rFonts w:ascii="Calibri" w:eastAsia="Times New Roman" w:hAnsi="Calibri"/>
                <w:color w:val="000000"/>
                <w:sz w:val="16"/>
                <w:szCs w:val="16"/>
                <w:lang w:eastAsia="en-GB"/>
              </w:rPr>
            </w:pPr>
          </w:p>
        </w:tc>
      </w:tr>
      <w:tr w:rsidR="00230AAA" w:rsidRPr="00C91C87" w14:paraId="69249F68" w14:textId="77777777" w:rsidTr="001C4EF9">
        <w:tc>
          <w:tcPr>
            <w:tcW w:w="630" w:type="dxa"/>
            <w:tcBorders>
              <w:top w:val="nil"/>
              <w:left w:val="nil"/>
              <w:bottom w:val="nil"/>
              <w:right w:val="nil"/>
            </w:tcBorders>
            <w:shd w:val="clear" w:color="auto" w:fill="auto"/>
            <w:noWrap/>
          </w:tcPr>
          <w:p w14:paraId="69249F6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HS Sect.</w:t>
            </w:r>
          </w:p>
        </w:tc>
        <w:tc>
          <w:tcPr>
            <w:tcW w:w="8210" w:type="dxa"/>
            <w:tcBorders>
              <w:top w:val="nil"/>
              <w:left w:val="nil"/>
              <w:bottom w:val="nil"/>
              <w:right w:val="nil"/>
            </w:tcBorders>
            <w:shd w:val="clear" w:color="auto" w:fill="auto"/>
            <w:noWrap/>
          </w:tcPr>
          <w:p w14:paraId="69249F6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Description</w:t>
            </w:r>
          </w:p>
        </w:tc>
      </w:tr>
      <w:tr w:rsidR="00230AAA" w:rsidRPr="00C91C87" w14:paraId="69249F6B" w14:textId="77777777" w:rsidTr="001C4EF9">
        <w:tc>
          <w:tcPr>
            <w:tcW w:w="630" w:type="dxa"/>
            <w:tcBorders>
              <w:top w:val="nil"/>
              <w:left w:val="nil"/>
              <w:bottom w:val="nil"/>
              <w:right w:val="nil"/>
            </w:tcBorders>
            <w:shd w:val="clear" w:color="auto" w:fill="auto"/>
            <w:noWrap/>
            <w:hideMark/>
          </w:tcPr>
          <w:p w14:paraId="69249F6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w:t>
            </w:r>
          </w:p>
        </w:tc>
        <w:tc>
          <w:tcPr>
            <w:tcW w:w="8210" w:type="dxa"/>
            <w:tcBorders>
              <w:top w:val="nil"/>
              <w:left w:val="nil"/>
              <w:bottom w:val="nil"/>
              <w:right w:val="nil"/>
            </w:tcBorders>
            <w:shd w:val="clear" w:color="auto" w:fill="auto"/>
            <w:noWrap/>
            <w:hideMark/>
          </w:tcPr>
          <w:p w14:paraId="69249F6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Live animals; animal products </w:t>
            </w:r>
          </w:p>
        </w:tc>
      </w:tr>
      <w:tr w:rsidR="00230AAA" w:rsidRPr="00C91C87" w14:paraId="69249F6E" w14:textId="77777777" w:rsidTr="001C4EF9">
        <w:tc>
          <w:tcPr>
            <w:tcW w:w="630" w:type="dxa"/>
            <w:tcBorders>
              <w:top w:val="nil"/>
              <w:left w:val="nil"/>
              <w:bottom w:val="nil"/>
              <w:right w:val="nil"/>
            </w:tcBorders>
            <w:shd w:val="clear" w:color="auto" w:fill="auto"/>
            <w:noWrap/>
            <w:hideMark/>
          </w:tcPr>
          <w:p w14:paraId="69249F6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w:t>
            </w:r>
          </w:p>
        </w:tc>
        <w:tc>
          <w:tcPr>
            <w:tcW w:w="8210" w:type="dxa"/>
            <w:tcBorders>
              <w:top w:val="nil"/>
              <w:left w:val="nil"/>
              <w:bottom w:val="nil"/>
              <w:right w:val="nil"/>
            </w:tcBorders>
            <w:shd w:val="clear" w:color="auto" w:fill="auto"/>
            <w:noWrap/>
            <w:hideMark/>
          </w:tcPr>
          <w:p w14:paraId="69249F6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Vegetable products</w:t>
            </w:r>
          </w:p>
        </w:tc>
      </w:tr>
      <w:tr w:rsidR="00230AAA" w:rsidRPr="00C91C87" w14:paraId="69249F71" w14:textId="77777777" w:rsidTr="001C4EF9">
        <w:tc>
          <w:tcPr>
            <w:tcW w:w="630" w:type="dxa"/>
            <w:tcBorders>
              <w:top w:val="nil"/>
              <w:left w:val="nil"/>
              <w:bottom w:val="nil"/>
              <w:right w:val="nil"/>
            </w:tcBorders>
            <w:shd w:val="clear" w:color="auto" w:fill="auto"/>
            <w:noWrap/>
            <w:hideMark/>
          </w:tcPr>
          <w:p w14:paraId="69249F6F"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3</w:t>
            </w:r>
          </w:p>
        </w:tc>
        <w:tc>
          <w:tcPr>
            <w:tcW w:w="8210" w:type="dxa"/>
            <w:tcBorders>
              <w:top w:val="nil"/>
              <w:left w:val="nil"/>
              <w:bottom w:val="nil"/>
              <w:right w:val="nil"/>
            </w:tcBorders>
            <w:shd w:val="clear" w:color="auto" w:fill="auto"/>
            <w:noWrap/>
            <w:hideMark/>
          </w:tcPr>
          <w:p w14:paraId="69249F70"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Animal or vegetable fats and oils and their cleavage products; prepared edible fats; animal or vegetable waxes</w:t>
            </w:r>
          </w:p>
        </w:tc>
      </w:tr>
      <w:tr w:rsidR="00230AAA" w:rsidRPr="00C91C87" w14:paraId="69249F74" w14:textId="77777777" w:rsidTr="001C4EF9">
        <w:tc>
          <w:tcPr>
            <w:tcW w:w="630" w:type="dxa"/>
            <w:tcBorders>
              <w:top w:val="nil"/>
              <w:left w:val="nil"/>
              <w:bottom w:val="nil"/>
              <w:right w:val="nil"/>
            </w:tcBorders>
            <w:shd w:val="clear" w:color="auto" w:fill="auto"/>
            <w:noWrap/>
            <w:hideMark/>
          </w:tcPr>
          <w:p w14:paraId="69249F72"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4</w:t>
            </w:r>
          </w:p>
        </w:tc>
        <w:tc>
          <w:tcPr>
            <w:tcW w:w="8210" w:type="dxa"/>
            <w:tcBorders>
              <w:top w:val="nil"/>
              <w:left w:val="nil"/>
              <w:bottom w:val="nil"/>
              <w:right w:val="nil"/>
            </w:tcBorders>
            <w:shd w:val="clear" w:color="auto" w:fill="auto"/>
            <w:noWrap/>
            <w:hideMark/>
          </w:tcPr>
          <w:p w14:paraId="69249F73"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Prepared foodstuffs; beverages, spirits and vinegar; tobacco and manufactured tobacco substitutes </w:t>
            </w:r>
          </w:p>
        </w:tc>
      </w:tr>
      <w:tr w:rsidR="00230AAA" w:rsidRPr="00C91C87" w14:paraId="69249F77" w14:textId="77777777" w:rsidTr="001C4EF9">
        <w:tc>
          <w:tcPr>
            <w:tcW w:w="630" w:type="dxa"/>
            <w:tcBorders>
              <w:top w:val="nil"/>
              <w:left w:val="nil"/>
              <w:bottom w:val="nil"/>
              <w:right w:val="nil"/>
            </w:tcBorders>
            <w:shd w:val="clear" w:color="auto" w:fill="auto"/>
            <w:noWrap/>
            <w:hideMark/>
          </w:tcPr>
          <w:p w14:paraId="69249F7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5</w:t>
            </w:r>
          </w:p>
        </w:tc>
        <w:tc>
          <w:tcPr>
            <w:tcW w:w="8210" w:type="dxa"/>
            <w:tcBorders>
              <w:top w:val="nil"/>
              <w:left w:val="nil"/>
              <w:bottom w:val="nil"/>
              <w:right w:val="nil"/>
            </w:tcBorders>
            <w:shd w:val="clear" w:color="auto" w:fill="auto"/>
            <w:noWrap/>
            <w:hideMark/>
          </w:tcPr>
          <w:p w14:paraId="69249F7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Mineral products </w:t>
            </w:r>
          </w:p>
        </w:tc>
      </w:tr>
      <w:tr w:rsidR="00230AAA" w:rsidRPr="00C91C87" w14:paraId="69249F7A" w14:textId="77777777" w:rsidTr="001C4EF9">
        <w:tc>
          <w:tcPr>
            <w:tcW w:w="630" w:type="dxa"/>
            <w:tcBorders>
              <w:top w:val="nil"/>
              <w:left w:val="nil"/>
              <w:bottom w:val="nil"/>
              <w:right w:val="nil"/>
            </w:tcBorders>
            <w:shd w:val="clear" w:color="auto" w:fill="auto"/>
            <w:noWrap/>
            <w:hideMark/>
          </w:tcPr>
          <w:p w14:paraId="69249F78"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6</w:t>
            </w:r>
          </w:p>
        </w:tc>
        <w:tc>
          <w:tcPr>
            <w:tcW w:w="8210" w:type="dxa"/>
            <w:tcBorders>
              <w:top w:val="nil"/>
              <w:left w:val="nil"/>
              <w:bottom w:val="nil"/>
              <w:right w:val="nil"/>
            </w:tcBorders>
            <w:shd w:val="clear" w:color="auto" w:fill="auto"/>
            <w:noWrap/>
            <w:hideMark/>
          </w:tcPr>
          <w:p w14:paraId="69249F79"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Products of the chemical or allied industries </w:t>
            </w:r>
          </w:p>
        </w:tc>
      </w:tr>
      <w:tr w:rsidR="00230AAA" w:rsidRPr="00C91C87" w14:paraId="69249F7D" w14:textId="77777777" w:rsidTr="001C4EF9">
        <w:tc>
          <w:tcPr>
            <w:tcW w:w="630" w:type="dxa"/>
            <w:tcBorders>
              <w:top w:val="nil"/>
              <w:left w:val="nil"/>
              <w:bottom w:val="nil"/>
              <w:right w:val="nil"/>
            </w:tcBorders>
            <w:shd w:val="clear" w:color="auto" w:fill="auto"/>
            <w:noWrap/>
            <w:hideMark/>
          </w:tcPr>
          <w:p w14:paraId="69249F7B"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7</w:t>
            </w:r>
          </w:p>
        </w:tc>
        <w:tc>
          <w:tcPr>
            <w:tcW w:w="8210" w:type="dxa"/>
            <w:tcBorders>
              <w:top w:val="nil"/>
              <w:left w:val="nil"/>
              <w:bottom w:val="nil"/>
              <w:right w:val="nil"/>
            </w:tcBorders>
            <w:shd w:val="clear" w:color="auto" w:fill="auto"/>
            <w:noWrap/>
            <w:hideMark/>
          </w:tcPr>
          <w:p w14:paraId="69249F7C"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Plastics and articles thereof; rubber and articles thereof </w:t>
            </w:r>
          </w:p>
        </w:tc>
      </w:tr>
      <w:tr w:rsidR="00230AAA" w:rsidRPr="00C91C87" w14:paraId="69249F80" w14:textId="77777777" w:rsidTr="001C4EF9">
        <w:tc>
          <w:tcPr>
            <w:tcW w:w="630" w:type="dxa"/>
            <w:tcBorders>
              <w:top w:val="nil"/>
              <w:left w:val="nil"/>
              <w:bottom w:val="nil"/>
              <w:right w:val="nil"/>
            </w:tcBorders>
            <w:shd w:val="clear" w:color="auto" w:fill="auto"/>
            <w:noWrap/>
            <w:hideMark/>
          </w:tcPr>
          <w:p w14:paraId="69249F7E"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8</w:t>
            </w:r>
          </w:p>
        </w:tc>
        <w:tc>
          <w:tcPr>
            <w:tcW w:w="8210" w:type="dxa"/>
            <w:tcBorders>
              <w:top w:val="nil"/>
              <w:left w:val="nil"/>
              <w:bottom w:val="nil"/>
              <w:right w:val="nil"/>
            </w:tcBorders>
            <w:shd w:val="clear" w:color="auto" w:fill="auto"/>
            <w:noWrap/>
            <w:hideMark/>
          </w:tcPr>
          <w:p w14:paraId="69249F7F"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Raw hides and skins, leather, furskins and articles thereof; saddlery and harness; travel goods, handbags and similar containers; articles of animal gut (other than silk-worm gut) </w:t>
            </w:r>
          </w:p>
        </w:tc>
      </w:tr>
      <w:tr w:rsidR="00230AAA" w:rsidRPr="00C91C87" w14:paraId="69249F83" w14:textId="77777777" w:rsidTr="001C4EF9">
        <w:tc>
          <w:tcPr>
            <w:tcW w:w="630" w:type="dxa"/>
            <w:tcBorders>
              <w:top w:val="nil"/>
              <w:left w:val="nil"/>
              <w:bottom w:val="nil"/>
              <w:right w:val="nil"/>
            </w:tcBorders>
            <w:shd w:val="clear" w:color="auto" w:fill="auto"/>
            <w:noWrap/>
            <w:hideMark/>
          </w:tcPr>
          <w:p w14:paraId="69249F81"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9</w:t>
            </w:r>
          </w:p>
        </w:tc>
        <w:tc>
          <w:tcPr>
            <w:tcW w:w="8210" w:type="dxa"/>
            <w:tcBorders>
              <w:top w:val="nil"/>
              <w:left w:val="nil"/>
              <w:bottom w:val="nil"/>
              <w:right w:val="nil"/>
            </w:tcBorders>
            <w:shd w:val="clear" w:color="auto" w:fill="auto"/>
            <w:noWrap/>
            <w:hideMark/>
          </w:tcPr>
          <w:p w14:paraId="69249F82"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 xml:space="preserve">Wood and articles of wood; wood charcoal; cork and articles of cork; manufactures of straw, of esparto or of other plaiting materials; </w:t>
            </w:r>
            <w:proofErr w:type="spellStart"/>
            <w:r w:rsidRPr="00A364CB">
              <w:rPr>
                <w:rFonts w:asciiTheme="majorHAnsi" w:eastAsia="Times New Roman" w:hAnsiTheme="majorHAnsi" w:cstheme="majorHAnsi"/>
                <w:color w:val="000000"/>
                <w:sz w:val="14"/>
                <w:szCs w:val="14"/>
                <w:lang w:eastAsia="en-GB"/>
              </w:rPr>
              <w:t>basketware</w:t>
            </w:r>
            <w:proofErr w:type="spellEnd"/>
            <w:r w:rsidRPr="00A364CB">
              <w:rPr>
                <w:rFonts w:asciiTheme="majorHAnsi" w:eastAsia="Times New Roman" w:hAnsiTheme="majorHAnsi" w:cstheme="majorHAnsi"/>
                <w:color w:val="000000"/>
                <w:sz w:val="14"/>
                <w:szCs w:val="14"/>
                <w:lang w:eastAsia="en-GB"/>
              </w:rPr>
              <w:t xml:space="preserve"> and wickerwork</w:t>
            </w:r>
          </w:p>
        </w:tc>
      </w:tr>
      <w:tr w:rsidR="00230AAA" w:rsidRPr="00C91C87" w14:paraId="69249F86" w14:textId="77777777" w:rsidTr="001C4EF9">
        <w:tc>
          <w:tcPr>
            <w:tcW w:w="630" w:type="dxa"/>
            <w:tcBorders>
              <w:top w:val="nil"/>
              <w:left w:val="nil"/>
              <w:bottom w:val="nil"/>
              <w:right w:val="nil"/>
            </w:tcBorders>
            <w:shd w:val="clear" w:color="auto" w:fill="auto"/>
            <w:noWrap/>
            <w:hideMark/>
          </w:tcPr>
          <w:p w14:paraId="69249F84"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10</w:t>
            </w:r>
          </w:p>
        </w:tc>
        <w:tc>
          <w:tcPr>
            <w:tcW w:w="8210" w:type="dxa"/>
            <w:tcBorders>
              <w:top w:val="nil"/>
              <w:left w:val="nil"/>
              <w:bottom w:val="nil"/>
              <w:right w:val="nil"/>
            </w:tcBorders>
            <w:shd w:val="clear" w:color="auto" w:fill="auto"/>
            <w:noWrap/>
            <w:hideMark/>
          </w:tcPr>
          <w:p w14:paraId="69249F85"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Pulp of wood or of other fibrous cellulosic material; recovered (waste and scrap) paper or paperboard; paper and paperboard and articles thereof </w:t>
            </w:r>
          </w:p>
        </w:tc>
      </w:tr>
      <w:tr w:rsidR="00230AAA" w:rsidRPr="00C91C87" w14:paraId="69249F89" w14:textId="77777777" w:rsidTr="001C4EF9">
        <w:tc>
          <w:tcPr>
            <w:tcW w:w="630" w:type="dxa"/>
            <w:tcBorders>
              <w:top w:val="nil"/>
              <w:left w:val="nil"/>
              <w:bottom w:val="nil"/>
              <w:right w:val="nil"/>
            </w:tcBorders>
            <w:shd w:val="clear" w:color="auto" w:fill="auto"/>
            <w:noWrap/>
            <w:hideMark/>
          </w:tcPr>
          <w:p w14:paraId="69249F87"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11</w:t>
            </w:r>
          </w:p>
        </w:tc>
        <w:tc>
          <w:tcPr>
            <w:tcW w:w="8210" w:type="dxa"/>
            <w:tcBorders>
              <w:top w:val="nil"/>
              <w:left w:val="nil"/>
              <w:bottom w:val="nil"/>
              <w:right w:val="nil"/>
            </w:tcBorders>
            <w:shd w:val="clear" w:color="auto" w:fill="auto"/>
            <w:noWrap/>
            <w:hideMark/>
          </w:tcPr>
          <w:p w14:paraId="69249F88"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Textiles and textile articles </w:t>
            </w:r>
          </w:p>
        </w:tc>
      </w:tr>
      <w:tr w:rsidR="00230AAA" w:rsidRPr="00C91C87" w14:paraId="69249F8C" w14:textId="77777777" w:rsidTr="001C4EF9">
        <w:tc>
          <w:tcPr>
            <w:tcW w:w="630" w:type="dxa"/>
            <w:tcBorders>
              <w:top w:val="nil"/>
              <w:left w:val="nil"/>
              <w:bottom w:val="nil"/>
              <w:right w:val="nil"/>
            </w:tcBorders>
            <w:shd w:val="clear" w:color="auto" w:fill="auto"/>
            <w:noWrap/>
            <w:hideMark/>
          </w:tcPr>
          <w:p w14:paraId="69249F8A"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12</w:t>
            </w:r>
          </w:p>
        </w:tc>
        <w:tc>
          <w:tcPr>
            <w:tcW w:w="8210" w:type="dxa"/>
            <w:tcBorders>
              <w:top w:val="nil"/>
              <w:left w:val="nil"/>
              <w:bottom w:val="nil"/>
              <w:right w:val="nil"/>
            </w:tcBorders>
            <w:shd w:val="clear" w:color="auto" w:fill="auto"/>
            <w:noWrap/>
            <w:hideMark/>
          </w:tcPr>
          <w:p w14:paraId="69249F8B"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Footwear, headgear, umbrellas, sun umbrellas, walking-sticks, seat-sticks, whips, riding-crops and parts thereof; prepared feathers and articles made therewith; artificial flowers; articles of human hair </w:t>
            </w:r>
          </w:p>
        </w:tc>
      </w:tr>
      <w:tr w:rsidR="00230AAA" w:rsidRPr="00C91C87" w14:paraId="69249F8F" w14:textId="77777777" w:rsidTr="001C4EF9">
        <w:tc>
          <w:tcPr>
            <w:tcW w:w="630" w:type="dxa"/>
            <w:tcBorders>
              <w:top w:val="nil"/>
              <w:left w:val="nil"/>
              <w:bottom w:val="nil"/>
              <w:right w:val="nil"/>
            </w:tcBorders>
            <w:shd w:val="clear" w:color="auto" w:fill="auto"/>
            <w:noWrap/>
            <w:hideMark/>
          </w:tcPr>
          <w:p w14:paraId="69249F8D"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13</w:t>
            </w:r>
          </w:p>
        </w:tc>
        <w:tc>
          <w:tcPr>
            <w:tcW w:w="8210" w:type="dxa"/>
            <w:tcBorders>
              <w:top w:val="nil"/>
              <w:left w:val="nil"/>
              <w:bottom w:val="nil"/>
              <w:right w:val="nil"/>
            </w:tcBorders>
            <w:shd w:val="clear" w:color="auto" w:fill="auto"/>
            <w:noWrap/>
            <w:hideMark/>
          </w:tcPr>
          <w:p w14:paraId="69249F8E"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Articles of stone, plaster, cement, asbestos, mica or similar materials; ceramic products; glass and glassware </w:t>
            </w:r>
          </w:p>
        </w:tc>
      </w:tr>
      <w:tr w:rsidR="00230AAA" w:rsidRPr="00C91C87" w14:paraId="69249F92" w14:textId="77777777" w:rsidTr="001C4EF9">
        <w:tc>
          <w:tcPr>
            <w:tcW w:w="630" w:type="dxa"/>
            <w:tcBorders>
              <w:top w:val="nil"/>
              <w:left w:val="nil"/>
              <w:bottom w:val="nil"/>
              <w:right w:val="nil"/>
            </w:tcBorders>
            <w:shd w:val="clear" w:color="auto" w:fill="auto"/>
            <w:noWrap/>
            <w:hideMark/>
          </w:tcPr>
          <w:p w14:paraId="69249F90"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14</w:t>
            </w:r>
          </w:p>
        </w:tc>
        <w:tc>
          <w:tcPr>
            <w:tcW w:w="8210" w:type="dxa"/>
            <w:tcBorders>
              <w:top w:val="nil"/>
              <w:left w:val="nil"/>
              <w:bottom w:val="nil"/>
              <w:right w:val="nil"/>
            </w:tcBorders>
            <w:shd w:val="clear" w:color="auto" w:fill="auto"/>
            <w:noWrap/>
            <w:hideMark/>
          </w:tcPr>
          <w:p w14:paraId="69249F91"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Natural or cultured pearls, precious or semi-precious stones, precious metals, metals clad with precious metal and articles thereof; imitation jewellery; coin thereof; imitation jewellery; coin </w:t>
            </w:r>
          </w:p>
        </w:tc>
      </w:tr>
      <w:tr w:rsidR="00230AAA" w:rsidRPr="00C91C87" w14:paraId="69249F95" w14:textId="77777777" w:rsidTr="001C4EF9">
        <w:tc>
          <w:tcPr>
            <w:tcW w:w="630" w:type="dxa"/>
            <w:tcBorders>
              <w:top w:val="nil"/>
              <w:left w:val="nil"/>
              <w:bottom w:val="nil"/>
              <w:right w:val="nil"/>
            </w:tcBorders>
            <w:shd w:val="clear" w:color="auto" w:fill="auto"/>
            <w:noWrap/>
            <w:hideMark/>
          </w:tcPr>
          <w:p w14:paraId="69249F93"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15</w:t>
            </w:r>
          </w:p>
        </w:tc>
        <w:tc>
          <w:tcPr>
            <w:tcW w:w="8210" w:type="dxa"/>
            <w:tcBorders>
              <w:top w:val="nil"/>
              <w:left w:val="nil"/>
              <w:bottom w:val="nil"/>
              <w:right w:val="nil"/>
            </w:tcBorders>
            <w:shd w:val="clear" w:color="auto" w:fill="auto"/>
            <w:noWrap/>
            <w:hideMark/>
          </w:tcPr>
          <w:p w14:paraId="69249F94"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Base metals and articles of base metal </w:t>
            </w:r>
          </w:p>
        </w:tc>
      </w:tr>
      <w:tr w:rsidR="00230AAA" w:rsidRPr="00C91C87" w14:paraId="69249F98" w14:textId="77777777" w:rsidTr="001C4EF9">
        <w:tc>
          <w:tcPr>
            <w:tcW w:w="630" w:type="dxa"/>
            <w:tcBorders>
              <w:top w:val="nil"/>
              <w:left w:val="nil"/>
              <w:bottom w:val="nil"/>
              <w:right w:val="nil"/>
            </w:tcBorders>
            <w:shd w:val="clear" w:color="auto" w:fill="auto"/>
            <w:noWrap/>
            <w:hideMark/>
          </w:tcPr>
          <w:p w14:paraId="69249F96"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16</w:t>
            </w:r>
          </w:p>
        </w:tc>
        <w:tc>
          <w:tcPr>
            <w:tcW w:w="8210" w:type="dxa"/>
            <w:tcBorders>
              <w:top w:val="nil"/>
              <w:left w:val="nil"/>
              <w:bottom w:val="nil"/>
              <w:right w:val="nil"/>
            </w:tcBorders>
            <w:shd w:val="clear" w:color="auto" w:fill="auto"/>
            <w:noWrap/>
            <w:hideMark/>
          </w:tcPr>
          <w:p w14:paraId="69249F97"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Machinery and mechanical appliances; electrical equipment; parts thereof; sound recorders and reproducers, television image and sound recorders and reproducers, and parts and accessories of such articles </w:t>
            </w:r>
          </w:p>
        </w:tc>
      </w:tr>
      <w:tr w:rsidR="00230AAA" w:rsidRPr="00C91C87" w14:paraId="69249F9B" w14:textId="77777777" w:rsidTr="001C4EF9">
        <w:tc>
          <w:tcPr>
            <w:tcW w:w="630" w:type="dxa"/>
            <w:tcBorders>
              <w:top w:val="nil"/>
              <w:left w:val="nil"/>
              <w:bottom w:val="nil"/>
              <w:right w:val="nil"/>
            </w:tcBorders>
            <w:shd w:val="clear" w:color="auto" w:fill="auto"/>
            <w:noWrap/>
            <w:hideMark/>
          </w:tcPr>
          <w:p w14:paraId="69249F99"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17</w:t>
            </w:r>
          </w:p>
        </w:tc>
        <w:tc>
          <w:tcPr>
            <w:tcW w:w="8210" w:type="dxa"/>
            <w:tcBorders>
              <w:top w:val="nil"/>
              <w:left w:val="nil"/>
              <w:bottom w:val="nil"/>
              <w:right w:val="nil"/>
            </w:tcBorders>
            <w:shd w:val="clear" w:color="auto" w:fill="auto"/>
            <w:noWrap/>
            <w:hideMark/>
          </w:tcPr>
          <w:p w14:paraId="69249F9A"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Vehicles, aircraft, vessels and associated transport equipment </w:t>
            </w:r>
          </w:p>
        </w:tc>
      </w:tr>
      <w:tr w:rsidR="00230AAA" w:rsidRPr="00C91C87" w14:paraId="69249F9E" w14:textId="77777777" w:rsidTr="001C4EF9">
        <w:tc>
          <w:tcPr>
            <w:tcW w:w="630" w:type="dxa"/>
            <w:tcBorders>
              <w:top w:val="nil"/>
              <w:left w:val="nil"/>
              <w:bottom w:val="nil"/>
              <w:right w:val="nil"/>
            </w:tcBorders>
            <w:shd w:val="clear" w:color="auto" w:fill="auto"/>
            <w:noWrap/>
            <w:hideMark/>
          </w:tcPr>
          <w:p w14:paraId="69249F9C"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18</w:t>
            </w:r>
          </w:p>
        </w:tc>
        <w:tc>
          <w:tcPr>
            <w:tcW w:w="8210" w:type="dxa"/>
            <w:tcBorders>
              <w:top w:val="nil"/>
              <w:left w:val="nil"/>
              <w:bottom w:val="nil"/>
              <w:right w:val="nil"/>
            </w:tcBorders>
            <w:shd w:val="clear" w:color="auto" w:fill="auto"/>
            <w:noWrap/>
            <w:hideMark/>
          </w:tcPr>
          <w:p w14:paraId="69249F9D"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Optical, photographic, cinematographic, measuring, checking, precision, medical or surgical instruments and apparatus; clocks and watches; musical instruments; parts and accessories thereof </w:t>
            </w:r>
          </w:p>
        </w:tc>
      </w:tr>
      <w:tr w:rsidR="00230AAA" w:rsidRPr="00C91C87" w14:paraId="69249FA1" w14:textId="77777777" w:rsidTr="001C4EF9">
        <w:tc>
          <w:tcPr>
            <w:tcW w:w="630" w:type="dxa"/>
            <w:tcBorders>
              <w:top w:val="nil"/>
              <w:left w:val="nil"/>
              <w:bottom w:val="nil"/>
              <w:right w:val="nil"/>
            </w:tcBorders>
            <w:shd w:val="clear" w:color="auto" w:fill="auto"/>
            <w:noWrap/>
            <w:hideMark/>
          </w:tcPr>
          <w:p w14:paraId="69249F9F"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19</w:t>
            </w:r>
          </w:p>
        </w:tc>
        <w:tc>
          <w:tcPr>
            <w:tcW w:w="8210" w:type="dxa"/>
            <w:tcBorders>
              <w:top w:val="nil"/>
              <w:left w:val="nil"/>
              <w:bottom w:val="nil"/>
              <w:right w:val="nil"/>
            </w:tcBorders>
            <w:shd w:val="clear" w:color="auto" w:fill="auto"/>
            <w:noWrap/>
            <w:hideMark/>
          </w:tcPr>
          <w:p w14:paraId="69249FA0"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Arms and ammunition; parts and accessories thereof </w:t>
            </w:r>
          </w:p>
        </w:tc>
      </w:tr>
      <w:tr w:rsidR="00230AAA" w:rsidRPr="00C91C87" w14:paraId="69249FA4" w14:textId="77777777" w:rsidTr="001C4EF9">
        <w:tc>
          <w:tcPr>
            <w:tcW w:w="630" w:type="dxa"/>
            <w:tcBorders>
              <w:top w:val="nil"/>
              <w:left w:val="nil"/>
              <w:bottom w:val="nil"/>
              <w:right w:val="nil"/>
            </w:tcBorders>
            <w:shd w:val="clear" w:color="auto" w:fill="auto"/>
            <w:noWrap/>
            <w:hideMark/>
          </w:tcPr>
          <w:p w14:paraId="69249FA2"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20</w:t>
            </w:r>
          </w:p>
        </w:tc>
        <w:tc>
          <w:tcPr>
            <w:tcW w:w="8210" w:type="dxa"/>
            <w:tcBorders>
              <w:top w:val="nil"/>
              <w:left w:val="nil"/>
              <w:bottom w:val="nil"/>
              <w:right w:val="nil"/>
            </w:tcBorders>
            <w:shd w:val="clear" w:color="auto" w:fill="auto"/>
            <w:noWrap/>
            <w:hideMark/>
          </w:tcPr>
          <w:p w14:paraId="69249FA3"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Miscellaneous manufactured articles </w:t>
            </w:r>
          </w:p>
        </w:tc>
      </w:tr>
      <w:tr w:rsidR="00230AAA" w:rsidRPr="00C91C87" w14:paraId="69249FA7" w14:textId="77777777" w:rsidTr="001C4EF9">
        <w:tc>
          <w:tcPr>
            <w:tcW w:w="630" w:type="dxa"/>
            <w:tcBorders>
              <w:top w:val="nil"/>
              <w:left w:val="nil"/>
              <w:bottom w:val="nil"/>
              <w:right w:val="nil"/>
            </w:tcBorders>
            <w:shd w:val="clear" w:color="auto" w:fill="auto"/>
            <w:noWrap/>
            <w:hideMark/>
          </w:tcPr>
          <w:p w14:paraId="69249FA5" w14:textId="77777777" w:rsidR="00230AAA" w:rsidRPr="00A364CB" w:rsidRDefault="00230AAA" w:rsidP="001C4EF9">
            <w:pPr>
              <w:jc w:val="cente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21</w:t>
            </w:r>
          </w:p>
        </w:tc>
        <w:tc>
          <w:tcPr>
            <w:tcW w:w="8210" w:type="dxa"/>
            <w:tcBorders>
              <w:top w:val="nil"/>
              <w:left w:val="nil"/>
              <w:bottom w:val="nil"/>
              <w:right w:val="nil"/>
            </w:tcBorders>
            <w:shd w:val="clear" w:color="auto" w:fill="auto"/>
            <w:noWrap/>
            <w:hideMark/>
          </w:tcPr>
          <w:p w14:paraId="69249FA6" w14:textId="77777777" w:rsidR="00230AAA" w:rsidRPr="00A364CB" w:rsidRDefault="00230AAA" w:rsidP="001C4EF9">
            <w:pPr>
              <w:rPr>
                <w:rFonts w:asciiTheme="majorHAnsi" w:eastAsia="Times New Roman" w:hAnsiTheme="majorHAnsi" w:cstheme="majorHAnsi"/>
                <w:color w:val="000000"/>
                <w:sz w:val="14"/>
                <w:szCs w:val="14"/>
                <w:lang w:eastAsia="en-GB"/>
              </w:rPr>
            </w:pPr>
            <w:r w:rsidRPr="00A364CB">
              <w:rPr>
                <w:rFonts w:asciiTheme="majorHAnsi" w:eastAsia="Times New Roman" w:hAnsiTheme="majorHAnsi" w:cstheme="majorHAnsi"/>
                <w:color w:val="000000"/>
                <w:sz w:val="14"/>
                <w:szCs w:val="14"/>
                <w:lang w:eastAsia="en-GB"/>
              </w:rPr>
              <w:t>Works of art, collectors’ pieces and antiques </w:t>
            </w:r>
          </w:p>
        </w:tc>
      </w:tr>
    </w:tbl>
    <w:p w14:paraId="69249FA8" w14:textId="77777777" w:rsidR="00230AAA" w:rsidRDefault="00230AAA" w:rsidP="00230AAA">
      <w:pPr>
        <w:pStyle w:val="Source"/>
      </w:pPr>
      <w:r>
        <w:t xml:space="preserve">Source: Authors’ calculation using data from the UN’s </w:t>
      </w:r>
      <w:proofErr w:type="spellStart"/>
      <w:r>
        <w:t>COMTRADE</w:t>
      </w:r>
      <w:proofErr w:type="spellEnd"/>
      <w:r>
        <w:t xml:space="preserve"> database.</w:t>
      </w:r>
    </w:p>
    <w:p w14:paraId="69249FA9" w14:textId="77777777" w:rsidR="00230AAA" w:rsidRDefault="00230AAA" w:rsidP="00230AAA">
      <w:pPr>
        <w:rPr>
          <w:rFonts w:ascii="Arial" w:hAnsi="Arial"/>
          <w:i/>
          <w:sz w:val="16"/>
        </w:rPr>
      </w:pPr>
      <w:r>
        <w:br w:type="page"/>
      </w:r>
    </w:p>
    <w:p w14:paraId="69249FAA" w14:textId="77777777" w:rsidR="00230AAA" w:rsidRDefault="00230AAA" w:rsidP="00230AAA">
      <w:pPr>
        <w:pStyle w:val="FigureHeading"/>
        <w:spacing w:before="0"/>
      </w:pPr>
      <w:bookmarkStart w:id="79" w:name="_Toc405451009"/>
      <w:bookmarkStart w:id="80" w:name="_Toc405451573"/>
      <w:bookmarkStart w:id="81" w:name="_Toc405466111"/>
      <w:bookmarkStart w:id="82" w:name="_Toc428437719"/>
      <w:r>
        <w:t xml:space="preserve">Top import products, </w:t>
      </w:r>
      <w:r w:rsidR="006D469D">
        <w:t>West Bank &amp; Gaza</w:t>
      </w:r>
      <w:r>
        <w:t xml:space="preserve"> (average </w:t>
      </w:r>
      <w:r w:rsidR="008E50D2">
        <w:t>2010–12</w:t>
      </w:r>
      <w:r>
        <w:t>)</w:t>
      </w:r>
      <w:bookmarkEnd w:id="79"/>
      <w:bookmarkEnd w:id="80"/>
      <w:bookmarkEnd w:id="81"/>
      <w:bookmarkEnd w:id="82"/>
    </w:p>
    <w:p w14:paraId="69249FAB" w14:textId="77777777" w:rsidR="008D1979" w:rsidRPr="008D1979" w:rsidRDefault="008D1979" w:rsidP="008D1979">
      <w:pPr>
        <w:pStyle w:val="BodyText"/>
      </w:pPr>
      <w:r>
        <w:rPr>
          <w:noProof/>
          <w:lang w:eastAsia="en-GB"/>
        </w:rPr>
        <w:drawing>
          <wp:inline distT="0" distB="0" distL="0" distR="0" wp14:anchorId="6924A0E2" wp14:editId="6924A0E3">
            <wp:extent cx="4937760" cy="2315749"/>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6">
                      <a:extLst>
                        <a:ext uri="{28A0092B-C50C-407E-A947-70E740481C1C}">
                          <a14:useLocalDpi xmlns:a14="http://schemas.microsoft.com/office/drawing/2010/main" val="0"/>
                        </a:ext>
                      </a:extLst>
                    </a:blip>
                    <a:srcRect l="12076" t="2876"/>
                    <a:stretch/>
                  </pic:blipFill>
                  <pic:spPr bwMode="auto">
                    <a:xfrm>
                      <a:off x="0" y="0"/>
                      <a:ext cx="4936643" cy="2315225"/>
                    </a:xfrm>
                    <a:prstGeom prst="rect">
                      <a:avLst/>
                    </a:prstGeom>
                    <a:noFill/>
                    <a:ln>
                      <a:noFill/>
                    </a:ln>
                    <a:extLst>
                      <a:ext uri="{53640926-AAD7-44D8-BBD7-CCE9431645EC}">
                        <a14:shadowObscured xmlns:a14="http://schemas.microsoft.com/office/drawing/2010/main"/>
                      </a:ext>
                    </a:extLst>
                  </pic:spPr>
                </pic:pic>
              </a:graphicData>
            </a:graphic>
          </wp:inline>
        </w:drawing>
      </w:r>
    </w:p>
    <w:p w14:paraId="69249FAC" w14:textId="77777777" w:rsidR="00230AAA" w:rsidRDefault="00230AAA" w:rsidP="00230AAA">
      <w:pPr>
        <w:pStyle w:val="Source"/>
      </w:pPr>
      <w:r>
        <w:t>Note: At Harmonised System 6-digit level.</w:t>
      </w:r>
      <w:r>
        <w:br/>
        <w:t xml:space="preserve">Source: Authors’ calculations using data from UN </w:t>
      </w:r>
      <w:proofErr w:type="spellStart"/>
      <w:r>
        <w:t>COMTRADE</w:t>
      </w:r>
      <w:proofErr w:type="spellEnd"/>
      <w:r>
        <w:t xml:space="preserve"> database.</w:t>
      </w:r>
    </w:p>
    <w:p w14:paraId="69249FAD" w14:textId="77777777" w:rsidR="009A2E9A" w:rsidRDefault="009A2E9A" w:rsidP="00230AAA">
      <w:pPr>
        <w:pStyle w:val="Source"/>
      </w:pPr>
    </w:p>
    <w:p w14:paraId="69249FAE" w14:textId="77777777" w:rsidR="00230AAA" w:rsidRDefault="00230AAA" w:rsidP="00230AAA">
      <w:pPr>
        <w:pStyle w:val="FigureHeading"/>
        <w:spacing w:before="0"/>
      </w:pPr>
      <w:bookmarkStart w:id="83" w:name="_Toc405451010"/>
      <w:bookmarkStart w:id="84" w:name="_Toc405451574"/>
      <w:bookmarkStart w:id="85" w:name="_Toc405466112"/>
      <w:bookmarkStart w:id="86" w:name="_Toc428437720"/>
      <w:r>
        <w:t xml:space="preserve">Top import sources, </w:t>
      </w:r>
      <w:r w:rsidR="006D469D">
        <w:t>West Bank &amp; Gaza</w:t>
      </w:r>
      <w:r>
        <w:t xml:space="preserve"> (average </w:t>
      </w:r>
      <w:r w:rsidR="008E50D2">
        <w:t>2010–12</w:t>
      </w:r>
      <w:r>
        <w:t>)</w:t>
      </w:r>
      <w:bookmarkEnd w:id="83"/>
      <w:bookmarkEnd w:id="84"/>
      <w:bookmarkEnd w:id="85"/>
      <w:bookmarkEnd w:id="86"/>
    </w:p>
    <w:p w14:paraId="69249FAF" w14:textId="77777777" w:rsidR="008D1979" w:rsidRPr="008D1979" w:rsidRDefault="008D1979" w:rsidP="008D1979">
      <w:pPr>
        <w:pStyle w:val="BodyText"/>
      </w:pPr>
      <w:r>
        <w:rPr>
          <w:noProof/>
          <w:lang w:eastAsia="en-GB"/>
        </w:rPr>
        <w:drawing>
          <wp:inline distT="0" distB="0" distL="0" distR="0" wp14:anchorId="6924A0E4" wp14:editId="6924A0E5">
            <wp:extent cx="5052059" cy="2194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7">
                      <a:extLst>
                        <a:ext uri="{28A0092B-C50C-407E-A947-70E740481C1C}">
                          <a14:useLocalDpi xmlns:a14="http://schemas.microsoft.com/office/drawing/2010/main" val="0"/>
                        </a:ext>
                      </a:extLst>
                    </a:blip>
                    <a:srcRect l="10041" b="7959"/>
                    <a:stretch/>
                  </pic:blipFill>
                  <pic:spPr bwMode="auto">
                    <a:xfrm>
                      <a:off x="0" y="0"/>
                      <a:ext cx="5050917" cy="2194064"/>
                    </a:xfrm>
                    <a:prstGeom prst="rect">
                      <a:avLst/>
                    </a:prstGeom>
                    <a:noFill/>
                    <a:ln>
                      <a:noFill/>
                    </a:ln>
                    <a:extLst>
                      <a:ext uri="{53640926-AAD7-44D8-BBD7-CCE9431645EC}">
                        <a14:shadowObscured xmlns:a14="http://schemas.microsoft.com/office/drawing/2010/main"/>
                      </a:ext>
                    </a:extLst>
                  </pic:spPr>
                </pic:pic>
              </a:graphicData>
            </a:graphic>
          </wp:inline>
        </w:drawing>
      </w:r>
    </w:p>
    <w:p w14:paraId="69249FB0" w14:textId="77777777" w:rsidR="00230AAA" w:rsidRDefault="00230AAA" w:rsidP="00230AAA">
      <w:pPr>
        <w:pStyle w:val="Source"/>
      </w:pPr>
      <w:r>
        <w:t xml:space="preserve">Source: Authors’ calculations using data from UN </w:t>
      </w:r>
      <w:proofErr w:type="spellStart"/>
      <w:r>
        <w:t>COMTRADE</w:t>
      </w:r>
      <w:proofErr w:type="spellEnd"/>
      <w:r>
        <w:t xml:space="preserve"> database.</w:t>
      </w:r>
    </w:p>
    <w:p w14:paraId="69249FB1" w14:textId="77777777" w:rsidR="004D6FA5" w:rsidRDefault="004D6FA5">
      <w:pPr>
        <w:rPr>
          <w:rFonts w:ascii="Arial" w:eastAsia="Times New Roman" w:hAnsi="Arial"/>
          <w:b/>
          <w:color w:val="006C67" w:themeColor="accent1"/>
          <w:sz w:val="24"/>
          <w:szCs w:val="26"/>
        </w:rPr>
      </w:pPr>
      <w:bookmarkStart w:id="87" w:name="_Toc405451002"/>
      <w:bookmarkStart w:id="88" w:name="_Toc405451566"/>
      <w:bookmarkStart w:id="89" w:name="_Toc405466104"/>
      <w:r>
        <w:br w:type="page"/>
      </w:r>
    </w:p>
    <w:p w14:paraId="69249FB2" w14:textId="77777777" w:rsidR="004D6FA5" w:rsidRDefault="004D6FA5" w:rsidP="004D6FA5">
      <w:pPr>
        <w:pStyle w:val="Heading2"/>
      </w:pPr>
      <w:bookmarkStart w:id="90" w:name="_Toc428437721"/>
      <w:r>
        <w:t>Diversification</w:t>
      </w:r>
      <w:bookmarkEnd w:id="90"/>
    </w:p>
    <w:p w14:paraId="69249FB3" w14:textId="77777777" w:rsidR="004D6FA5" w:rsidRDefault="004D6FA5" w:rsidP="004D6FA5">
      <w:pPr>
        <w:pStyle w:val="FigureHeading"/>
        <w:spacing w:before="0"/>
      </w:pPr>
      <w:bookmarkStart w:id="91" w:name="_Toc428437722"/>
      <w:r>
        <w:t>Number of export items and markets, West Bank &amp; Gaza, 2007–</w:t>
      </w:r>
      <w:bookmarkEnd w:id="87"/>
      <w:bookmarkEnd w:id="88"/>
      <w:r>
        <w:t>12</w:t>
      </w:r>
      <w:bookmarkEnd w:id="89"/>
      <w:bookmarkEnd w:id="91"/>
    </w:p>
    <w:p w14:paraId="69249FB4" w14:textId="77777777" w:rsidR="004D6FA5" w:rsidRPr="00E115E4" w:rsidRDefault="004D6FA5" w:rsidP="004D6FA5">
      <w:pPr>
        <w:pStyle w:val="BodyText"/>
        <w:spacing w:before="39" w:after="0" w:line="240" w:lineRule="auto"/>
        <w:jc w:val="left"/>
      </w:pPr>
      <w:r>
        <w:rPr>
          <w:noProof/>
          <w:lang w:eastAsia="en-GB"/>
        </w:rPr>
        <w:drawing>
          <wp:inline distT="0" distB="0" distL="0" distR="0" wp14:anchorId="6924A0E6" wp14:editId="6924A0E7">
            <wp:extent cx="4572000" cy="2286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9249FB5" w14:textId="77777777" w:rsidR="004D6FA5" w:rsidRDefault="004D6FA5" w:rsidP="004D6FA5">
      <w:pPr>
        <w:pStyle w:val="Source"/>
      </w:pPr>
      <w:r>
        <w:t>Note: EU countries counted individually.</w:t>
      </w:r>
      <w:r>
        <w:br/>
        <w:t xml:space="preserve">Source: Authors’ calculation using data from the UN’s </w:t>
      </w:r>
      <w:proofErr w:type="spellStart"/>
      <w:r>
        <w:t>COMTRADE</w:t>
      </w:r>
      <w:proofErr w:type="spellEnd"/>
      <w:r>
        <w:t xml:space="preserve"> database.</w:t>
      </w:r>
    </w:p>
    <w:p w14:paraId="69249FB6" w14:textId="77777777" w:rsidR="009A2E9A" w:rsidRDefault="009A2E9A" w:rsidP="004D6FA5">
      <w:pPr>
        <w:pStyle w:val="Source"/>
      </w:pPr>
    </w:p>
    <w:p w14:paraId="69249FB7" w14:textId="77777777" w:rsidR="004D6FA5" w:rsidRDefault="004D6FA5" w:rsidP="004D6FA5">
      <w:pPr>
        <w:pStyle w:val="FigureHeading"/>
        <w:spacing w:before="0"/>
      </w:pPr>
      <w:bookmarkStart w:id="92" w:name="_Toc405451008"/>
      <w:bookmarkStart w:id="93" w:name="_Toc405451572"/>
      <w:bookmarkStart w:id="94" w:name="_Toc405466110"/>
      <w:bookmarkStart w:id="95" w:name="_Toc428437723"/>
      <w:r>
        <w:t>Number of import items and suppliers, West Bank &amp; Gaza, 2007–</w:t>
      </w:r>
      <w:bookmarkEnd w:id="92"/>
      <w:bookmarkEnd w:id="93"/>
      <w:r>
        <w:t>12</w:t>
      </w:r>
      <w:bookmarkEnd w:id="94"/>
      <w:bookmarkEnd w:id="95"/>
    </w:p>
    <w:p w14:paraId="69249FB8" w14:textId="77777777" w:rsidR="004D6FA5" w:rsidRDefault="004D6FA5" w:rsidP="004D6FA5">
      <w:pPr>
        <w:pStyle w:val="Source"/>
        <w:spacing w:after="0"/>
      </w:pPr>
      <w:r>
        <w:rPr>
          <w:noProof/>
          <w:lang w:eastAsia="en-GB"/>
        </w:rPr>
        <w:drawing>
          <wp:inline distT="0" distB="0" distL="0" distR="0" wp14:anchorId="6924A0E8" wp14:editId="6924A0E9">
            <wp:extent cx="4572000" cy="2286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69249FB9" w14:textId="77777777" w:rsidR="00A34431" w:rsidRDefault="004D6FA5" w:rsidP="004D6FA5">
      <w:pPr>
        <w:pStyle w:val="Source"/>
      </w:pPr>
      <w:r>
        <w:t>Note: EU countries counted individually.</w:t>
      </w:r>
      <w:r>
        <w:br/>
        <w:t xml:space="preserve">Source: Authors’ calculation using data from the UN’s </w:t>
      </w:r>
      <w:proofErr w:type="spellStart"/>
      <w:r>
        <w:t>COMTRADE</w:t>
      </w:r>
      <w:proofErr w:type="spellEnd"/>
      <w:r>
        <w:t xml:space="preserve"> database.</w:t>
      </w:r>
    </w:p>
    <w:p w14:paraId="69249FBA" w14:textId="77777777" w:rsidR="004D6FA5" w:rsidRDefault="004D6FA5">
      <w:pPr>
        <w:rPr>
          <w:rFonts w:ascii="Arial" w:hAnsi="Arial"/>
          <w:i/>
          <w:sz w:val="16"/>
        </w:rPr>
      </w:pPr>
      <w:r>
        <w:br w:type="page"/>
      </w:r>
    </w:p>
    <w:p w14:paraId="69249FBC" w14:textId="77777777" w:rsidR="00757000" w:rsidRDefault="00757000" w:rsidP="00757000">
      <w:pPr>
        <w:pStyle w:val="Heading2"/>
      </w:pPr>
      <w:bookmarkStart w:id="96" w:name="_Toc409172708"/>
      <w:bookmarkStart w:id="97" w:name="_Toc409174188"/>
      <w:bookmarkStart w:id="98" w:name="_Toc409179346"/>
      <w:bookmarkStart w:id="99" w:name="_Toc428437724"/>
      <w:bookmarkStart w:id="100" w:name="_Toc408311614"/>
      <w:r>
        <w:t>Revealed comparative advantage</w:t>
      </w:r>
      <w:bookmarkEnd w:id="96"/>
      <w:bookmarkEnd w:id="97"/>
      <w:bookmarkEnd w:id="98"/>
      <w:bookmarkEnd w:id="99"/>
    </w:p>
    <w:p w14:paraId="69249FBD" w14:textId="77777777" w:rsidR="00757000" w:rsidRPr="0063355C" w:rsidRDefault="00757000" w:rsidP="00757000">
      <w:pPr>
        <w:pStyle w:val="TableHeading"/>
      </w:pPr>
      <w:bookmarkStart w:id="101" w:name="_Toc409172709"/>
      <w:bookmarkStart w:id="102" w:name="_Toc409174189"/>
      <w:bookmarkStart w:id="103" w:name="_Toc409179347"/>
      <w:bookmarkStart w:id="104" w:name="_Toc428437725"/>
      <w:r>
        <w:t xml:space="preserve">Revealed comparative advantage by HS Section, </w:t>
      </w:r>
      <w:bookmarkEnd w:id="101"/>
      <w:bookmarkEnd w:id="102"/>
      <w:bookmarkEnd w:id="103"/>
      <w:r>
        <w:t>West Bank &amp; Gaza</w:t>
      </w:r>
      <w:bookmarkEnd w:id="104"/>
    </w:p>
    <w:tbl>
      <w:tblPr>
        <w:tblW w:w="5000" w:type="pct"/>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683"/>
        <w:gridCol w:w="4651"/>
        <w:gridCol w:w="584"/>
        <w:gridCol w:w="585"/>
        <w:gridCol w:w="584"/>
        <w:gridCol w:w="584"/>
        <w:gridCol w:w="585"/>
        <w:gridCol w:w="584"/>
      </w:tblGrid>
      <w:tr w:rsidR="00757000" w:rsidRPr="0063355C" w14:paraId="69249FC6" w14:textId="77777777" w:rsidTr="00757000">
        <w:trPr>
          <w:trHeight w:val="240"/>
        </w:trPr>
        <w:tc>
          <w:tcPr>
            <w:tcW w:w="683" w:type="dxa"/>
            <w:shd w:val="clear" w:color="auto" w:fill="E0E0E0" w:themeFill="accent4"/>
            <w:hideMark/>
          </w:tcPr>
          <w:p w14:paraId="69249FBE"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HS Sect</w:t>
            </w:r>
            <w:r>
              <w:rPr>
                <w:rFonts w:asciiTheme="majorHAnsi" w:eastAsia="Times New Roman" w:hAnsiTheme="majorHAnsi" w:cstheme="majorHAnsi"/>
                <w:b/>
                <w:bCs/>
                <w:color w:val="000000"/>
                <w:sz w:val="16"/>
                <w:szCs w:val="16"/>
                <w:lang w:eastAsia="en-GB"/>
              </w:rPr>
              <w:t>.</w:t>
            </w:r>
          </w:p>
        </w:tc>
        <w:tc>
          <w:tcPr>
            <w:tcW w:w="4651" w:type="dxa"/>
            <w:shd w:val="clear" w:color="auto" w:fill="E0E0E0" w:themeFill="accent4"/>
            <w:hideMark/>
          </w:tcPr>
          <w:p w14:paraId="69249FBF" w14:textId="77777777" w:rsidR="00757000" w:rsidRPr="0063355C" w:rsidRDefault="00757000" w:rsidP="00A00DED">
            <w:pPr>
              <w:spacing w:before="60" w:after="40"/>
              <w:ind w:left="72" w:right="72"/>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Product label</w:t>
            </w:r>
          </w:p>
        </w:tc>
        <w:tc>
          <w:tcPr>
            <w:tcW w:w="584" w:type="dxa"/>
            <w:shd w:val="clear" w:color="auto" w:fill="E0E0E0" w:themeFill="accent4"/>
            <w:hideMark/>
          </w:tcPr>
          <w:p w14:paraId="69249FC0"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2007</w:t>
            </w:r>
          </w:p>
        </w:tc>
        <w:tc>
          <w:tcPr>
            <w:tcW w:w="585" w:type="dxa"/>
            <w:shd w:val="clear" w:color="auto" w:fill="E0E0E0" w:themeFill="accent4"/>
            <w:hideMark/>
          </w:tcPr>
          <w:p w14:paraId="69249FC1"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2008</w:t>
            </w:r>
          </w:p>
        </w:tc>
        <w:tc>
          <w:tcPr>
            <w:tcW w:w="584" w:type="dxa"/>
            <w:shd w:val="clear" w:color="auto" w:fill="E0E0E0" w:themeFill="accent4"/>
            <w:hideMark/>
          </w:tcPr>
          <w:p w14:paraId="69249FC2"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2009</w:t>
            </w:r>
          </w:p>
        </w:tc>
        <w:tc>
          <w:tcPr>
            <w:tcW w:w="584" w:type="dxa"/>
            <w:shd w:val="clear" w:color="auto" w:fill="E0E0E0" w:themeFill="accent4"/>
            <w:hideMark/>
          </w:tcPr>
          <w:p w14:paraId="69249FC3"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2010</w:t>
            </w:r>
          </w:p>
        </w:tc>
        <w:tc>
          <w:tcPr>
            <w:tcW w:w="585" w:type="dxa"/>
            <w:shd w:val="clear" w:color="auto" w:fill="E0E0E0" w:themeFill="accent4"/>
            <w:hideMark/>
          </w:tcPr>
          <w:p w14:paraId="69249FC4"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2011</w:t>
            </w:r>
          </w:p>
        </w:tc>
        <w:tc>
          <w:tcPr>
            <w:tcW w:w="584" w:type="dxa"/>
            <w:shd w:val="clear" w:color="auto" w:fill="E0E0E0" w:themeFill="accent4"/>
            <w:hideMark/>
          </w:tcPr>
          <w:p w14:paraId="69249FC5" w14:textId="77777777" w:rsidR="00757000" w:rsidRPr="0063355C" w:rsidRDefault="00757000" w:rsidP="00A00DED">
            <w:pPr>
              <w:spacing w:before="60" w:after="40"/>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2012</w:t>
            </w:r>
          </w:p>
        </w:tc>
      </w:tr>
      <w:tr w:rsidR="00757000" w:rsidRPr="0063355C" w14:paraId="69249FCF" w14:textId="77777777" w:rsidTr="00757000">
        <w:trPr>
          <w:trHeight w:val="240"/>
        </w:trPr>
        <w:tc>
          <w:tcPr>
            <w:tcW w:w="683" w:type="dxa"/>
            <w:shd w:val="clear" w:color="auto" w:fill="auto"/>
            <w:noWrap/>
            <w:hideMark/>
          </w:tcPr>
          <w:p w14:paraId="69249FC7" w14:textId="77777777" w:rsidR="00757000" w:rsidRPr="0063355C" w:rsidRDefault="00757000" w:rsidP="00A00DED">
            <w:pPr>
              <w:spacing w:line="220" w:lineRule="atLeast"/>
              <w:jc w:val="center"/>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 </w:t>
            </w:r>
          </w:p>
        </w:tc>
        <w:tc>
          <w:tcPr>
            <w:tcW w:w="4651" w:type="dxa"/>
            <w:shd w:val="clear" w:color="auto" w:fill="auto"/>
            <w:noWrap/>
            <w:hideMark/>
          </w:tcPr>
          <w:p w14:paraId="69249FC8" w14:textId="77777777" w:rsidR="00757000" w:rsidRPr="0063355C" w:rsidRDefault="00757000" w:rsidP="00A00DED">
            <w:pPr>
              <w:spacing w:line="220" w:lineRule="atLeast"/>
              <w:ind w:left="72" w:right="72"/>
              <w:rPr>
                <w:rFonts w:asciiTheme="majorHAnsi" w:eastAsia="Times New Roman" w:hAnsiTheme="majorHAnsi" w:cstheme="majorHAnsi"/>
                <w:b/>
                <w:bCs/>
                <w:color w:val="000000"/>
                <w:sz w:val="16"/>
                <w:szCs w:val="16"/>
                <w:lang w:eastAsia="en-GB"/>
              </w:rPr>
            </w:pPr>
            <w:r w:rsidRPr="0063355C">
              <w:rPr>
                <w:rFonts w:asciiTheme="majorHAnsi" w:eastAsia="Times New Roman" w:hAnsiTheme="majorHAnsi" w:cstheme="majorHAnsi"/>
                <w:b/>
                <w:bCs/>
                <w:color w:val="000000"/>
                <w:sz w:val="16"/>
                <w:szCs w:val="16"/>
                <w:lang w:eastAsia="en-GB"/>
              </w:rPr>
              <w:t>Total in HS 1-97</w:t>
            </w:r>
          </w:p>
        </w:tc>
        <w:tc>
          <w:tcPr>
            <w:tcW w:w="584" w:type="dxa"/>
            <w:shd w:val="clear" w:color="auto" w:fill="auto"/>
            <w:noWrap/>
            <w:vAlign w:val="center"/>
          </w:tcPr>
          <w:p w14:paraId="69249FC9"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c>
          <w:tcPr>
            <w:tcW w:w="585" w:type="dxa"/>
            <w:shd w:val="clear" w:color="auto" w:fill="auto"/>
            <w:noWrap/>
            <w:vAlign w:val="center"/>
          </w:tcPr>
          <w:p w14:paraId="69249FCA"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c>
          <w:tcPr>
            <w:tcW w:w="584" w:type="dxa"/>
            <w:shd w:val="clear" w:color="auto" w:fill="auto"/>
            <w:noWrap/>
            <w:vAlign w:val="center"/>
          </w:tcPr>
          <w:p w14:paraId="69249FCB"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c>
          <w:tcPr>
            <w:tcW w:w="584" w:type="dxa"/>
            <w:shd w:val="clear" w:color="auto" w:fill="auto"/>
            <w:noWrap/>
            <w:vAlign w:val="center"/>
          </w:tcPr>
          <w:p w14:paraId="69249FCC"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c>
          <w:tcPr>
            <w:tcW w:w="585" w:type="dxa"/>
            <w:shd w:val="clear" w:color="auto" w:fill="auto"/>
            <w:noWrap/>
            <w:vAlign w:val="center"/>
          </w:tcPr>
          <w:p w14:paraId="69249FCD"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c>
          <w:tcPr>
            <w:tcW w:w="584" w:type="dxa"/>
            <w:shd w:val="clear" w:color="auto" w:fill="auto"/>
            <w:noWrap/>
            <w:vAlign w:val="center"/>
          </w:tcPr>
          <w:p w14:paraId="69249FCE" w14:textId="77777777" w:rsidR="00757000" w:rsidRPr="00757000" w:rsidRDefault="00757000" w:rsidP="00A00DED">
            <w:pPr>
              <w:spacing w:line="220" w:lineRule="atLeast"/>
              <w:jc w:val="center"/>
              <w:rPr>
                <w:rFonts w:ascii="Arial" w:eastAsia="Times New Roman" w:hAnsi="Arial" w:cs="Arial"/>
                <w:b/>
                <w:bCs/>
                <w:color w:val="000000"/>
                <w:sz w:val="16"/>
                <w:szCs w:val="18"/>
                <w:lang w:eastAsia="en-GB"/>
              </w:rPr>
            </w:pPr>
            <w:r w:rsidRPr="00757000">
              <w:rPr>
                <w:rFonts w:ascii="Arial" w:eastAsia="Times New Roman" w:hAnsi="Arial" w:cs="Arial"/>
                <w:b/>
                <w:bCs/>
                <w:color w:val="000000"/>
                <w:sz w:val="16"/>
                <w:szCs w:val="18"/>
                <w:lang w:eastAsia="en-GB"/>
              </w:rPr>
              <w:t>1.00</w:t>
            </w:r>
          </w:p>
        </w:tc>
      </w:tr>
      <w:tr w:rsidR="00757000" w:rsidRPr="0063355C" w14:paraId="69249FD8" w14:textId="77777777" w:rsidTr="00757000">
        <w:trPr>
          <w:trHeight w:val="240"/>
        </w:trPr>
        <w:tc>
          <w:tcPr>
            <w:tcW w:w="683" w:type="dxa"/>
            <w:shd w:val="clear" w:color="auto" w:fill="auto"/>
            <w:noWrap/>
            <w:hideMark/>
          </w:tcPr>
          <w:p w14:paraId="69249FD0"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w:t>
            </w:r>
          </w:p>
        </w:tc>
        <w:tc>
          <w:tcPr>
            <w:tcW w:w="4651" w:type="dxa"/>
            <w:shd w:val="clear" w:color="auto" w:fill="auto"/>
            <w:noWrap/>
            <w:vAlign w:val="center"/>
            <w:hideMark/>
          </w:tcPr>
          <w:p w14:paraId="69249FD1"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Live animals; animal products </w:t>
            </w:r>
          </w:p>
        </w:tc>
        <w:tc>
          <w:tcPr>
            <w:tcW w:w="584" w:type="dxa"/>
            <w:shd w:val="clear" w:color="auto" w:fill="auto"/>
            <w:noWrap/>
            <w:vAlign w:val="center"/>
          </w:tcPr>
          <w:p w14:paraId="69249FD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0.39</w:t>
            </w:r>
          </w:p>
        </w:tc>
        <w:tc>
          <w:tcPr>
            <w:tcW w:w="585" w:type="dxa"/>
            <w:shd w:val="clear" w:color="auto" w:fill="auto"/>
            <w:noWrap/>
            <w:vAlign w:val="center"/>
          </w:tcPr>
          <w:p w14:paraId="69249FD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0.41</w:t>
            </w:r>
          </w:p>
        </w:tc>
        <w:tc>
          <w:tcPr>
            <w:tcW w:w="584" w:type="dxa"/>
            <w:shd w:val="clear" w:color="auto" w:fill="auto"/>
            <w:noWrap/>
            <w:vAlign w:val="center"/>
          </w:tcPr>
          <w:p w14:paraId="69249FD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0.42</w:t>
            </w:r>
          </w:p>
        </w:tc>
        <w:tc>
          <w:tcPr>
            <w:tcW w:w="584" w:type="dxa"/>
            <w:shd w:val="clear" w:color="auto" w:fill="auto"/>
            <w:noWrap/>
            <w:vAlign w:val="center"/>
          </w:tcPr>
          <w:p w14:paraId="69249FD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1.43</w:t>
            </w:r>
          </w:p>
        </w:tc>
        <w:tc>
          <w:tcPr>
            <w:tcW w:w="585" w:type="dxa"/>
            <w:shd w:val="clear" w:color="auto" w:fill="auto"/>
            <w:noWrap/>
            <w:vAlign w:val="center"/>
          </w:tcPr>
          <w:p w14:paraId="69249FD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0.47</w:t>
            </w:r>
          </w:p>
        </w:tc>
        <w:tc>
          <w:tcPr>
            <w:tcW w:w="584" w:type="dxa"/>
            <w:shd w:val="clear" w:color="auto" w:fill="auto"/>
            <w:noWrap/>
            <w:vAlign w:val="center"/>
          </w:tcPr>
          <w:p w14:paraId="69249FD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0.40</w:t>
            </w:r>
          </w:p>
        </w:tc>
      </w:tr>
      <w:tr w:rsidR="00757000" w:rsidRPr="0063355C" w14:paraId="69249FE1" w14:textId="77777777" w:rsidTr="00757000">
        <w:trPr>
          <w:trHeight w:val="240"/>
        </w:trPr>
        <w:tc>
          <w:tcPr>
            <w:tcW w:w="683" w:type="dxa"/>
            <w:shd w:val="clear" w:color="auto" w:fill="auto"/>
            <w:noWrap/>
            <w:hideMark/>
          </w:tcPr>
          <w:p w14:paraId="69249FD9"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2</w:t>
            </w:r>
          </w:p>
        </w:tc>
        <w:tc>
          <w:tcPr>
            <w:tcW w:w="4651" w:type="dxa"/>
            <w:shd w:val="clear" w:color="auto" w:fill="auto"/>
            <w:noWrap/>
            <w:vAlign w:val="center"/>
            <w:hideMark/>
          </w:tcPr>
          <w:p w14:paraId="69249FDA"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Vegetable products</w:t>
            </w:r>
          </w:p>
        </w:tc>
        <w:tc>
          <w:tcPr>
            <w:tcW w:w="584" w:type="dxa"/>
            <w:shd w:val="clear" w:color="auto" w:fill="auto"/>
            <w:noWrap/>
            <w:vAlign w:val="center"/>
          </w:tcPr>
          <w:p w14:paraId="69249FD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2.86</w:t>
            </w:r>
          </w:p>
        </w:tc>
        <w:tc>
          <w:tcPr>
            <w:tcW w:w="585" w:type="dxa"/>
            <w:shd w:val="clear" w:color="auto" w:fill="auto"/>
            <w:noWrap/>
            <w:vAlign w:val="center"/>
          </w:tcPr>
          <w:p w14:paraId="69249FD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1.40</w:t>
            </w:r>
          </w:p>
        </w:tc>
        <w:tc>
          <w:tcPr>
            <w:tcW w:w="584" w:type="dxa"/>
            <w:shd w:val="clear" w:color="auto" w:fill="auto"/>
            <w:noWrap/>
            <w:vAlign w:val="center"/>
          </w:tcPr>
          <w:p w14:paraId="69249FD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1.61</w:t>
            </w:r>
          </w:p>
        </w:tc>
        <w:tc>
          <w:tcPr>
            <w:tcW w:w="584" w:type="dxa"/>
            <w:shd w:val="clear" w:color="auto" w:fill="auto"/>
            <w:noWrap/>
            <w:vAlign w:val="center"/>
          </w:tcPr>
          <w:p w14:paraId="69249FD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1.97</w:t>
            </w:r>
          </w:p>
        </w:tc>
        <w:tc>
          <w:tcPr>
            <w:tcW w:w="585" w:type="dxa"/>
            <w:shd w:val="clear" w:color="auto" w:fill="auto"/>
            <w:noWrap/>
            <w:vAlign w:val="center"/>
          </w:tcPr>
          <w:p w14:paraId="69249FD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1.89</w:t>
            </w:r>
          </w:p>
        </w:tc>
        <w:tc>
          <w:tcPr>
            <w:tcW w:w="584" w:type="dxa"/>
            <w:shd w:val="clear" w:color="auto" w:fill="auto"/>
            <w:noWrap/>
            <w:vAlign w:val="center"/>
          </w:tcPr>
          <w:p w14:paraId="69249FE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3.01</w:t>
            </w:r>
          </w:p>
        </w:tc>
      </w:tr>
      <w:tr w:rsidR="00757000" w:rsidRPr="0063355C" w14:paraId="69249FEA" w14:textId="77777777" w:rsidTr="00757000">
        <w:trPr>
          <w:trHeight w:val="240"/>
        </w:trPr>
        <w:tc>
          <w:tcPr>
            <w:tcW w:w="683" w:type="dxa"/>
            <w:shd w:val="clear" w:color="auto" w:fill="auto"/>
            <w:noWrap/>
            <w:hideMark/>
          </w:tcPr>
          <w:p w14:paraId="69249FE2"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3</w:t>
            </w:r>
          </w:p>
        </w:tc>
        <w:tc>
          <w:tcPr>
            <w:tcW w:w="4651" w:type="dxa"/>
            <w:shd w:val="clear" w:color="auto" w:fill="auto"/>
            <w:noWrap/>
            <w:vAlign w:val="center"/>
            <w:hideMark/>
          </w:tcPr>
          <w:p w14:paraId="69249FE3"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Animal or vegetable fats and oils and their cleavage products; prepared edible fats; animal or vegetable waxes</w:t>
            </w:r>
          </w:p>
        </w:tc>
        <w:tc>
          <w:tcPr>
            <w:tcW w:w="584" w:type="dxa"/>
            <w:shd w:val="clear" w:color="auto" w:fill="auto"/>
            <w:noWrap/>
            <w:vAlign w:val="center"/>
          </w:tcPr>
          <w:p w14:paraId="69249FE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9.60</w:t>
            </w:r>
          </w:p>
        </w:tc>
        <w:tc>
          <w:tcPr>
            <w:tcW w:w="585" w:type="dxa"/>
            <w:shd w:val="clear" w:color="auto" w:fill="auto"/>
            <w:noWrap/>
            <w:vAlign w:val="center"/>
          </w:tcPr>
          <w:p w14:paraId="69249FE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7.46</w:t>
            </w:r>
          </w:p>
        </w:tc>
        <w:tc>
          <w:tcPr>
            <w:tcW w:w="584" w:type="dxa"/>
            <w:shd w:val="clear" w:color="auto" w:fill="auto"/>
            <w:noWrap/>
            <w:vAlign w:val="center"/>
          </w:tcPr>
          <w:p w14:paraId="69249FE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6.15</w:t>
            </w:r>
          </w:p>
        </w:tc>
        <w:tc>
          <w:tcPr>
            <w:tcW w:w="584" w:type="dxa"/>
            <w:shd w:val="clear" w:color="auto" w:fill="auto"/>
            <w:noWrap/>
            <w:vAlign w:val="center"/>
          </w:tcPr>
          <w:p w14:paraId="69249FE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5.66</w:t>
            </w:r>
          </w:p>
        </w:tc>
        <w:tc>
          <w:tcPr>
            <w:tcW w:w="585" w:type="dxa"/>
            <w:shd w:val="clear" w:color="auto" w:fill="auto"/>
            <w:noWrap/>
            <w:vAlign w:val="center"/>
          </w:tcPr>
          <w:p w14:paraId="69249FE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5.15</w:t>
            </w:r>
          </w:p>
        </w:tc>
        <w:tc>
          <w:tcPr>
            <w:tcW w:w="584" w:type="dxa"/>
            <w:shd w:val="clear" w:color="auto" w:fill="auto"/>
            <w:noWrap/>
            <w:vAlign w:val="center"/>
          </w:tcPr>
          <w:p w14:paraId="69249FE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6.35</w:t>
            </w:r>
          </w:p>
        </w:tc>
      </w:tr>
      <w:tr w:rsidR="00757000" w:rsidRPr="0063355C" w14:paraId="69249FF3" w14:textId="77777777" w:rsidTr="00757000">
        <w:trPr>
          <w:trHeight w:val="240"/>
        </w:trPr>
        <w:tc>
          <w:tcPr>
            <w:tcW w:w="683" w:type="dxa"/>
            <w:shd w:val="clear" w:color="auto" w:fill="auto"/>
            <w:noWrap/>
            <w:hideMark/>
          </w:tcPr>
          <w:p w14:paraId="69249FEB"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4</w:t>
            </w:r>
          </w:p>
        </w:tc>
        <w:tc>
          <w:tcPr>
            <w:tcW w:w="4651" w:type="dxa"/>
            <w:shd w:val="clear" w:color="auto" w:fill="auto"/>
            <w:noWrap/>
            <w:vAlign w:val="center"/>
            <w:hideMark/>
          </w:tcPr>
          <w:p w14:paraId="69249FEC"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Prepared foodstuffs; beverages, spirits and vinegar; tobacco and manufactured tobacco substitutes </w:t>
            </w:r>
          </w:p>
        </w:tc>
        <w:tc>
          <w:tcPr>
            <w:tcW w:w="584" w:type="dxa"/>
            <w:shd w:val="clear" w:color="auto" w:fill="auto"/>
            <w:noWrap/>
            <w:vAlign w:val="center"/>
          </w:tcPr>
          <w:p w14:paraId="69249FE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1.67</w:t>
            </w:r>
          </w:p>
        </w:tc>
        <w:tc>
          <w:tcPr>
            <w:tcW w:w="585" w:type="dxa"/>
            <w:shd w:val="clear" w:color="auto" w:fill="auto"/>
            <w:noWrap/>
            <w:vAlign w:val="center"/>
          </w:tcPr>
          <w:p w14:paraId="69249FE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1.71</w:t>
            </w:r>
          </w:p>
        </w:tc>
        <w:tc>
          <w:tcPr>
            <w:tcW w:w="584" w:type="dxa"/>
            <w:shd w:val="clear" w:color="auto" w:fill="auto"/>
            <w:noWrap/>
            <w:vAlign w:val="center"/>
          </w:tcPr>
          <w:p w14:paraId="69249FE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1.31</w:t>
            </w:r>
          </w:p>
        </w:tc>
        <w:tc>
          <w:tcPr>
            <w:tcW w:w="584" w:type="dxa"/>
            <w:shd w:val="clear" w:color="auto" w:fill="auto"/>
            <w:noWrap/>
            <w:vAlign w:val="center"/>
          </w:tcPr>
          <w:p w14:paraId="69249FF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1.71</w:t>
            </w:r>
          </w:p>
        </w:tc>
        <w:tc>
          <w:tcPr>
            <w:tcW w:w="585" w:type="dxa"/>
            <w:shd w:val="clear" w:color="auto" w:fill="auto"/>
            <w:noWrap/>
            <w:vAlign w:val="center"/>
          </w:tcPr>
          <w:p w14:paraId="69249FF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1.40</w:t>
            </w:r>
          </w:p>
        </w:tc>
        <w:tc>
          <w:tcPr>
            <w:tcW w:w="584" w:type="dxa"/>
            <w:shd w:val="clear" w:color="auto" w:fill="auto"/>
            <w:noWrap/>
            <w:vAlign w:val="center"/>
          </w:tcPr>
          <w:p w14:paraId="69249FF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1.90</w:t>
            </w:r>
          </w:p>
        </w:tc>
      </w:tr>
      <w:tr w:rsidR="00757000" w:rsidRPr="0063355C" w14:paraId="69249FFC" w14:textId="77777777" w:rsidTr="00757000">
        <w:trPr>
          <w:trHeight w:val="240"/>
        </w:trPr>
        <w:tc>
          <w:tcPr>
            <w:tcW w:w="683" w:type="dxa"/>
            <w:shd w:val="clear" w:color="auto" w:fill="auto"/>
            <w:noWrap/>
            <w:hideMark/>
          </w:tcPr>
          <w:p w14:paraId="69249FF4"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5</w:t>
            </w:r>
          </w:p>
        </w:tc>
        <w:tc>
          <w:tcPr>
            <w:tcW w:w="4651" w:type="dxa"/>
            <w:shd w:val="clear" w:color="auto" w:fill="auto"/>
            <w:noWrap/>
            <w:vAlign w:val="center"/>
            <w:hideMark/>
          </w:tcPr>
          <w:p w14:paraId="69249FF5"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Mineral products </w:t>
            </w:r>
          </w:p>
        </w:tc>
        <w:tc>
          <w:tcPr>
            <w:tcW w:w="584" w:type="dxa"/>
            <w:shd w:val="clear" w:color="auto" w:fill="auto"/>
            <w:noWrap/>
            <w:vAlign w:val="center"/>
          </w:tcPr>
          <w:p w14:paraId="69249FF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0.14</w:t>
            </w:r>
          </w:p>
        </w:tc>
        <w:tc>
          <w:tcPr>
            <w:tcW w:w="585" w:type="dxa"/>
            <w:shd w:val="clear" w:color="auto" w:fill="auto"/>
            <w:noWrap/>
            <w:vAlign w:val="center"/>
          </w:tcPr>
          <w:p w14:paraId="69249FF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0.14</w:t>
            </w:r>
          </w:p>
        </w:tc>
        <w:tc>
          <w:tcPr>
            <w:tcW w:w="584" w:type="dxa"/>
            <w:shd w:val="clear" w:color="auto" w:fill="auto"/>
            <w:noWrap/>
            <w:vAlign w:val="center"/>
          </w:tcPr>
          <w:p w14:paraId="69249FF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0.06</w:t>
            </w:r>
          </w:p>
        </w:tc>
        <w:tc>
          <w:tcPr>
            <w:tcW w:w="584" w:type="dxa"/>
            <w:shd w:val="clear" w:color="auto" w:fill="auto"/>
            <w:noWrap/>
            <w:vAlign w:val="center"/>
          </w:tcPr>
          <w:p w14:paraId="69249FF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0.16</w:t>
            </w:r>
          </w:p>
        </w:tc>
        <w:tc>
          <w:tcPr>
            <w:tcW w:w="585" w:type="dxa"/>
            <w:shd w:val="clear" w:color="auto" w:fill="auto"/>
            <w:noWrap/>
            <w:vAlign w:val="center"/>
          </w:tcPr>
          <w:p w14:paraId="69249FF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0.04</w:t>
            </w:r>
          </w:p>
        </w:tc>
        <w:tc>
          <w:tcPr>
            <w:tcW w:w="584" w:type="dxa"/>
            <w:shd w:val="clear" w:color="auto" w:fill="auto"/>
            <w:noWrap/>
            <w:vAlign w:val="center"/>
          </w:tcPr>
          <w:p w14:paraId="69249FF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0.19</w:t>
            </w:r>
          </w:p>
        </w:tc>
      </w:tr>
      <w:tr w:rsidR="00757000" w:rsidRPr="0063355C" w14:paraId="6924A005" w14:textId="77777777" w:rsidTr="00757000">
        <w:trPr>
          <w:trHeight w:val="240"/>
        </w:trPr>
        <w:tc>
          <w:tcPr>
            <w:tcW w:w="683" w:type="dxa"/>
            <w:shd w:val="clear" w:color="auto" w:fill="auto"/>
            <w:noWrap/>
            <w:hideMark/>
          </w:tcPr>
          <w:p w14:paraId="69249FFD"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6</w:t>
            </w:r>
          </w:p>
        </w:tc>
        <w:tc>
          <w:tcPr>
            <w:tcW w:w="4651" w:type="dxa"/>
            <w:shd w:val="clear" w:color="auto" w:fill="auto"/>
            <w:noWrap/>
            <w:vAlign w:val="center"/>
            <w:hideMark/>
          </w:tcPr>
          <w:p w14:paraId="69249FFE"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Products of the chemical or allied industries </w:t>
            </w:r>
          </w:p>
        </w:tc>
        <w:tc>
          <w:tcPr>
            <w:tcW w:w="584" w:type="dxa"/>
            <w:shd w:val="clear" w:color="auto" w:fill="auto"/>
            <w:noWrap/>
            <w:vAlign w:val="center"/>
          </w:tcPr>
          <w:p w14:paraId="69249FF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0.14</w:t>
            </w:r>
          </w:p>
        </w:tc>
        <w:tc>
          <w:tcPr>
            <w:tcW w:w="585" w:type="dxa"/>
            <w:shd w:val="clear" w:color="auto" w:fill="auto"/>
            <w:noWrap/>
            <w:vAlign w:val="center"/>
          </w:tcPr>
          <w:p w14:paraId="6924A00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0.23</w:t>
            </w:r>
          </w:p>
        </w:tc>
        <w:tc>
          <w:tcPr>
            <w:tcW w:w="584" w:type="dxa"/>
            <w:shd w:val="clear" w:color="auto" w:fill="auto"/>
            <w:noWrap/>
            <w:vAlign w:val="center"/>
          </w:tcPr>
          <w:p w14:paraId="6924A00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0.37</w:t>
            </w:r>
          </w:p>
        </w:tc>
        <w:tc>
          <w:tcPr>
            <w:tcW w:w="584" w:type="dxa"/>
            <w:shd w:val="clear" w:color="auto" w:fill="auto"/>
            <w:noWrap/>
            <w:vAlign w:val="center"/>
          </w:tcPr>
          <w:p w14:paraId="6924A00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0.31</w:t>
            </w:r>
          </w:p>
        </w:tc>
        <w:tc>
          <w:tcPr>
            <w:tcW w:w="585" w:type="dxa"/>
            <w:shd w:val="clear" w:color="auto" w:fill="auto"/>
            <w:noWrap/>
            <w:vAlign w:val="center"/>
          </w:tcPr>
          <w:p w14:paraId="6924A00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0.30</w:t>
            </w:r>
          </w:p>
        </w:tc>
        <w:tc>
          <w:tcPr>
            <w:tcW w:w="584" w:type="dxa"/>
            <w:shd w:val="clear" w:color="auto" w:fill="auto"/>
            <w:noWrap/>
            <w:vAlign w:val="center"/>
          </w:tcPr>
          <w:p w14:paraId="6924A00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0.26</w:t>
            </w:r>
          </w:p>
        </w:tc>
      </w:tr>
      <w:tr w:rsidR="00757000" w:rsidRPr="0063355C" w14:paraId="6924A00E" w14:textId="77777777" w:rsidTr="00757000">
        <w:trPr>
          <w:trHeight w:val="240"/>
        </w:trPr>
        <w:tc>
          <w:tcPr>
            <w:tcW w:w="683" w:type="dxa"/>
            <w:shd w:val="clear" w:color="auto" w:fill="auto"/>
            <w:noWrap/>
            <w:hideMark/>
          </w:tcPr>
          <w:p w14:paraId="6924A006"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7</w:t>
            </w:r>
          </w:p>
        </w:tc>
        <w:tc>
          <w:tcPr>
            <w:tcW w:w="4651" w:type="dxa"/>
            <w:shd w:val="clear" w:color="auto" w:fill="auto"/>
            <w:noWrap/>
            <w:vAlign w:val="center"/>
            <w:hideMark/>
          </w:tcPr>
          <w:p w14:paraId="6924A007"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Plastics and articles thereof; rubber and articles thereof </w:t>
            </w:r>
          </w:p>
        </w:tc>
        <w:tc>
          <w:tcPr>
            <w:tcW w:w="584" w:type="dxa"/>
            <w:shd w:val="clear" w:color="auto" w:fill="auto"/>
            <w:noWrap/>
            <w:vAlign w:val="center"/>
          </w:tcPr>
          <w:p w14:paraId="6924A00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2.05</w:t>
            </w:r>
          </w:p>
        </w:tc>
        <w:tc>
          <w:tcPr>
            <w:tcW w:w="585" w:type="dxa"/>
            <w:shd w:val="clear" w:color="auto" w:fill="auto"/>
            <w:noWrap/>
            <w:vAlign w:val="center"/>
          </w:tcPr>
          <w:p w14:paraId="6924A00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2.27</w:t>
            </w:r>
          </w:p>
        </w:tc>
        <w:tc>
          <w:tcPr>
            <w:tcW w:w="584" w:type="dxa"/>
            <w:shd w:val="clear" w:color="auto" w:fill="auto"/>
            <w:noWrap/>
            <w:vAlign w:val="center"/>
          </w:tcPr>
          <w:p w14:paraId="6924A00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1.73</w:t>
            </w:r>
          </w:p>
        </w:tc>
        <w:tc>
          <w:tcPr>
            <w:tcW w:w="584" w:type="dxa"/>
            <w:shd w:val="clear" w:color="auto" w:fill="auto"/>
            <w:noWrap/>
            <w:vAlign w:val="center"/>
          </w:tcPr>
          <w:p w14:paraId="6924A00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2.10</w:t>
            </w:r>
          </w:p>
        </w:tc>
        <w:tc>
          <w:tcPr>
            <w:tcW w:w="585" w:type="dxa"/>
            <w:shd w:val="clear" w:color="auto" w:fill="auto"/>
            <w:noWrap/>
            <w:vAlign w:val="center"/>
          </w:tcPr>
          <w:p w14:paraId="6924A00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2.11</w:t>
            </w:r>
          </w:p>
        </w:tc>
        <w:tc>
          <w:tcPr>
            <w:tcW w:w="584" w:type="dxa"/>
            <w:shd w:val="clear" w:color="auto" w:fill="auto"/>
            <w:noWrap/>
            <w:vAlign w:val="center"/>
          </w:tcPr>
          <w:p w14:paraId="6924A00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2.14</w:t>
            </w:r>
          </w:p>
        </w:tc>
      </w:tr>
      <w:tr w:rsidR="00757000" w:rsidRPr="0063355C" w14:paraId="6924A017" w14:textId="77777777" w:rsidTr="00757000">
        <w:trPr>
          <w:trHeight w:val="240"/>
        </w:trPr>
        <w:tc>
          <w:tcPr>
            <w:tcW w:w="683" w:type="dxa"/>
            <w:shd w:val="clear" w:color="auto" w:fill="auto"/>
            <w:noWrap/>
            <w:hideMark/>
          </w:tcPr>
          <w:p w14:paraId="6924A00F"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8</w:t>
            </w:r>
          </w:p>
        </w:tc>
        <w:tc>
          <w:tcPr>
            <w:tcW w:w="4651" w:type="dxa"/>
            <w:shd w:val="clear" w:color="auto" w:fill="auto"/>
            <w:noWrap/>
            <w:vAlign w:val="center"/>
            <w:hideMark/>
          </w:tcPr>
          <w:p w14:paraId="6924A010"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Raw hides and skins, leather, furskins and articles thereof; saddlery and harness; travel goods, handbags and similar containers; articles of animal gut (other than silk-worm gut) </w:t>
            </w:r>
          </w:p>
        </w:tc>
        <w:tc>
          <w:tcPr>
            <w:tcW w:w="584" w:type="dxa"/>
            <w:shd w:val="clear" w:color="auto" w:fill="auto"/>
            <w:noWrap/>
            <w:vAlign w:val="center"/>
          </w:tcPr>
          <w:p w14:paraId="6924A01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2.02</w:t>
            </w:r>
          </w:p>
        </w:tc>
        <w:tc>
          <w:tcPr>
            <w:tcW w:w="585" w:type="dxa"/>
            <w:shd w:val="clear" w:color="auto" w:fill="auto"/>
            <w:noWrap/>
            <w:vAlign w:val="center"/>
          </w:tcPr>
          <w:p w14:paraId="6924A01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1.71</w:t>
            </w:r>
          </w:p>
        </w:tc>
        <w:tc>
          <w:tcPr>
            <w:tcW w:w="584" w:type="dxa"/>
            <w:shd w:val="clear" w:color="auto" w:fill="auto"/>
            <w:noWrap/>
            <w:vAlign w:val="center"/>
          </w:tcPr>
          <w:p w14:paraId="6924A01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1.04</w:t>
            </w:r>
          </w:p>
        </w:tc>
        <w:tc>
          <w:tcPr>
            <w:tcW w:w="584" w:type="dxa"/>
            <w:shd w:val="clear" w:color="auto" w:fill="auto"/>
            <w:noWrap/>
            <w:vAlign w:val="center"/>
          </w:tcPr>
          <w:p w14:paraId="6924A01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1.27</w:t>
            </w:r>
          </w:p>
        </w:tc>
        <w:tc>
          <w:tcPr>
            <w:tcW w:w="585" w:type="dxa"/>
            <w:shd w:val="clear" w:color="auto" w:fill="auto"/>
            <w:noWrap/>
            <w:vAlign w:val="center"/>
          </w:tcPr>
          <w:p w14:paraId="6924A01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0.67</w:t>
            </w:r>
          </w:p>
        </w:tc>
        <w:tc>
          <w:tcPr>
            <w:tcW w:w="584" w:type="dxa"/>
            <w:shd w:val="clear" w:color="auto" w:fill="auto"/>
            <w:noWrap/>
            <w:vAlign w:val="center"/>
          </w:tcPr>
          <w:p w14:paraId="6924A01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0.78</w:t>
            </w:r>
          </w:p>
        </w:tc>
      </w:tr>
      <w:tr w:rsidR="00757000" w:rsidRPr="0063355C" w14:paraId="6924A020" w14:textId="77777777" w:rsidTr="00757000">
        <w:trPr>
          <w:trHeight w:val="240"/>
        </w:trPr>
        <w:tc>
          <w:tcPr>
            <w:tcW w:w="683" w:type="dxa"/>
            <w:shd w:val="clear" w:color="auto" w:fill="auto"/>
            <w:noWrap/>
            <w:hideMark/>
          </w:tcPr>
          <w:p w14:paraId="6924A018"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9</w:t>
            </w:r>
          </w:p>
        </w:tc>
        <w:tc>
          <w:tcPr>
            <w:tcW w:w="4651" w:type="dxa"/>
            <w:shd w:val="clear" w:color="auto" w:fill="auto"/>
            <w:noWrap/>
            <w:vAlign w:val="center"/>
            <w:hideMark/>
          </w:tcPr>
          <w:p w14:paraId="6924A019"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 xml:space="preserve">Wood and articles of wood; wood charcoal; cork and articles of cork; manufactures of straw, of esparto or of other plaiting materials; </w:t>
            </w:r>
            <w:proofErr w:type="spellStart"/>
            <w:r w:rsidRPr="0063355C">
              <w:rPr>
                <w:rFonts w:asciiTheme="majorHAnsi" w:eastAsia="Times New Roman" w:hAnsiTheme="majorHAnsi" w:cstheme="majorHAnsi"/>
                <w:color w:val="000000"/>
                <w:sz w:val="16"/>
                <w:szCs w:val="16"/>
                <w:lang w:eastAsia="en-GB"/>
              </w:rPr>
              <w:t>basketware</w:t>
            </w:r>
            <w:proofErr w:type="spellEnd"/>
            <w:r w:rsidRPr="0063355C">
              <w:rPr>
                <w:rFonts w:asciiTheme="majorHAnsi" w:eastAsia="Times New Roman" w:hAnsiTheme="majorHAnsi" w:cstheme="majorHAnsi"/>
                <w:color w:val="000000"/>
                <w:sz w:val="16"/>
                <w:szCs w:val="16"/>
                <w:lang w:eastAsia="en-GB"/>
              </w:rPr>
              <w:t xml:space="preserve"> and wickerwork</w:t>
            </w:r>
          </w:p>
        </w:tc>
        <w:tc>
          <w:tcPr>
            <w:tcW w:w="584" w:type="dxa"/>
            <w:shd w:val="clear" w:color="auto" w:fill="auto"/>
            <w:noWrap/>
            <w:vAlign w:val="center"/>
          </w:tcPr>
          <w:p w14:paraId="6924A01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5.38</w:t>
            </w:r>
          </w:p>
        </w:tc>
        <w:tc>
          <w:tcPr>
            <w:tcW w:w="585" w:type="dxa"/>
            <w:shd w:val="clear" w:color="auto" w:fill="auto"/>
            <w:noWrap/>
            <w:vAlign w:val="center"/>
          </w:tcPr>
          <w:p w14:paraId="6924A01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6.72</w:t>
            </w:r>
          </w:p>
        </w:tc>
        <w:tc>
          <w:tcPr>
            <w:tcW w:w="584" w:type="dxa"/>
            <w:shd w:val="clear" w:color="auto" w:fill="auto"/>
            <w:noWrap/>
            <w:vAlign w:val="center"/>
          </w:tcPr>
          <w:p w14:paraId="6924A01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5.63</w:t>
            </w:r>
          </w:p>
        </w:tc>
        <w:tc>
          <w:tcPr>
            <w:tcW w:w="584" w:type="dxa"/>
            <w:shd w:val="clear" w:color="auto" w:fill="auto"/>
            <w:noWrap/>
            <w:vAlign w:val="center"/>
          </w:tcPr>
          <w:p w14:paraId="6924A01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5.18</w:t>
            </w:r>
          </w:p>
        </w:tc>
        <w:tc>
          <w:tcPr>
            <w:tcW w:w="585" w:type="dxa"/>
            <w:shd w:val="clear" w:color="auto" w:fill="auto"/>
            <w:noWrap/>
            <w:vAlign w:val="center"/>
          </w:tcPr>
          <w:p w14:paraId="6924A01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4.93</w:t>
            </w:r>
          </w:p>
        </w:tc>
        <w:tc>
          <w:tcPr>
            <w:tcW w:w="584" w:type="dxa"/>
            <w:shd w:val="clear" w:color="auto" w:fill="auto"/>
            <w:noWrap/>
            <w:vAlign w:val="center"/>
          </w:tcPr>
          <w:p w14:paraId="6924A01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5.30</w:t>
            </w:r>
          </w:p>
        </w:tc>
      </w:tr>
      <w:tr w:rsidR="00757000" w:rsidRPr="0063355C" w14:paraId="6924A029" w14:textId="77777777" w:rsidTr="00757000">
        <w:trPr>
          <w:trHeight w:val="240"/>
        </w:trPr>
        <w:tc>
          <w:tcPr>
            <w:tcW w:w="683" w:type="dxa"/>
            <w:shd w:val="clear" w:color="auto" w:fill="auto"/>
            <w:noWrap/>
            <w:hideMark/>
          </w:tcPr>
          <w:p w14:paraId="6924A021"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10</w:t>
            </w:r>
          </w:p>
        </w:tc>
        <w:tc>
          <w:tcPr>
            <w:tcW w:w="4651" w:type="dxa"/>
            <w:shd w:val="clear" w:color="auto" w:fill="auto"/>
            <w:noWrap/>
            <w:vAlign w:val="center"/>
            <w:hideMark/>
          </w:tcPr>
          <w:p w14:paraId="6924A022"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Pulp of wood or of other fibrous cellulosic material; recovered (waste and scrap) paper or paperboard; paper and paperboard and articles thereof </w:t>
            </w:r>
          </w:p>
        </w:tc>
        <w:tc>
          <w:tcPr>
            <w:tcW w:w="584" w:type="dxa"/>
            <w:shd w:val="clear" w:color="auto" w:fill="auto"/>
            <w:noWrap/>
            <w:vAlign w:val="center"/>
          </w:tcPr>
          <w:p w14:paraId="6924A02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1.06</w:t>
            </w:r>
          </w:p>
        </w:tc>
        <w:tc>
          <w:tcPr>
            <w:tcW w:w="585" w:type="dxa"/>
            <w:shd w:val="clear" w:color="auto" w:fill="auto"/>
            <w:noWrap/>
            <w:vAlign w:val="center"/>
          </w:tcPr>
          <w:p w14:paraId="6924A02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1.64</w:t>
            </w:r>
          </w:p>
        </w:tc>
        <w:tc>
          <w:tcPr>
            <w:tcW w:w="584" w:type="dxa"/>
            <w:shd w:val="clear" w:color="auto" w:fill="auto"/>
            <w:noWrap/>
            <w:vAlign w:val="center"/>
          </w:tcPr>
          <w:p w14:paraId="6924A02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1.76</w:t>
            </w:r>
          </w:p>
        </w:tc>
        <w:tc>
          <w:tcPr>
            <w:tcW w:w="584" w:type="dxa"/>
            <w:shd w:val="clear" w:color="auto" w:fill="auto"/>
            <w:noWrap/>
            <w:vAlign w:val="center"/>
          </w:tcPr>
          <w:p w14:paraId="6924A02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1.13</w:t>
            </w:r>
          </w:p>
        </w:tc>
        <w:tc>
          <w:tcPr>
            <w:tcW w:w="585" w:type="dxa"/>
            <w:shd w:val="clear" w:color="auto" w:fill="auto"/>
            <w:noWrap/>
            <w:vAlign w:val="center"/>
          </w:tcPr>
          <w:p w14:paraId="6924A02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1.36</w:t>
            </w:r>
          </w:p>
        </w:tc>
        <w:tc>
          <w:tcPr>
            <w:tcW w:w="584" w:type="dxa"/>
            <w:shd w:val="clear" w:color="auto" w:fill="auto"/>
            <w:noWrap/>
            <w:vAlign w:val="center"/>
          </w:tcPr>
          <w:p w14:paraId="6924A02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1.51</w:t>
            </w:r>
          </w:p>
        </w:tc>
      </w:tr>
      <w:tr w:rsidR="00757000" w:rsidRPr="0063355C" w14:paraId="6924A032" w14:textId="77777777" w:rsidTr="00757000">
        <w:trPr>
          <w:trHeight w:val="240"/>
        </w:trPr>
        <w:tc>
          <w:tcPr>
            <w:tcW w:w="683" w:type="dxa"/>
            <w:shd w:val="clear" w:color="auto" w:fill="auto"/>
            <w:noWrap/>
            <w:hideMark/>
          </w:tcPr>
          <w:p w14:paraId="6924A02A"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11</w:t>
            </w:r>
          </w:p>
        </w:tc>
        <w:tc>
          <w:tcPr>
            <w:tcW w:w="4651" w:type="dxa"/>
            <w:shd w:val="clear" w:color="auto" w:fill="auto"/>
            <w:noWrap/>
            <w:vAlign w:val="center"/>
            <w:hideMark/>
          </w:tcPr>
          <w:p w14:paraId="6924A02B"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Textiles and textile articles </w:t>
            </w:r>
          </w:p>
        </w:tc>
        <w:tc>
          <w:tcPr>
            <w:tcW w:w="584" w:type="dxa"/>
            <w:shd w:val="clear" w:color="auto" w:fill="auto"/>
            <w:noWrap/>
            <w:vAlign w:val="center"/>
          </w:tcPr>
          <w:p w14:paraId="6924A02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0.80</w:t>
            </w:r>
          </w:p>
        </w:tc>
        <w:tc>
          <w:tcPr>
            <w:tcW w:w="585" w:type="dxa"/>
            <w:shd w:val="clear" w:color="auto" w:fill="auto"/>
            <w:noWrap/>
            <w:vAlign w:val="center"/>
          </w:tcPr>
          <w:p w14:paraId="6924A02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0.57</w:t>
            </w:r>
          </w:p>
        </w:tc>
        <w:tc>
          <w:tcPr>
            <w:tcW w:w="584" w:type="dxa"/>
            <w:shd w:val="clear" w:color="auto" w:fill="auto"/>
            <w:noWrap/>
            <w:vAlign w:val="center"/>
          </w:tcPr>
          <w:p w14:paraId="6924A02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0.38</w:t>
            </w:r>
          </w:p>
        </w:tc>
        <w:tc>
          <w:tcPr>
            <w:tcW w:w="584" w:type="dxa"/>
            <w:shd w:val="clear" w:color="auto" w:fill="auto"/>
            <w:noWrap/>
            <w:vAlign w:val="center"/>
          </w:tcPr>
          <w:p w14:paraId="6924A02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0.26</w:t>
            </w:r>
          </w:p>
        </w:tc>
        <w:tc>
          <w:tcPr>
            <w:tcW w:w="585" w:type="dxa"/>
            <w:shd w:val="clear" w:color="auto" w:fill="auto"/>
            <w:noWrap/>
            <w:vAlign w:val="center"/>
          </w:tcPr>
          <w:p w14:paraId="6924A03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0.25</w:t>
            </w:r>
          </w:p>
        </w:tc>
        <w:tc>
          <w:tcPr>
            <w:tcW w:w="584" w:type="dxa"/>
            <w:shd w:val="clear" w:color="auto" w:fill="auto"/>
            <w:noWrap/>
            <w:vAlign w:val="center"/>
          </w:tcPr>
          <w:p w14:paraId="6924A03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0.37</w:t>
            </w:r>
          </w:p>
        </w:tc>
      </w:tr>
      <w:tr w:rsidR="00757000" w:rsidRPr="0063355C" w14:paraId="6924A03B" w14:textId="77777777" w:rsidTr="00757000">
        <w:trPr>
          <w:trHeight w:val="240"/>
        </w:trPr>
        <w:tc>
          <w:tcPr>
            <w:tcW w:w="683" w:type="dxa"/>
            <w:shd w:val="clear" w:color="auto" w:fill="auto"/>
            <w:noWrap/>
            <w:hideMark/>
          </w:tcPr>
          <w:p w14:paraId="6924A033"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12</w:t>
            </w:r>
          </w:p>
        </w:tc>
        <w:tc>
          <w:tcPr>
            <w:tcW w:w="4651" w:type="dxa"/>
            <w:shd w:val="clear" w:color="auto" w:fill="auto"/>
            <w:noWrap/>
            <w:vAlign w:val="center"/>
            <w:hideMark/>
          </w:tcPr>
          <w:p w14:paraId="6924A034"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Footwear, headgear, umbrellas, sun umbrellas, walking-sticks, seat-sticks, whips, riding-crops and parts thereof; prepared feathers and articles made therewith; artificial flowers; articles of human hair </w:t>
            </w:r>
          </w:p>
        </w:tc>
        <w:tc>
          <w:tcPr>
            <w:tcW w:w="584" w:type="dxa"/>
            <w:shd w:val="clear" w:color="auto" w:fill="auto"/>
            <w:noWrap/>
            <w:vAlign w:val="center"/>
          </w:tcPr>
          <w:p w14:paraId="6924A03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10.55</w:t>
            </w:r>
          </w:p>
        </w:tc>
        <w:tc>
          <w:tcPr>
            <w:tcW w:w="585" w:type="dxa"/>
            <w:shd w:val="clear" w:color="auto" w:fill="auto"/>
            <w:noWrap/>
            <w:vAlign w:val="center"/>
          </w:tcPr>
          <w:p w14:paraId="6924A03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10.03</w:t>
            </w:r>
          </w:p>
        </w:tc>
        <w:tc>
          <w:tcPr>
            <w:tcW w:w="584" w:type="dxa"/>
            <w:shd w:val="clear" w:color="auto" w:fill="auto"/>
            <w:noWrap/>
            <w:vAlign w:val="center"/>
          </w:tcPr>
          <w:p w14:paraId="6924A03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8.90</w:t>
            </w:r>
          </w:p>
        </w:tc>
        <w:tc>
          <w:tcPr>
            <w:tcW w:w="584" w:type="dxa"/>
            <w:shd w:val="clear" w:color="auto" w:fill="auto"/>
            <w:noWrap/>
            <w:vAlign w:val="center"/>
          </w:tcPr>
          <w:p w14:paraId="6924A03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8.21</w:t>
            </w:r>
          </w:p>
        </w:tc>
        <w:tc>
          <w:tcPr>
            <w:tcW w:w="585" w:type="dxa"/>
            <w:shd w:val="clear" w:color="auto" w:fill="auto"/>
            <w:noWrap/>
            <w:vAlign w:val="center"/>
          </w:tcPr>
          <w:p w14:paraId="6924A03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8.84</w:t>
            </w:r>
          </w:p>
        </w:tc>
        <w:tc>
          <w:tcPr>
            <w:tcW w:w="584" w:type="dxa"/>
            <w:shd w:val="clear" w:color="auto" w:fill="auto"/>
            <w:noWrap/>
            <w:vAlign w:val="center"/>
          </w:tcPr>
          <w:p w14:paraId="6924A03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7.08</w:t>
            </w:r>
          </w:p>
        </w:tc>
      </w:tr>
      <w:tr w:rsidR="00757000" w:rsidRPr="0063355C" w14:paraId="6924A044" w14:textId="77777777" w:rsidTr="00757000">
        <w:trPr>
          <w:trHeight w:val="240"/>
        </w:trPr>
        <w:tc>
          <w:tcPr>
            <w:tcW w:w="683" w:type="dxa"/>
            <w:shd w:val="clear" w:color="auto" w:fill="auto"/>
            <w:noWrap/>
            <w:hideMark/>
          </w:tcPr>
          <w:p w14:paraId="6924A03C"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13</w:t>
            </w:r>
          </w:p>
        </w:tc>
        <w:tc>
          <w:tcPr>
            <w:tcW w:w="4651" w:type="dxa"/>
            <w:shd w:val="clear" w:color="auto" w:fill="auto"/>
            <w:noWrap/>
            <w:vAlign w:val="center"/>
            <w:hideMark/>
          </w:tcPr>
          <w:p w14:paraId="6924A03D"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Articles of stone, plaster, cement, asbestos, mica or similar materials; ceramic products; glass and glassware </w:t>
            </w:r>
          </w:p>
        </w:tc>
        <w:tc>
          <w:tcPr>
            <w:tcW w:w="584" w:type="dxa"/>
            <w:shd w:val="clear" w:color="auto" w:fill="auto"/>
            <w:noWrap/>
            <w:vAlign w:val="center"/>
          </w:tcPr>
          <w:p w14:paraId="6924A03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27.56</w:t>
            </w:r>
          </w:p>
        </w:tc>
        <w:tc>
          <w:tcPr>
            <w:tcW w:w="585" w:type="dxa"/>
            <w:shd w:val="clear" w:color="auto" w:fill="auto"/>
            <w:noWrap/>
            <w:vAlign w:val="center"/>
          </w:tcPr>
          <w:p w14:paraId="6924A03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23.12</w:t>
            </w:r>
          </w:p>
        </w:tc>
        <w:tc>
          <w:tcPr>
            <w:tcW w:w="584" w:type="dxa"/>
            <w:shd w:val="clear" w:color="auto" w:fill="auto"/>
            <w:noWrap/>
            <w:vAlign w:val="center"/>
          </w:tcPr>
          <w:p w14:paraId="6924A04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27.92</w:t>
            </w:r>
          </w:p>
        </w:tc>
        <w:tc>
          <w:tcPr>
            <w:tcW w:w="584" w:type="dxa"/>
            <w:shd w:val="clear" w:color="auto" w:fill="auto"/>
            <w:noWrap/>
            <w:vAlign w:val="center"/>
          </w:tcPr>
          <w:p w14:paraId="6924A04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26.23</w:t>
            </w:r>
          </w:p>
        </w:tc>
        <w:tc>
          <w:tcPr>
            <w:tcW w:w="585" w:type="dxa"/>
            <w:shd w:val="clear" w:color="auto" w:fill="auto"/>
            <w:noWrap/>
            <w:vAlign w:val="center"/>
          </w:tcPr>
          <w:p w14:paraId="6924A04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27.03</w:t>
            </w:r>
          </w:p>
        </w:tc>
        <w:tc>
          <w:tcPr>
            <w:tcW w:w="584" w:type="dxa"/>
            <w:shd w:val="clear" w:color="auto" w:fill="auto"/>
            <w:noWrap/>
            <w:vAlign w:val="center"/>
          </w:tcPr>
          <w:p w14:paraId="6924A04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24.49</w:t>
            </w:r>
          </w:p>
        </w:tc>
      </w:tr>
      <w:tr w:rsidR="00757000" w:rsidRPr="0063355C" w14:paraId="6924A04D" w14:textId="77777777" w:rsidTr="00757000">
        <w:trPr>
          <w:trHeight w:val="240"/>
        </w:trPr>
        <w:tc>
          <w:tcPr>
            <w:tcW w:w="683" w:type="dxa"/>
            <w:shd w:val="clear" w:color="auto" w:fill="auto"/>
            <w:noWrap/>
            <w:hideMark/>
          </w:tcPr>
          <w:p w14:paraId="6924A045"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14</w:t>
            </w:r>
          </w:p>
        </w:tc>
        <w:tc>
          <w:tcPr>
            <w:tcW w:w="4651" w:type="dxa"/>
            <w:shd w:val="clear" w:color="auto" w:fill="auto"/>
            <w:noWrap/>
            <w:vAlign w:val="center"/>
            <w:hideMark/>
          </w:tcPr>
          <w:p w14:paraId="6924A046"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Natural or cultured pearls, precious or semi-precious stones, precious metals, metals clad with precious metal and articles thereof; imitation jewellery; coin thereof; imitation jewellery; coin </w:t>
            </w:r>
          </w:p>
        </w:tc>
        <w:tc>
          <w:tcPr>
            <w:tcW w:w="584" w:type="dxa"/>
            <w:shd w:val="clear" w:color="auto" w:fill="auto"/>
            <w:noWrap/>
            <w:vAlign w:val="center"/>
          </w:tcPr>
          <w:p w14:paraId="6924A04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0.00</w:t>
            </w:r>
          </w:p>
        </w:tc>
        <w:tc>
          <w:tcPr>
            <w:tcW w:w="585" w:type="dxa"/>
            <w:shd w:val="clear" w:color="auto" w:fill="auto"/>
            <w:noWrap/>
            <w:vAlign w:val="center"/>
          </w:tcPr>
          <w:p w14:paraId="6924A04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0.02</w:t>
            </w:r>
          </w:p>
        </w:tc>
        <w:tc>
          <w:tcPr>
            <w:tcW w:w="584" w:type="dxa"/>
            <w:shd w:val="clear" w:color="auto" w:fill="auto"/>
            <w:noWrap/>
            <w:vAlign w:val="center"/>
          </w:tcPr>
          <w:p w14:paraId="6924A04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4" w:type="dxa"/>
            <w:shd w:val="clear" w:color="auto" w:fill="auto"/>
            <w:noWrap/>
            <w:vAlign w:val="center"/>
          </w:tcPr>
          <w:p w14:paraId="6924A04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5" w:type="dxa"/>
            <w:shd w:val="clear" w:color="auto" w:fill="auto"/>
            <w:noWrap/>
            <w:vAlign w:val="center"/>
          </w:tcPr>
          <w:p w14:paraId="6924A04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0.02</w:t>
            </w:r>
          </w:p>
        </w:tc>
        <w:tc>
          <w:tcPr>
            <w:tcW w:w="584" w:type="dxa"/>
            <w:shd w:val="clear" w:color="auto" w:fill="auto"/>
            <w:noWrap/>
            <w:vAlign w:val="center"/>
          </w:tcPr>
          <w:p w14:paraId="6924A04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0.00</w:t>
            </w:r>
          </w:p>
        </w:tc>
      </w:tr>
      <w:tr w:rsidR="00757000" w:rsidRPr="0063355C" w14:paraId="6924A056" w14:textId="77777777" w:rsidTr="00757000">
        <w:trPr>
          <w:trHeight w:val="240"/>
        </w:trPr>
        <w:tc>
          <w:tcPr>
            <w:tcW w:w="683" w:type="dxa"/>
            <w:shd w:val="clear" w:color="auto" w:fill="auto"/>
            <w:noWrap/>
            <w:hideMark/>
          </w:tcPr>
          <w:p w14:paraId="6924A04E"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15</w:t>
            </w:r>
          </w:p>
        </w:tc>
        <w:tc>
          <w:tcPr>
            <w:tcW w:w="4651" w:type="dxa"/>
            <w:shd w:val="clear" w:color="auto" w:fill="auto"/>
            <w:noWrap/>
            <w:vAlign w:val="center"/>
            <w:hideMark/>
          </w:tcPr>
          <w:p w14:paraId="6924A04F"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Base metals and articles of base metal </w:t>
            </w:r>
          </w:p>
        </w:tc>
        <w:tc>
          <w:tcPr>
            <w:tcW w:w="584" w:type="dxa"/>
            <w:shd w:val="clear" w:color="auto" w:fill="auto"/>
            <w:noWrap/>
            <w:vAlign w:val="center"/>
          </w:tcPr>
          <w:p w14:paraId="6924A05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1.27</w:t>
            </w:r>
          </w:p>
        </w:tc>
        <w:tc>
          <w:tcPr>
            <w:tcW w:w="585" w:type="dxa"/>
            <w:shd w:val="clear" w:color="auto" w:fill="auto"/>
            <w:noWrap/>
            <w:vAlign w:val="center"/>
          </w:tcPr>
          <w:p w14:paraId="6924A05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2.06</w:t>
            </w:r>
          </w:p>
        </w:tc>
        <w:tc>
          <w:tcPr>
            <w:tcW w:w="584" w:type="dxa"/>
            <w:shd w:val="clear" w:color="auto" w:fill="auto"/>
            <w:noWrap/>
            <w:vAlign w:val="center"/>
          </w:tcPr>
          <w:p w14:paraId="6924A05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1.62</w:t>
            </w:r>
          </w:p>
        </w:tc>
        <w:tc>
          <w:tcPr>
            <w:tcW w:w="584" w:type="dxa"/>
            <w:shd w:val="clear" w:color="auto" w:fill="auto"/>
            <w:noWrap/>
            <w:vAlign w:val="center"/>
          </w:tcPr>
          <w:p w14:paraId="6924A05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2.09</w:t>
            </w:r>
          </w:p>
        </w:tc>
        <w:tc>
          <w:tcPr>
            <w:tcW w:w="585" w:type="dxa"/>
            <w:shd w:val="clear" w:color="auto" w:fill="auto"/>
            <w:noWrap/>
            <w:vAlign w:val="center"/>
          </w:tcPr>
          <w:p w14:paraId="6924A05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2.51</w:t>
            </w:r>
          </w:p>
        </w:tc>
        <w:tc>
          <w:tcPr>
            <w:tcW w:w="584" w:type="dxa"/>
            <w:shd w:val="clear" w:color="auto" w:fill="auto"/>
            <w:noWrap/>
            <w:vAlign w:val="center"/>
          </w:tcPr>
          <w:p w14:paraId="6924A05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1.89</w:t>
            </w:r>
          </w:p>
        </w:tc>
      </w:tr>
      <w:tr w:rsidR="00757000" w:rsidRPr="0063355C" w14:paraId="6924A05F" w14:textId="77777777" w:rsidTr="00757000">
        <w:trPr>
          <w:trHeight w:val="240"/>
        </w:trPr>
        <w:tc>
          <w:tcPr>
            <w:tcW w:w="683" w:type="dxa"/>
            <w:shd w:val="clear" w:color="auto" w:fill="auto"/>
            <w:noWrap/>
            <w:hideMark/>
          </w:tcPr>
          <w:p w14:paraId="6924A057"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16</w:t>
            </w:r>
          </w:p>
        </w:tc>
        <w:tc>
          <w:tcPr>
            <w:tcW w:w="4651" w:type="dxa"/>
            <w:shd w:val="clear" w:color="auto" w:fill="auto"/>
            <w:noWrap/>
            <w:vAlign w:val="center"/>
            <w:hideMark/>
          </w:tcPr>
          <w:p w14:paraId="6924A058"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Machinery and mechanical appliances; electrical equipment; parts thereof; sound recorders and reproducers, television image and sound recorders and reproducers, and parts and accessories of such articles </w:t>
            </w:r>
          </w:p>
        </w:tc>
        <w:tc>
          <w:tcPr>
            <w:tcW w:w="584" w:type="dxa"/>
            <w:shd w:val="clear" w:color="auto" w:fill="auto"/>
            <w:noWrap/>
            <w:vAlign w:val="center"/>
          </w:tcPr>
          <w:p w14:paraId="6924A05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0.05</w:t>
            </w:r>
          </w:p>
        </w:tc>
        <w:tc>
          <w:tcPr>
            <w:tcW w:w="585" w:type="dxa"/>
            <w:shd w:val="clear" w:color="auto" w:fill="auto"/>
            <w:noWrap/>
            <w:vAlign w:val="center"/>
          </w:tcPr>
          <w:p w14:paraId="6924A05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0.05</w:t>
            </w:r>
          </w:p>
        </w:tc>
        <w:tc>
          <w:tcPr>
            <w:tcW w:w="584" w:type="dxa"/>
            <w:shd w:val="clear" w:color="auto" w:fill="auto"/>
            <w:noWrap/>
            <w:vAlign w:val="center"/>
          </w:tcPr>
          <w:p w14:paraId="6924A05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0.03</w:t>
            </w:r>
          </w:p>
        </w:tc>
        <w:tc>
          <w:tcPr>
            <w:tcW w:w="584" w:type="dxa"/>
            <w:shd w:val="clear" w:color="auto" w:fill="auto"/>
            <w:noWrap/>
            <w:vAlign w:val="center"/>
          </w:tcPr>
          <w:p w14:paraId="6924A05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0.04</w:t>
            </w:r>
          </w:p>
        </w:tc>
        <w:tc>
          <w:tcPr>
            <w:tcW w:w="585" w:type="dxa"/>
            <w:shd w:val="clear" w:color="auto" w:fill="auto"/>
            <w:noWrap/>
            <w:vAlign w:val="center"/>
          </w:tcPr>
          <w:p w14:paraId="6924A05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0.04</w:t>
            </w:r>
          </w:p>
        </w:tc>
        <w:tc>
          <w:tcPr>
            <w:tcW w:w="584" w:type="dxa"/>
            <w:shd w:val="clear" w:color="auto" w:fill="auto"/>
            <w:noWrap/>
            <w:vAlign w:val="center"/>
          </w:tcPr>
          <w:p w14:paraId="6924A05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0.03</w:t>
            </w:r>
          </w:p>
        </w:tc>
      </w:tr>
      <w:tr w:rsidR="00757000" w:rsidRPr="0063355C" w14:paraId="6924A068" w14:textId="77777777" w:rsidTr="00757000">
        <w:trPr>
          <w:trHeight w:val="240"/>
        </w:trPr>
        <w:tc>
          <w:tcPr>
            <w:tcW w:w="683" w:type="dxa"/>
            <w:shd w:val="clear" w:color="auto" w:fill="auto"/>
            <w:noWrap/>
            <w:hideMark/>
          </w:tcPr>
          <w:p w14:paraId="6924A060"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17</w:t>
            </w:r>
          </w:p>
        </w:tc>
        <w:tc>
          <w:tcPr>
            <w:tcW w:w="4651" w:type="dxa"/>
            <w:shd w:val="clear" w:color="auto" w:fill="auto"/>
            <w:noWrap/>
            <w:vAlign w:val="center"/>
            <w:hideMark/>
          </w:tcPr>
          <w:p w14:paraId="6924A061"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Vehicles, aircraft, vessels and associated transport equipment </w:t>
            </w:r>
          </w:p>
        </w:tc>
        <w:tc>
          <w:tcPr>
            <w:tcW w:w="584" w:type="dxa"/>
            <w:shd w:val="clear" w:color="auto" w:fill="auto"/>
            <w:noWrap/>
            <w:vAlign w:val="center"/>
          </w:tcPr>
          <w:p w14:paraId="6924A06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5" w:type="dxa"/>
            <w:shd w:val="clear" w:color="auto" w:fill="auto"/>
            <w:noWrap/>
            <w:vAlign w:val="center"/>
          </w:tcPr>
          <w:p w14:paraId="6924A063"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4" w:type="dxa"/>
            <w:shd w:val="clear" w:color="auto" w:fill="auto"/>
            <w:noWrap/>
            <w:vAlign w:val="center"/>
          </w:tcPr>
          <w:p w14:paraId="6924A06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4" w:type="dxa"/>
            <w:shd w:val="clear" w:color="auto" w:fill="auto"/>
            <w:noWrap/>
            <w:vAlign w:val="center"/>
          </w:tcPr>
          <w:p w14:paraId="6924A06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0.05</w:t>
            </w:r>
          </w:p>
        </w:tc>
        <w:tc>
          <w:tcPr>
            <w:tcW w:w="585" w:type="dxa"/>
            <w:shd w:val="clear" w:color="auto" w:fill="auto"/>
            <w:noWrap/>
            <w:vAlign w:val="center"/>
          </w:tcPr>
          <w:p w14:paraId="6924A06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0.03</w:t>
            </w:r>
          </w:p>
        </w:tc>
        <w:tc>
          <w:tcPr>
            <w:tcW w:w="584" w:type="dxa"/>
            <w:shd w:val="clear" w:color="auto" w:fill="auto"/>
            <w:noWrap/>
            <w:vAlign w:val="center"/>
          </w:tcPr>
          <w:p w14:paraId="6924A06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0.04</w:t>
            </w:r>
          </w:p>
        </w:tc>
      </w:tr>
      <w:tr w:rsidR="00757000" w:rsidRPr="0063355C" w14:paraId="6924A071" w14:textId="77777777" w:rsidTr="00757000">
        <w:trPr>
          <w:trHeight w:val="240"/>
        </w:trPr>
        <w:tc>
          <w:tcPr>
            <w:tcW w:w="683" w:type="dxa"/>
            <w:shd w:val="clear" w:color="auto" w:fill="auto"/>
            <w:noWrap/>
            <w:hideMark/>
          </w:tcPr>
          <w:p w14:paraId="6924A069"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18</w:t>
            </w:r>
          </w:p>
        </w:tc>
        <w:tc>
          <w:tcPr>
            <w:tcW w:w="4651" w:type="dxa"/>
            <w:shd w:val="clear" w:color="auto" w:fill="auto"/>
            <w:noWrap/>
            <w:vAlign w:val="center"/>
            <w:hideMark/>
          </w:tcPr>
          <w:p w14:paraId="6924A06A"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Optical, photographic, cinematographic, measuring, checking, precision, medical or surgical instruments and apparatus; clocks and watches; musical instruments; parts and accessories thereof </w:t>
            </w:r>
          </w:p>
        </w:tc>
        <w:tc>
          <w:tcPr>
            <w:tcW w:w="584" w:type="dxa"/>
            <w:shd w:val="clear" w:color="auto" w:fill="auto"/>
            <w:noWrap/>
            <w:vAlign w:val="center"/>
          </w:tcPr>
          <w:p w14:paraId="6924A06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c>
          <w:tcPr>
            <w:tcW w:w="585" w:type="dxa"/>
            <w:shd w:val="clear" w:color="auto" w:fill="auto"/>
            <w:noWrap/>
            <w:vAlign w:val="center"/>
          </w:tcPr>
          <w:p w14:paraId="6924A06C"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0.00</w:t>
            </w:r>
          </w:p>
        </w:tc>
        <w:tc>
          <w:tcPr>
            <w:tcW w:w="584" w:type="dxa"/>
            <w:shd w:val="clear" w:color="auto" w:fill="auto"/>
            <w:noWrap/>
            <w:vAlign w:val="center"/>
          </w:tcPr>
          <w:p w14:paraId="6924A06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0.02</w:t>
            </w:r>
          </w:p>
        </w:tc>
        <w:tc>
          <w:tcPr>
            <w:tcW w:w="584" w:type="dxa"/>
            <w:shd w:val="clear" w:color="auto" w:fill="auto"/>
            <w:noWrap/>
            <w:vAlign w:val="center"/>
          </w:tcPr>
          <w:p w14:paraId="6924A06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0.00</w:t>
            </w:r>
          </w:p>
        </w:tc>
        <w:tc>
          <w:tcPr>
            <w:tcW w:w="585" w:type="dxa"/>
            <w:shd w:val="clear" w:color="auto" w:fill="auto"/>
            <w:noWrap/>
            <w:vAlign w:val="center"/>
          </w:tcPr>
          <w:p w14:paraId="6924A06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0.02</w:t>
            </w:r>
          </w:p>
        </w:tc>
        <w:tc>
          <w:tcPr>
            <w:tcW w:w="584" w:type="dxa"/>
            <w:shd w:val="clear" w:color="auto" w:fill="auto"/>
            <w:noWrap/>
            <w:vAlign w:val="center"/>
          </w:tcPr>
          <w:p w14:paraId="6924A07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0.01</w:t>
            </w:r>
          </w:p>
        </w:tc>
      </w:tr>
      <w:tr w:rsidR="00757000" w:rsidRPr="0063355C" w14:paraId="6924A07A" w14:textId="77777777" w:rsidTr="00757000">
        <w:trPr>
          <w:trHeight w:val="240"/>
        </w:trPr>
        <w:tc>
          <w:tcPr>
            <w:tcW w:w="683" w:type="dxa"/>
            <w:shd w:val="clear" w:color="auto" w:fill="auto"/>
            <w:noWrap/>
            <w:hideMark/>
          </w:tcPr>
          <w:p w14:paraId="6924A072"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19</w:t>
            </w:r>
          </w:p>
        </w:tc>
        <w:tc>
          <w:tcPr>
            <w:tcW w:w="4651" w:type="dxa"/>
            <w:shd w:val="clear" w:color="auto" w:fill="auto"/>
            <w:noWrap/>
            <w:vAlign w:val="center"/>
            <w:hideMark/>
          </w:tcPr>
          <w:p w14:paraId="6924A073"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Arms and ammunition; parts and accessories thereof </w:t>
            </w:r>
          </w:p>
        </w:tc>
        <w:tc>
          <w:tcPr>
            <w:tcW w:w="584" w:type="dxa"/>
            <w:shd w:val="clear" w:color="auto" w:fill="auto"/>
            <w:noWrap/>
            <w:vAlign w:val="center"/>
          </w:tcPr>
          <w:p w14:paraId="6924A074"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c>
          <w:tcPr>
            <w:tcW w:w="585" w:type="dxa"/>
            <w:shd w:val="clear" w:color="auto" w:fill="auto"/>
            <w:noWrap/>
            <w:vAlign w:val="center"/>
          </w:tcPr>
          <w:p w14:paraId="6924A075"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c>
          <w:tcPr>
            <w:tcW w:w="584" w:type="dxa"/>
            <w:shd w:val="clear" w:color="auto" w:fill="auto"/>
            <w:noWrap/>
            <w:vAlign w:val="center"/>
          </w:tcPr>
          <w:p w14:paraId="6924A07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c>
          <w:tcPr>
            <w:tcW w:w="584" w:type="dxa"/>
            <w:shd w:val="clear" w:color="auto" w:fill="auto"/>
            <w:noWrap/>
            <w:vAlign w:val="center"/>
          </w:tcPr>
          <w:p w14:paraId="6924A07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c>
          <w:tcPr>
            <w:tcW w:w="585" w:type="dxa"/>
            <w:shd w:val="clear" w:color="auto" w:fill="auto"/>
            <w:noWrap/>
            <w:vAlign w:val="center"/>
          </w:tcPr>
          <w:p w14:paraId="6924A07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c>
          <w:tcPr>
            <w:tcW w:w="584" w:type="dxa"/>
            <w:shd w:val="clear" w:color="auto" w:fill="auto"/>
            <w:noWrap/>
            <w:vAlign w:val="center"/>
          </w:tcPr>
          <w:p w14:paraId="6924A07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w:t>
            </w:r>
          </w:p>
        </w:tc>
      </w:tr>
      <w:tr w:rsidR="00757000" w:rsidRPr="0063355C" w14:paraId="6924A083" w14:textId="77777777" w:rsidTr="00757000">
        <w:trPr>
          <w:trHeight w:val="240"/>
        </w:trPr>
        <w:tc>
          <w:tcPr>
            <w:tcW w:w="683" w:type="dxa"/>
            <w:shd w:val="clear" w:color="auto" w:fill="auto"/>
            <w:noWrap/>
            <w:hideMark/>
          </w:tcPr>
          <w:p w14:paraId="6924A07B"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20</w:t>
            </w:r>
          </w:p>
        </w:tc>
        <w:tc>
          <w:tcPr>
            <w:tcW w:w="4651" w:type="dxa"/>
            <w:shd w:val="clear" w:color="auto" w:fill="auto"/>
            <w:noWrap/>
            <w:vAlign w:val="center"/>
            <w:hideMark/>
          </w:tcPr>
          <w:p w14:paraId="6924A07C"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Miscellaneous manufactured articles </w:t>
            </w:r>
          </w:p>
        </w:tc>
        <w:tc>
          <w:tcPr>
            <w:tcW w:w="584" w:type="dxa"/>
            <w:shd w:val="clear" w:color="auto" w:fill="auto"/>
            <w:noWrap/>
            <w:vAlign w:val="center"/>
          </w:tcPr>
          <w:p w14:paraId="6924A07D"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4.54</w:t>
            </w:r>
          </w:p>
        </w:tc>
        <w:tc>
          <w:tcPr>
            <w:tcW w:w="585" w:type="dxa"/>
            <w:shd w:val="clear" w:color="auto" w:fill="auto"/>
            <w:noWrap/>
            <w:vAlign w:val="center"/>
          </w:tcPr>
          <w:p w14:paraId="6924A07E"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5.56</w:t>
            </w:r>
          </w:p>
        </w:tc>
        <w:tc>
          <w:tcPr>
            <w:tcW w:w="584" w:type="dxa"/>
            <w:shd w:val="clear" w:color="auto" w:fill="auto"/>
            <w:noWrap/>
            <w:vAlign w:val="center"/>
          </w:tcPr>
          <w:p w14:paraId="6924A07F"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6.87</w:t>
            </w:r>
          </w:p>
        </w:tc>
        <w:tc>
          <w:tcPr>
            <w:tcW w:w="584" w:type="dxa"/>
            <w:shd w:val="clear" w:color="auto" w:fill="auto"/>
            <w:noWrap/>
            <w:vAlign w:val="center"/>
          </w:tcPr>
          <w:p w14:paraId="6924A080"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5.34</w:t>
            </w:r>
          </w:p>
        </w:tc>
        <w:tc>
          <w:tcPr>
            <w:tcW w:w="585" w:type="dxa"/>
            <w:shd w:val="clear" w:color="auto" w:fill="auto"/>
            <w:noWrap/>
            <w:vAlign w:val="center"/>
          </w:tcPr>
          <w:p w14:paraId="6924A081"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6.40</w:t>
            </w:r>
          </w:p>
        </w:tc>
        <w:tc>
          <w:tcPr>
            <w:tcW w:w="584" w:type="dxa"/>
            <w:shd w:val="clear" w:color="auto" w:fill="auto"/>
            <w:noWrap/>
            <w:vAlign w:val="center"/>
          </w:tcPr>
          <w:p w14:paraId="6924A082"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6.07</w:t>
            </w:r>
          </w:p>
        </w:tc>
      </w:tr>
      <w:tr w:rsidR="00757000" w:rsidRPr="0063355C" w14:paraId="6924A08C" w14:textId="77777777" w:rsidTr="00757000">
        <w:trPr>
          <w:trHeight w:val="240"/>
        </w:trPr>
        <w:tc>
          <w:tcPr>
            <w:tcW w:w="683" w:type="dxa"/>
            <w:shd w:val="clear" w:color="auto" w:fill="auto"/>
            <w:noWrap/>
            <w:hideMark/>
          </w:tcPr>
          <w:p w14:paraId="6924A084" w14:textId="77777777" w:rsidR="00757000" w:rsidRPr="0063355C" w:rsidRDefault="00757000" w:rsidP="00A00DED">
            <w:pPr>
              <w:spacing w:line="220" w:lineRule="atLeast"/>
              <w:jc w:val="center"/>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21</w:t>
            </w:r>
          </w:p>
        </w:tc>
        <w:tc>
          <w:tcPr>
            <w:tcW w:w="4651" w:type="dxa"/>
            <w:shd w:val="clear" w:color="auto" w:fill="auto"/>
            <w:noWrap/>
            <w:vAlign w:val="center"/>
            <w:hideMark/>
          </w:tcPr>
          <w:p w14:paraId="6924A085" w14:textId="77777777" w:rsidR="00757000" w:rsidRPr="0063355C" w:rsidRDefault="00757000" w:rsidP="00A00DED">
            <w:pPr>
              <w:spacing w:line="220" w:lineRule="atLeast"/>
              <w:ind w:left="72" w:right="72"/>
              <w:rPr>
                <w:rFonts w:asciiTheme="majorHAnsi" w:eastAsia="Times New Roman" w:hAnsiTheme="majorHAnsi" w:cstheme="majorHAnsi"/>
                <w:color w:val="000000"/>
                <w:sz w:val="16"/>
                <w:szCs w:val="16"/>
                <w:lang w:eastAsia="en-GB"/>
              </w:rPr>
            </w:pPr>
            <w:r w:rsidRPr="0063355C">
              <w:rPr>
                <w:rFonts w:asciiTheme="majorHAnsi" w:eastAsia="Times New Roman" w:hAnsiTheme="majorHAnsi" w:cstheme="majorHAnsi"/>
                <w:color w:val="000000"/>
                <w:sz w:val="16"/>
                <w:szCs w:val="16"/>
                <w:lang w:eastAsia="en-GB"/>
              </w:rPr>
              <w:t>Works of art, collectors’ pieces and antiques </w:t>
            </w:r>
          </w:p>
        </w:tc>
        <w:tc>
          <w:tcPr>
            <w:tcW w:w="584" w:type="dxa"/>
            <w:shd w:val="clear" w:color="auto" w:fill="auto"/>
            <w:noWrap/>
            <w:vAlign w:val="center"/>
          </w:tcPr>
          <w:p w14:paraId="6924A086"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0.33</w:t>
            </w:r>
          </w:p>
        </w:tc>
        <w:tc>
          <w:tcPr>
            <w:tcW w:w="585" w:type="dxa"/>
            <w:shd w:val="clear" w:color="auto" w:fill="auto"/>
            <w:noWrap/>
            <w:vAlign w:val="center"/>
          </w:tcPr>
          <w:p w14:paraId="6924A087"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0.25</w:t>
            </w:r>
          </w:p>
        </w:tc>
        <w:tc>
          <w:tcPr>
            <w:tcW w:w="584" w:type="dxa"/>
            <w:shd w:val="clear" w:color="auto" w:fill="auto"/>
            <w:noWrap/>
            <w:vAlign w:val="center"/>
          </w:tcPr>
          <w:p w14:paraId="6924A088"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0.08</w:t>
            </w:r>
          </w:p>
        </w:tc>
        <w:tc>
          <w:tcPr>
            <w:tcW w:w="584" w:type="dxa"/>
            <w:shd w:val="clear" w:color="auto" w:fill="auto"/>
            <w:noWrap/>
            <w:vAlign w:val="center"/>
          </w:tcPr>
          <w:p w14:paraId="6924A089"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0.66</w:t>
            </w:r>
          </w:p>
        </w:tc>
        <w:tc>
          <w:tcPr>
            <w:tcW w:w="585" w:type="dxa"/>
            <w:shd w:val="clear" w:color="auto" w:fill="auto"/>
            <w:noWrap/>
            <w:vAlign w:val="center"/>
          </w:tcPr>
          <w:p w14:paraId="6924A08A"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2.83</w:t>
            </w:r>
          </w:p>
        </w:tc>
        <w:tc>
          <w:tcPr>
            <w:tcW w:w="584" w:type="dxa"/>
            <w:shd w:val="clear" w:color="auto" w:fill="auto"/>
            <w:noWrap/>
            <w:vAlign w:val="center"/>
          </w:tcPr>
          <w:p w14:paraId="6924A08B" w14:textId="77777777" w:rsidR="00757000" w:rsidRPr="00757000" w:rsidRDefault="00757000" w:rsidP="00A00DED">
            <w:pPr>
              <w:spacing w:line="220" w:lineRule="atLeast"/>
              <w:jc w:val="center"/>
              <w:rPr>
                <w:rFonts w:ascii="Arial" w:eastAsia="Times New Roman" w:hAnsi="Arial" w:cs="Arial"/>
                <w:color w:val="000000"/>
                <w:sz w:val="16"/>
                <w:szCs w:val="18"/>
                <w:lang w:eastAsia="en-GB"/>
              </w:rPr>
            </w:pPr>
            <w:r w:rsidRPr="00757000">
              <w:rPr>
                <w:rFonts w:ascii="Arial" w:eastAsia="Times New Roman" w:hAnsi="Arial" w:cs="Arial"/>
                <w:color w:val="000000"/>
                <w:sz w:val="16"/>
                <w:szCs w:val="18"/>
                <w:lang w:eastAsia="en-GB"/>
              </w:rPr>
              <w:t>0.53</w:t>
            </w:r>
          </w:p>
        </w:tc>
      </w:tr>
    </w:tbl>
    <w:p w14:paraId="6924A08D" w14:textId="77777777" w:rsidR="00757000" w:rsidRDefault="00757000" w:rsidP="00757000">
      <w:pPr>
        <w:pStyle w:val="Source"/>
      </w:pPr>
      <w:r>
        <w:t xml:space="preserve">Note: Share of country’s exports in each HS Section in country’s total exports as a ratio of share of world exports in each HS Section in world total exports. ‘World’ = UN </w:t>
      </w:r>
      <w:proofErr w:type="spellStart"/>
      <w:r>
        <w:t>COMTRADE’s</w:t>
      </w:r>
      <w:proofErr w:type="spellEnd"/>
      <w:r>
        <w:t xml:space="preserve"> ‘all countries’ aggregate, i.e. total of however many countries have reported their data in any given year. </w:t>
      </w:r>
      <w:r>
        <w:br/>
        <w:t xml:space="preserve">Source: Authors’ calculations using data from the UN’s </w:t>
      </w:r>
      <w:proofErr w:type="spellStart"/>
      <w:r>
        <w:t>COMTRADE</w:t>
      </w:r>
      <w:proofErr w:type="spellEnd"/>
      <w:r>
        <w:t xml:space="preserve"> database.</w:t>
      </w:r>
    </w:p>
    <w:p w14:paraId="6924A08E" w14:textId="77777777" w:rsidR="00757000" w:rsidRDefault="00757000">
      <w:pPr>
        <w:rPr>
          <w:rFonts w:ascii="Arial" w:eastAsia="Times New Roman" w:hAnsi="Arial"/>
          <w:b/>
          <w:color w:val="006C67" w:themeColor="accent1"/>
          <w:sz w:val="28"/>
          <w:szCs w:val="26"/>
        </w:rPr>
      </w:pPr>
      <w:r>
        <w:br w:type="page"/>
      </w:r>
    </w:p>
    <w:p w14:paraId="6924A08F" w14:textId="77777777" w:rsidR="004D6FA5" w:rsidRDefault="004D6FA5" w:rsidP="004D6FA5">
      <w:pPr>
        <w:pStyle w:val="Heading2"/>
      </w:pPr>
      <w:bookmarkStart w:id="105" w:name="_Toc428437726"/>
      <w:r>
        <w:t>Trade in value added</w:t>
      </w:r>
      <w:bookmarkEnd w:id="100"/>
      <w:bookmarkEnd w:id="105"/>
    </w:p>
    <w:p w14:paraId="6924A090" w14:textId="77777777" w:rsidR="00A00DED" w:rsidRPr="007831E9" w:rsidRDefault="00A00DED" w:rsidP="00A00DED">
      <w:pPr>
        <w:pStyle w:val="FigureHeading"/>
      </w:pPr>
      <w:bookmarkStart w:id="106" w:name="_Toc428437727"/>
      <w:r w:rsidRPr="007831E9">
        <w:t>Compound annual growth rate of domestic value added, foreign value added and exports, 1996-2011 and 2006-11</w:t>
      </w:r>
      <w:r>
        <w:t>, Gaza Strip</w:t>
      </w:r>
      <w:bookmarkEnd w:id="106"/>
    </w:p>
    <w:p w14:paraId="6924A091" w14:textId="77777777" w:rsidR="00A00DED" w:rsidRDefault="00A00DED" w:rsidP="00A00DED">
      <w:r w:rsidRPr="008A2234">
        <w:rPr>
          <w:rFonts w:asciiTheme="majorHAnsi" w:hAnsiTheme="majorHAnsi" w:cstheme="majorHAnsi"/>
          <w:noProof/>
          <w:sz w:val="16"/>
          <w:szCs w:val="16"/>
          <w:lang w:eastAsia="en-GB"/>
        </w:rPr>
        <w:drawing>
          <wp:inline distT="0" distB="0" distL="0" distR="0" wp14:anchorId="6924A0EA" wp14:editId="6924A0EB">
            <wp:extent cx="4114800" cy="18288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6924A092" w14:textId="77777777" w:rsidR="00A00DED" w:rsidRPr="00B67D98" w:rsidRDefault="00A00DED" w:rsidP="00A00DED">
      <w:pPr>
        <w:pStyle w:val="Source"/>
      </w:pPr>
      <w:r w:rsidRPr="00B67D98">
        <w:t xml:space="preserve">Source: Own </w:t>
      </w:r>
      <w:r>
        <w:t xml:space="preserve">computations using </w:t>
      </w:r>
      <w:proofErr w:type="spellStart"/>
      <w:r>
        <w:t>Eora26</w:t>
      </w:r>
      <w:proofErr w:type="spellEnd"/>
      <w:r>
        <w:t xml:space="preserve"> database</w:t>
      </w:r>
    </w:p>
    <w:p w14:paraId="6924A093" w14:textId="77777777" w:rsidR="00A00DED" w:rsidRDefault="00A00DED" w:rsidP="00A00DED"/>
    <w:p w14:paraId="6924A094" w14:textId="77777777" w:rsidR="00A00DED" w:rsidRDefault="00A00DED" w:rsidP="00A00DED">
      <w:pPr>
        <w:pStyle w:val="FigureHeading"/>
      </w:pPr>
      <w:bookmarkStart w:id="107" w:name="_Toc428437728"/>
      <w:r>
        <w:rPr>
          <w:rFonts w:cs="Arial"/>
        </w:rPr>
        <w:t>Domestic and foreign value added content of gross exports as share of gross exports, 1996, 2000, 2006 and 2011</w:t>
      </w:r>
      <w:r>
        <w:t>, Gaza Strip</w:t>
      </w:r>
      <w:bookmarkEnd w:id="107"/>
    </w:p>
    <w:p w14:paraId="12915B55" w14:textId="59479F23" w:rsidR="00681243" w:rsidRPr="00681243" w:rsidRDefault="00681243" w:rsidP="00681243">
      <w:pPr>
        <w:pStyle w:val="BodyText"/>
        <w:spacing w:before="39" w:after="0" w:line="240" w:lineRule="auto"/>
        <w:jc w:val="left"/>
      </w:pPr>
      <w:r>
        <w:rPr>
          <w:noProof/>
          <w:lang w:eastAsia="en-GB"/>
        </w:rPr>
        <w:drawing>
          <wp:inline distT="0" distB="0" distL="0" distR="0" wp14:anchorId="2BB0EE5D" wp14:editId="794141BE">
            <wp:extent cx="4114800" cy="1828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6924A096" w14:textId="77777777" w:rsidR="00A00DED" w:rsidRPr="00B67D98" w:rsidRDefault="00A00DED" w:rsidP="00A00DED">
      <w:pPr>
        <w:pStyle w:val="Source"/>
      </w:pPr>
      <w:r w:rsidRPr="00B67D98">
        <w:t xml:space="preserve">Source: Own </w:t>
      </w:r>
      <w:r>
        <w:t xml:space="preserve">computations using </w:t>
      </w:r>
      <w:proofErr w:type="spellStart"/>
      <w:r>
        <w:t>Eora26</w:t>
      </w:r>
      <w:proofErr w:type="spellEnd"/>
      <w:r>
        <w:t xml:space="preserve"> database</w:t>
      </w:r>
    </w:p>
    <w:p w14:paraId="6924A097" w14:textId="77777777" w:rsidR="00A00DED" w:rsidRDefault="00A00DED" w:rsidP="00A00DED">
      <w:pPr>
        <w:pStyle w:val="BodyText"/>
      </w:pPr>
    </w:p>
    <w:p w14:paraId="6924A098" w14:textId="77777777" w:rsidR="00A00DED" w:rsidRPr="00623027" w:rsidRDefault="00A00DED" w:rsidP="00A00DED">
      <w:pPr>
        <w:pStyle w:val="FigureHeading"/>
        <w:rPr>
          <w:rFonts w:cs="Arial"/>
        </w:rPr>
      </w:pPr>
      <w:bookmarkStart w:id="108" w:name="_Toc428437729"/>
      <w:r>
        <w:rPr>
          <w:rFonts w:cs="Arial"/>
        </w:rPr>
        <w:t>Overall value of domestic and foreign value added, 1996, 2000, 2006 and 2011 (in USD 1,000)</w:t>
      </w:r>
      <w:r w:rsidRPr="00A00DED">
        <w:t xml:space="preserve"> </w:t>
      </w:r>
      <w:r>
        <w:t>, Gaza Strip</w:t>
      </w:r>
      <w:bookmarkEnd w:id="108"/>
    </w:p>
    <w:p w14:paraId="6924A099" w14:textId="77777777" w:rsidR="00A00DED" w:rsidRDefault="00A00DED" w:rsidP="00A00DED">
      <w:pPr>
        <w:pStyle w:val="BodyText"/>
      </w:pPr>
      <w:r w:rsidRPr="008A2234">
        <w:rPr>
          <w:rFonts w:asciiTheme="majorHAnsi" w:hAnsiTheme="majorHAnsi" w:cstheme="majorHAnsi"/>
          <w:noProof/>
          <w:sz w:val="16"/>
          <w:szCs w:val="16"/>
          <w:lang w:eastAsia="en-GB"/>
        </w:rPr>
        <w:drawing>
          <wp:inline distT="0" distB="0" distL="0" distR="0" wp14:anchorId="6924A0EE" wp14:editId="6924A0EF">
            <wp:extent cx="4114800" cy="18288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6924A09A" w14:textId="77777777" w:rsidR="00A00DED" w:rsidRPr="00B67D98" w:rsidRDefault="00A00DED" w:rsidP="00A00DED">
      <w:pPr>
        <w:pStyle w:val="Source"/>
      </w:pPr>
      <w:r w:rsidRPr="00B67D98">
        <w:t xml:space="preserve">Source: Own </w:t>
      </w:r>
      <w:r>
        <w:t xml:space="preserve">computations using </w:t>
      </w:r>
      <w:proofErr w:type="spellStart"/>
      <w:r>
        <w:t>Eora26</w:t>
      </w:r>
      <w:proofErr w:type="spellEnd"/>
      <w:r>
        <w:t xml:space="preserve"> database</w:t>
      </w:r>
    </w:p>
    <w:p w14:paraId="6924A09B" w14:textId="77777777" w:rsidR="00A00DED" w:rsidRPr="007831E9" w:rsidRDefault="00A00DED" w:rsidP="00A00DED">
      <w:pPr>
        <w:pStyle w:val="BodyText"/>
      </w:pPr>
    </w:p>
    <w:p w14:paraId="6924A09C" w14:textId="77777777" w:rsidR="00A00DED" w:rsidRPr="00623027" w:rsidRDefault="00A00DED" w:rsidP="00A00DED">
      <w:pPr>
        <w:pStyle w:val="FigureHeading"/>
        <w:rPr>
          <w:rFonts w:cs="Arial"/>
        </w:rPr>
      </w:pPr>
      <w:bookmarkStart w:id="109" w:name="_Toc428437730"/>
      <w:r>
        <w:rPr>
          <w:rFonts w:cs="Arial"/>
        </w:rPr>
        <w:t>C</w:t>
      </w:r>
      <w:r w:rsidRPr="007831E9">
        <w:rPr>
          <w:rFonts w:cs="Arial"/>
        </w:rPr>
        <w:t xml:space="preserve">ompound annual growth rate of </w:t>
      </w:r>
      <w:proofErr w:type="spellStart"/>
      <w:r w:rsidRPr="007831E9">
        <w:rPr>
          <w:rFonts w:cs="Arial"/>
        </w:rPr>
        <w:t>DVA</w:t>
      </w:r>
      <w:proofErr w:type="spellEnd"/>
      <w:r w:rsidRPr="007831E9">
        <w:rPr>
          <w:rFonts w:cs="Arial"/>
        </w:rPr>
        <w:t xml:space="preserve"> embodied in gross exports by sector, 1996-2011 and 2006-2011</w:t>
      </w:r>
      <w:r>
        <w:t>, Gaza Strip</w:t>
      </w:r>
      <w:bookmarkEnd w:id="109"/>
    </w:p>
    <w:p w14:paraId="6924A09D" w14:textId="77777777" w:rsidR="00A00DED" w:rsidRDefault="00A00DED" w:rsidP="00A00DED">
      <w:r>
        <w:rPr>
          <w:noProof/>
          <w:lang w:eastAsia="en-GB"/>
        </w:rPr>
        <w:drawing>
          <wp:inline distT="0" distB="0" distL="0" distR="0" wp14:anchorId="6924A0F0" wp14:editId="6924A0F1">
            <wp:extent cx="4572000" cy="27432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6924A09E" w14:textId="77777777" w:rsidR="00A00DED" w:rsidRPr="00B67D98" w:rsidRDefault="00A00DED" w:rsidP="00A00DED">
      <w:pPr>
        <w:pStyle w:val="Source"/>
      </w:pPr>
      <w:r w:rsidRPr="00B67D98">
        <w:t xml:space="preserve">Source: Own </w:t>
      </w:r>
      <w:r>
        <w:t xml:space="preserve">computations using </w:t>
      </w:r>
      <w:proofErr w:type="spellStart"/>
      <w:r>
        <w:t>Eora26</w:t>
      </w:r>
      <w:proofErr w:type="spellEnd"/>
      <w:r>
        <w:t xml:space="preserve"> database</w:t>
      </w:r>
    </w:p>
    <w:p w14:paraId="6924A09F" w14:textId="77777777" w:rsidR="00A00DED" w:rsidRDefault="00A00DED" w:rsidP="00A00DED"/>
    <w:p w14:paraId="6924A0A0" w14:textId="77777777" w:rsidR="00A00DED" w:rsidRDefault="00A00DED" w:rsidP="00A00DED">
      <w:pPr>
        <w:pStyle w:val="FigureHeading"/>
      </w:pPr>
      <w:bookmarkStart w:id="110" w:name="_Toc428437731"/>
      <w:r w:rsidRPr="007831E9">
        <w:rPr>
          <w:rFonts w:cs="Arial"/>
        </w:rPr>
        <w:t xml:space="preserve">Sectoral </w:t>
      </w:r>
      <w:proofErr w:type="spellStart"/>
      <w:r w:rsidRPr="007831E9">
        <w:rPr>
          <w:rFonts w:cs="Arial"/>
        </w:rPr>
        <w:t>DVA</w:t>
      </w:r>
      <w:proofErr w:type="spellEnd"/>
      <w:r w:rsidRPr="007831E9">
        <w:rPr>
          <w:rFonts w:cs="Arial"/>
        </w:rPr>
        <w:t xml:space="preserve"> embodied in exports as a share of sectoral gross exports, 2000 and 2011</w:t>
      </w:r>
      <w:r>
        <w:t>, Gaza Strip</w:t>
      </w:r>
      <w:bookmarkEnd w:id="110"/>
    </w:p>
    <w:p w14:paraId="579DD119" w14:textId="57A8A2D6" w:rsidR="00681243" w:rsidRPr="00681243" w:rsidRDefault="00681243" w:rsidP="00681243">
      <w:pPr>
        <w:pStyle w:val="BodyText"/>
        <w:spacing w:before="39" w:after="0" w:line="240" w:lineRule="auto"/>
        <w:jc w:val="left"/>
      </w:pPr>
      <w:r>
        <w:rPr>
          <w:noProof/>
          <w:lang w:eastAsia="en-GB"/>
        </w:rPr>
        <w:drawing>
          <wp:inline distT="0" distB="0" distL="0" distR="0" wp14:anchorId="7B7BE38D" wp14:editId="49538334">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924A0A2" w14:textId="77777777" w:rsidR="00A00DED" w:rsidRPr="00B67D98" w:rsidRDefault="00A00DED" w:rsidP="00A00DED">
      <w:pPr>
        <w:pStyle w:val="Source"/>
      </w:pPr>
      <w:r w:rsidRPr="00B67D98">
        <w:t xml:space="preserve">Source: Own </w:t>
      </w:r>
      <w:r>
        <w:t xml:space="preserve">computations using </w:t>
      </w:r>
      <w:proofErr w:type="spellStart"/>
      <w:r>
        <w:t>Eora26</w:t>
      </w:r>
      <w:proofErr w:type="spellEnd"/>
      <w:r>
        <w:t xml:space="preserve"> database</w:t>
      </w:r>
    </w:p>
    <w:p w14:paraId="6924A0A3" w14:textId="77777777" w:rsidR="00A00DED" w:rsidRDefault="00A00DED" w:rsidP="00A00DED"/>
    <w:p w14:paraId="6924A0A4" w14:textId="77777777" w:rsidR="00A00DED" w:rsidRDefault="00A00DED">
      <w:pPr>
        <w:rPr>
          <w:rFonts w:ascii="Arial" w:hAnsi="Arial" w:cs="Arial"/>
          <w:b/>
          <w:color w:val="006C67" w:themeColor="accent1"/>
          <w:sz w:val="24"/>
        </w:rPr>
      </w:pPr>
      <w:r>
        <w:rPr>
          <w:rFonts w:cs="Arial"/>
        </w:rPr>
        <w:br w:type="page"/>
      </w:r>
    </w:p>
    <w:p w14:paraId="6924A0A5" w14:textId="77777777" w:rsidR="00A00DED" w:rsidRDefault="00A00DED" w:rsidP="00A00DED">
      <w:pPr>
        <w:pStyle w:val="FigureHeading"/>
      </w:pPr>
      <w:bookmarkStart w:id="111" w:name="_Toc428437732"/>
      <w:r w:rsidRPr="007831E9">
        <w:rPr>
          <w:rFonts w:cs="Arial"/>
        </w:rPr>
        <w:t xml:space="preserve">Sectoral </w:t>
      </w:r>
      <w:proofErr w:type="spellStart"/>
      <w:r w:rsidRPr="007831E9">
        <w:rPr>
          <w:rFonts w:cs="Arial"/>
        </w:rPr>
        <w:t>DVA</w:t>
      </w:r>
      <w:proofErr w:type="spellEnd"/>
      <w:r w:rsidRPr="007831E9">
        <w:rPr>
          <w:rFonts w:cs="Arial"/>
        </w:rPr>
        <w:t xml:space="preserve"> as a share of total </w:t>
      </w:r>
      <w:proofErr w:type="spellStart"/>
      <w:r w:rsidRPr="007831E9">
        <w:rPr>
          <w:rFonts w:cs="Arial"/>
        </w:rPr>
        <w:t>DVA</w:t>
      </w:r>
      <w:proofErr w:type="spellEnd"/>
      <w:r w:rsidRPr="007831E9">
        <w:rPr>
          <w:rFonts w:cs="Arial"/>
        </w:rPr>
        <w:t>, 2000 and 2011</w:t>
      </w:r>
      <w:r>
        <w:t>, Gaza Strip</w:t>
      </w:r>
      <w:bookmarkEnd w:id="111"/>
    </w:p>
    <w:p w14:paraId="6924A0A6" w14:textId="77777777" w:rsidR="00A00DED" w:rsidRPr="00A00DED" w:rsidRDefault="00A00DED" w:rsidP="00A00DED">
      <w:pPr>
        <w:pStyle w:val="BodyText"/>
      </w:pPr>
      <w:r>
        <w:rPr>
          <w:noProof/>
          <w:lang w:eastAsia="en-GB"/>
        </w:rPr>
        <w:drawing>
          <wp:inline distT="0" distB="0" distL="0" distR="0" wp14:anchorId="6924A0F4" wp14:editId="6924A0F5">
            <wp:extent cx="4680966" cy="2800800"/>
            <wp:effectExtent l="0" t="0" r="57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6924A0A7" w14:textId="77777777" w:rsidR="00A00DED" w:rsidRDefault="00FB5934" w:rsidP="00A00DED">
      <w:r>
        <w:rPr>
          <w:noProof/>
          <w:lang w:eastAsia="en-GB"/>
        </w:rPr>
        <w:drawing>
          <wp:inline distT="0" distB="0" distL="0" distR="0" wp14:anchorId="6924A0F6" wp14:editId="6924A0F7">
            <wp:extent cx="4680000" cy="2800800"/>
            <wp:effectExtent l="0" t="0" r="635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6924A0A8" w14:textId="77777777" w:rsidR="00A00DED" w:rsidRPr="00B67D98" w:rsidRDefault="00A00DED" w:rsidP="00FB5934">
      <w:pPr>
        <w:pStyle w:val="Source"/>
      </w:pPr>
      <w:r w:rsidRPr="00B67D98">
        <w:t xml:space="preserve">Source: Own </w:t>
      </w:r>
      <w:r>
        <w:t xml:space="preserve">computations using </w:t>
      </w:r>
      <w:proofErr w:type="spellStart"/>
      <w:r>
        <w:t>Eora26</w:t>
      </w:r>
      <w:proofErr w:type="spellEnd"/>
      <w:r>
        <w:t xml:space="preserve"> database</w:t>
      </w:r>
    </w:p>
    <w:p w14:paraId="6924A0A9" w14:textId="77777777" w:rsidR="00A00DED" w:rsidRDefault="00A00DED" w:rsidP="00A00DED"/>
    <w:p w14:paraId="6924A0AA" w14:textId="77777777" w:rsidR="00291CEA" w:rsidRDefault="00291CEA">
      <w:pPr>
        <w:rPr>
          <w:rFonts w:ascii="Arial" w:hAnsi="Arial" w:cs="Arial"/>
          <w:b/>
          <w:color w:val="006C67" w:themeColor="accent1"/>
          <w:sz w:val="24"/>
        </w:rPr>
      </w:pPr>
      <w:r>
        <w:rPr>
          <w:rFonts w:cs="Arial"/>
        </w:rPr>
        <w:br w:type="page"/>
      </w:r>
    </w:p>
    <w:p w14:paraId="6924A0AB" w14:textId="77777777" w:rsidR="00A00DED" w:rsidRPr="00623027" w:rsidRDefault="00A00DED" w:rsidP="00A00DED">
      <w:pPr>
        <w:pStyle w:val="FigureHeading"/>
        <w:rPr>
          <w:rFonts w:cs="Arial"/>
        </w:rPr>
      </w:pPr>
      <w:bookmarkStart w:id="112" w:name="_Toc428437733"/>
      <w:r w:rsidRPr="007831E9">
        <w:rPr>
          <w:rFonts w:cs="Arial"/>
        </w:rPr>
        <w:t xml:space="preserve">Compound annual growth rate of </w:t>
      </w:r>
      <w:proofErr w:type="spellStart"/>
      <w:r w:rsidRPr="007831E9">
        <w:rPr>
          <w:rFonts w:cs="Arial"/>
        </w:rPr>
        <w:t>FVA</w:t>
      </w:r>
      <w:proofErr w:type="spellEnd"/>
      <w:r w:rsidRPr="007831E9">
        <w:rPr>
          <w:rFonts w:cs="Arial"/>
        </w:rPr>
        <w:t xml:space="preserve"> embodied in gross exports by sector, 1996-2011 and 2006-2011</w:t>
      </w:r>
      <w:r>
        <w:t>, Gaza Strip</w:t>
      </w:r>
      <w:bookmarkEnd w:id="112"/>
    </w:p>
    <w:p w14:paraId="6924A0AC" w14:textId="77777777" w:rsidR="00A00DED" w:rsidRDefault="00A00DED" w:rsidP="00A00DED">
      <w:r>
        <w:rPr>
          <w:noProof/>
          <w:lang w:eastAsia="en-GB"/>
        </w:rPr>
        <w:drawing>
          <wp:inline distT="0" distB="0" distL="0" distR="0" wp14:anchorId="6924A0F8" wp14:editId="6924A0F9">
            <wp:extent cx="4572000" cy="27432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6924A0AD" w14:textId="77777777" w:rsidR="00A00DED" w:rsidRPr="00B67D98" w:rsidRDefault="00A00DED" w:rsidP="00A00DED">
      <w:pPr>
        <w:rPr>
          <w:rFonts w:asciiTheme="majorHAnsi" w:hAnsiTheme="majorHAnsi" w:cstheme="majorHAnsi"/>
          <w:sz w:val="16"/>
          <w:szCs w:val="16"/>
        </w:rPr>
      </w:pPr>
      <w:r w:rsidRPr="00B67D98">
        <w:rPr>
          <w:rFonts w:asciiTheme="majorHAnsi" w:hAnsiTheme="majorHAnsi" w:cstheme="majorHAnsi"/>
          <w:sz w:val="16"/>
          <w:szCs w:val="16"/>
        </w:rPr>
        <w:t xml:space="preserve">Source: Own </w:t>
      </w:r>
      <w:r>
        <w:rPr>
          <w:rFonts w:asciiTheme="majorHAnsi" w:hAnsiTheme="majorHAnsi" w:cstheme="majorHAnsi"/>
          <w:sz w:val="16"/>
          <w:szCs w:val="16"/>
        </w:rPr>
        <w:t xml:space="preserve">computations using </w:t>
      </w:r>
      <w:proofErr w:type="spellStart"/>
      <w:r>
        <w:rPr>
          <w:rFonts w:asciiTheme="majorHAnsi" w:hAnsiTheme="majorHAnsi" w:cstheme="majorHAnsi"/>
          <w:sz w:val="16"/>
          <w:szCs w:val="16"/>
        </w:rPr>
        <w:t>Eora26</w:t>
      </w:r>
      <w:proofErr w:type="spellEnd"/>
      <w:r>
        <w:rPr>
          <w:rFonts w:asciiTheme="majorHAnsi" w:hAnsiTheme="majorHAnsi" w:cstheme="majorHAnsi"/>
          <w:sz w:val="16"/>
          <w:szCs w:val="16"/>
        </w:rPr>
        <w:t xml:space="preserve"> database</w:t>
      </w:r>
    </w:p>
    <w:p w14:paraId="6924A0AE" w14:textId="77777777" w:rsidR="00A00DED" w:rsidRDefault="00A00DED" w:rsidP="00A00DED"/>
    <w:p w14:paraId="6924A0AF" w14:textId="77777777" w:rsidR="00A00DED" w:rsidRDefault="00A00DED" w:rsidP="00A00DED">
      <w:pPr>
        <w:pStyle w:val="FigureHeading"/>
      </w:pPr>
      <w:bookmarkStart w:id="113" w:name="_Toc428437734"/>
      <w:r w:rsidRPr="007831E9">
        <w:rPr>
          <w:rFonts w:cs="Arial"/>
        </w:rPr>
        <w:t xml:space="preserve">Sectoral </w:t>
      </w:r>
      <w:proofErr w:type="spellStart"/>
      <w:r w:rsidRPr="007831E9">
        <w:rPr>
          <w:rFonts w:cs="Arial"/>
        </w:rPr>
        <w:t>FVA</w:t>
      </w:r>
      <w:proofErr w:type="spellEnd"/>
      <w:r w:rsidRPr="007831E9">
        <w:rPr>
          <w:rFonts w:cs="Arial"/>
        </w:rPr>
        <w:t xml:space="preserve"> embodied in exports as a share of sectoral gross exports, 2000 and 2011</w:t>
      </w:r>
      <w:r>
        <w:t>, Gaza Strip</w:t>
      </w:r>
      <w:bookmarkEnd w:id="113"/>
    </w:p>
    <w:p w14:paraId="4CB7E07A" w14:textId="437F8F96" w:rsidR="00681243" w:rsidRPr="00681243" w:rsidRDefault="00681243" w:rsidP="00681243">
      <w:pPr>
        <w:pStyle w:val="BodyText"/>
        <w:spacing w:before="39" w:after="0" w:line="240" w:lineRule="auto"/>
        <w:jc w:val="left"/>
      </w:pPr>
      <w:r>
        <w:rPr>
          <w:noProof/>
          <w:lang w:eastAsia="en-GB"/>
        </w:rPr>
        <w:drawing>
          <wp:inline distT="0" distB="0" distL="0" distR="0" wp14:anchorId="0FB440AA" wp14:editId="69E84A27">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6924A0B1" w14:textId="77777777" w:rsidR="00A00DED" w:rsidRPr="00B67D98" w:rsidRDefault="00A00DED" w:rsidP="00291CEA">
      <w:pPr>
        <w:pStyle w:val="Source"/>
      </w:pPr>
      <w:r w:rsidRPr="00B67D98">
        <w:t xml:space="preserve">Source: Own </w:t>
      </w:r>
      <w:r>
        <w:t xml:space="preserve">computations using </w:t>
      </w:r>
      <w:proofErr w:type="spellStart"/>
      <w:r>
        <w:t>Eora26</w:t>
      </w:r>
      <w:proofErr w:type="spellEnd"/>
      <w:r>
        <w:t xml:space="preserve"> database</w:t>
      </w:r>
    </w:p>
    <w:p w14:paraId="6924A0B2" w14:textId="77777777" w:rsidR="00A00DED" w:rsidRDefault="00A00DED" w:rsidP="00A00DED">
      <w:pPr>
        <w:pStyle w:val="BodyText"/>
      </w:pPr>
    </w:p>
    <w:p w14:paraId="6924A0B3" w14:textId="77777777" w:rsidR="00291CEA" w:rsidRDefault="00291CEA">
      <w:pPr>
        <w:rPr>
          <w:rFonts w:ascii="Arial" w:hAnsi="Arial" w:cs="Arial"/>
          <w:b/>
          <w:color w:val="006C67" w:themeColor="accent1"/>
          <w:sz w:val="24"/>
        </w:rPr>
      </w:pPr>
      <w:r>
        <w:rPr>
          <w:rFonts w:cs="Arial"/>
        </w:rPr>
        <w:br w:type="page"/>
      </w:r>
    </w:p>
    <w:p w14:paraId="6924A0B4" w14:textId="77777777" w:rsidR="00A00DED" w:rsidRDefault="00A00DED" w:rsidP="00A00DED">
      <w:pPr>
        <w:pStyle w:val="FigureHeading"/>
      </w:pPr>
      <w:bookmarkStart w:id="114" w:name="_Toc428437735"/>
      <w:r w:rsidRPr="007831E9">
        <w:rPr>
          <w:rFonts w:cs="Arial"/>
        </w:rPr>
        <w:t xml:space="preserve">Sectoral </w:t>
      </w:r>
      <w:proofErr w:type="spellStart"/>
      <w:r w:rsidRPr="007831E9">
        <w:rPr>
          <w:rFonts w:cs="Arial"/>
        </w:rPr>
        <w:t>FVA</w:t>
      </w:r>
      <w:proofErr w:type="spellEnd"/>
      <w:r w:rsidRPr="007831E9">
        <w:rPr>
          <w:rFonts w:cs="Arial"/>
        </w:rPr>
        <w:t xml:space="preserve"> as a share of total </w:t>
      </w:r>
      <w:proofErr w:type="spellStart"/>
      <w:r w:rsidRPr="007831E9">
        <w:rPr>
          <w:rFonts w:cs="Arial"/>
        </w:rPr>
        <w:t>FVA</w:t>
      </w:r>
      <w:proofErr w:type="spellEnd"/>
      <w:r w:rsidRPr="007831E9">
        <w:rPr>
          <w:rFonts w:cs="Arial"/>
        </w:rPr>
        <w:t>, 2000 and 2011</w:t>
      </w:r>
      <w:r>
        <w:t>, Gaza Strip</w:t>
      </w:r>
      <w:bookmarkEnd w:id="114"/>
    </w:p>
    <w:p w14:paraId="6924A0B5" w14:textId="77777777" w:rsidR="00291CEA" w:rsidRPr="00291CEA" w:rsidRDefault="00291CEA" w:rsidP="00291CEA">
      <w:pPr>
        <w:pStyle w:val="BodyText"/>
      </w:pPr>
      <w:r>
        <w:rPr>
          <w:noProof/>
          <w:lang w:eastAsia="en-GB"/>
        </w:rPr>
        <w:drawing>
          <wp:inline distT="0" distB="0" distL="0" distR="0" wp14:anchorId="6924A0FC" wp14:editId="6924A0FD">
            <wp:extent cx="4680966" cy="2799806"/>
            <wp:effectExtent l="0" t="0" r="5715" b="6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6924A0B6" w14:textId="77777777" w:rsidR="00A00DED" w:rsidRDefault="00291CEA" w:rsidP="00A00DED">
      <w:pPr>
        <w:pStyle w:val="BodyText"/>
      </w:pPr>
      <w:r>
        <w:rPr>
          <w:noProof/>
          <w:lang w:eastAsia="en-GB"/>
        </w:rPr>
        <w:drawing>
          <wp:inline distT="0" distB="0" distL="0" distR="0" wp14:anchorId="6924A0FE" wp14:editId="6924A0FF">
            <wp:extent cx="4684014" cy="2799806"/>
            <wp:effectExtent l="0" t="0" r="2540" b="63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924A0B7" w14:textId="77777777" w:rsidR="00A00DED" w:rsidRPr="00B67D98" w:rsidRDefault="00A00DED" w:rsidP="00291CEA">
      <w:pPr>
        <w:pStyle w:val="Source"/>
      </w:pPr>
      <w:r w:rsidRPr="00B67D98">
        <w:t xml:space="preserve">Source: Own </w:t>
      </w:r>
      <w:r>
        <w:t xml:space="preserve">computations using </w:t>
      </w:r>
      <w:proofErr w:type="spellStart"/>
      <w:r>
        <w:t>Eora26</w:t>
      </w:r>
      <w:proofErr w:type="spellEnd"/>
      <w:r>
        <w:t xml:space="preserve"> database</w:t>
      </w:r>
    </w:p>
    <w:p w14:paraId="6924A0B8" w14:textId="18925679" w:rsidR="004D009F" w:rsidRDefault="004D009F">
      <w:r>
        <w:br w:type="page"/>
      </w:r>
    </w:p>
    <w:p w14:paraId="2267CCA0" w14:textId="77777777" w:rsidR="004D009F" w:rsidRDefault="004D009F" w:rsidP="004D009F">
      <w:pPr>
        <w:pStyle w:val="Heading2"/>
      </w:pPr>
      <w:bookmarkStart w:id="115" w:name="_Toc419997417"/>
      <w:bookmarkStart w:id="116" w:name="_Toc428437736"/>
      <w:r>
        <w:t>Trade in services</w:t>
      </w:r>
      <w:bookmarkEnd w:id="115"/>
      <w:bookmarkEnd w:id="116"/>
    </w:p>
    <w:p w14:paraId="410C1861" w14:textId="6B52A7D1" w:rsidR="00A00DED" w:rsidRDefault="004D009F" w:rsidP="004D009F">
      <w:pPr>
        <w:pStyle w:val="FigureHeading"/>
      </w:pPr>
      <w:bookmarkStart w:id="117" w:name="_Toc428437737"/>
      <w:r>
        <w:t>Exports of goods and services, West Bank &amp; Gaza</w:t>
      </w:r>
      <w:bookmarkEnd w:id="117"/>
    </w:p>
    <w:p w14:paraId="4C581CB8" w14:textId="6A2B7687" w:rsidR="004D009F" w:rsidRDefault="004D009F" w:rsidP="004D009F">
      <w:pPr>
        <w:pStyle w:val="BodyText"/>
        <w:spacing w:before="39" w:after="0" w:line="240" w:lineRule="auto"/>
        <w:jc w:val="left"/>
      </w:pPr>
      <w:r>
        <w:rPr>
          <w:noProof/>
          <w:lang w:eastAsia="en-GB"/>
        </w:rPr>
        <w:drawing>
          <wp:inline distT="0" distB="0" distL="0" distR="0" wp14:anchorId="754F2228" wp14:editId="77DE42DA">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3C3C9EE1" w14:textId="77777777" w:rsidR="004D009F" w:rsidRDefault="004D009F" w:rsidP="004D009F">
      <w:pPr>
        <w:pStyle w:val="Source"/>
      </w:pPr>
      <w:r>
        <w:t>Source: Authors’ calculation using data from the World Bank’s World Development Indicators.</w:t>
      </w:r>
    </w:p>
    <w:p w14:paraId="0109A5D4" w14:textId="2367DB53" w:rsidR="004D009F" w:rsidRDefault="004D009F" w:rsidP="004D009F">
      <w:pPr>
        <w:pStyle w:val="FigureHeading"/>
      </w:pPr>
      <w:bookmarkStart w:id="118" w:name="_Toc428437738"/>
      <w:r>
        <w:t>Sectoral shares of services exports, West Bank &amp; Gaza</w:t>
      </w:r>
      <w:bookmarkEnd w:id="118"/>
    </w:p>
    <w:p w14:paraId="566CB4FB" w14:textId="0F869FC7" w:rsidR="004D009F" w:rsidRDefault="004D009F" w:rsidP="004D009F">
      <w:pPr>
        <w:pStyle w:val="BodyText"/>
        <w:spacing w:before="39" w:after="0" w:line="240" w:lineRule="auto"/>
        <w:jc w:val="left"/>
      </w:pPr>
      <w:r>
        <w:rPr>
          <w:noProof/>
          <w:lang w:eastAsia="en-GB"/>
        </w:rPr>
        <w:drawing>
          <wp:inline distT="0" distB="0" distL="0" distR="0" wp14:anchorId="23577DF0" wp14:editId="6E87329B">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65C6696E" w14:textId="77777777" w:rsidR="004D009F" w:rsidRDefault="004D009F" w:rsidP="004D009F">
      <w:pPr>
        <w:pStyle w:val="Source"/>
      </w:pPr>
      <w:r>
        <w:t>Source: Authors’ calculation using data from the World Bank’s World Development Indicators.</w:t>
      </w:r>
    </w:p>
    <w:p w14:paraId="056BB18A" w14:textId="77777777" w:rsidR="004D009F" w:rsidRPr="004D009F" w:rsidRDefault="004D009F" w:rsidP="004D009F">
      <w:pPr>
        <w:pStyle w:val="BodyText"/>
        <w:spacing w:before="39" w:after="0" w:line="240" w:lineRule="auto"/>
        <w:jc w:val="left"/>
      </w:pPr>
    </w:p>
    <w:p w14:paraId="6924A0B9" w14:textId="77777777" w:rsidR="004D6FA5" w:rsidRDefault="004D6FA5" w:rsidP="004D6FA5">
      <w:r>
        <w:br w:type="page"/>
      </w:r>
    </w:p>
    <w:p w14:paraId="6924A0BA" w14:textId="77777777" w:rsidR="004D6FA5" w:rsidRDefault="004D6FA5" w:rsidP="001006D4">
      <w:pPr>
        <w:pStyle w:val="Heading1"/>
      </w:pPr>
      <w:bookmarkStart w:id="119" w:name="_Toc408300390"/>
      <w:bookmarkStart w:id="120" w:name="_Toc408311615"/>
      <w:bookmarkStart w:id="121" w:name="_Toc428437739"/>
      <w:r>
        <w:t xml:space="preserve">Estimates of </w:t>
      </w:r>
      <w:r w:rsidRPr="009E6714">
        <w:t>total factor productivity</w:t>
      </w:r>
      <w:r>
        <w:t xml:space="preserve"> at firm level</w:t>
      </w:r>
      <w:bookmarkEnd w:id="119"/>
      <w:bookmarkEnd w:id="120"/>
      <w:bookmarkEnd w:id="121"/>
    </w:p>
    <w:p w14:paraId="6924A0BB" w14:textId="77777777" w:rsidR="004D6FA5" w:rsidRDefault="004D6FA5" w:rsidP="004D6FA5">
      <w:pPr>
        <w:pStyle w:val="FigureHeading"/>
      </w:pPr>
      <w:bookmarkStart w:id="122" w:name="_Toc408300245"/>
      <w:bookmarkStart w:id="123" w:name="_Toc408300391"/>
      <w:bookmarkStart w:id="124" w:name="_Toc408311616"/>
      <w:bookmarkStart w:id="125" w:name="_Toc428437740"/>
      <w:r w:rsidRPr="00087CCE">
        <w:t>Dispersion in productivity across firms by sector</w:t>
      </w:r>
      <w:r>
        <w:t xml:space="preserve"> – </w:t>
      </w:r>
      <w:bookmarkEnd w:id="122"/>
      <w:bookmarkEnd w:id="123"/>
      <w:bookmarkEnd w:id="124"/>
      <w:r>
        <w:t>West Bank &amp; Gaza</w:t>
      </w:r>
      <w:bookmarkEnd w:id="125"/>
    </w:p>
    <w:p w14:paraId="6924A0BC" w14:textId="77777777" w:rsidR="004D6FA5" w:rsidRDefault="004D6FA5" w:rsidP="004D6FA5">
      <w:pPr>
        <w:rPr>
          <w:b/>
        </w:rPr>
      </w:pPr>
      <w:r>
        <w:rPr>
          <w:noProof/>
          <w:lang w:eastAsia="en-GB"/>
        </w:rPr>
        <w:drawing>
          <wp:inline distT="0" distB="0" distL="0" distR="0" wp14:anchorId="6924A100" wp14:editId="6924A101">
            <wp:extent cx="5001768" cy="36667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001768" cy="3666744"/>
                    </a:xfrm>
                    <a:prstGeom prst="rect">
                      <a:avLst/>
                    </a:prstGeom>
                    <a:noFill/>
                    <a:ln>
                      <a:noFill/>
                    </a:ln>
                  </pic:spPr>
                </pic:pic>
              </a:graphicData>
            </a:graphic>
          </wp:inline>
        </w:drawing>
      </w:r>
    </w:p>
    <w:p w14:paraId="6924A0BD" w14:textId="77777777" w:rsidR="004D6FA5" w:rsidRDefault="004D6FA5" w:rsidP="004D6FA5">
      <w:pPr>
        <w:pStyle w:val="Source"/>
      </w:pPr>
      <w:r>
        <w:t>Source: Authors’ calculations using data from World Bank Enterprise Surveys (</w:t>
      </w:r>
      <w:hyperlink r:id="rId94" w:history="1">
        <w:r>
          <w:rPr>
            <w:rStyle w:val="Hyperlink"/>
          </w:rPr>
          <w:t>http://www.enterprisesurveys.org/</w:t>
        </w:r>
      </w:hyperlink>
      <w:r>
        <w:t>).</w:t>
      </w:r>
    </w:p>
    <w:p w14:paraId="6924A0BE" w14:textId="77777777" w:rsidR="001006D4" w:rsidRDefault="001006D4">
      <w:pPr>
        <w:rPr>
          <w:rFonts w:ascii="Arial" w:hAnsi="Arial"/>
          <w:b/>
          <w:color w:val="006C67" w:themeColor="accent1"/>
          <w:sz w:val="24"/>
        </w:rPr>
      </w:pPr>
      <w:bookmarkStart w:id="126" w:name="_Toc408300246"/>
      <w:bookmarkStart w:id="127" w:name="_Toc408300392"/>
      <w:bookmarkStart w:id="128" w:name="_Toc408311617"/>
      <w:r>
        <w:br w:type="page"/>
      </w:r>
    </w:p>
    <w:p w14:paraId="6924A0BF" w14:textId="77777777" w:rsidR="004D6FA5" w:rsidRPr="00490E45" w:rsidRDefault="004D6FA5" w:rsidP="004D6FA5">
      <w:pPr>
        <w:pStyle w:val="FigureHeading"/>
      </w:pPr>
      <w:bookmarkStart w:id="129" w:name="_Toc428437741"/>
      <w:r>
        <w:t xml:space="preserve">Distribution </w:t>
      </w:r>
      <w:r w:rsidRPr="00087CCE">
        <w:t xml:space="preserve">in productivity </w:t>
      </w:r>
      <w:r>
        <w:t>in West Bank &amp; Gaza – comparing kernel and normal distributions</w:t>
      </w:r>
      <w:bookmarkEnd w:id="126"/>
      <w:bookmarkEnd w:id="127"/>
      <w:bookmarkEnd w:id="128"/>
      <w:bookmarkEnd w:id="129"/>
    </w:p>
    <w:p w14:paraId="6924A0C0" w14:textId="77777777" w:rsidR="004D6FA5" w:rsidRDefault="004D6FA5" w:rsidP="004D6FA5">
      <w:pPr>
        <w:pStyle w:val="BodyText"/>
        <w:spacing w:before="39" w:after="0" w:line="240" w:lineRule="auto"/>
        <w:jc w:val="left"/>
      </w:pPr>
      <w:r>
        <w:rPr>
          <w:noProof/>
          <w:lang w:eastAsia="en-GB"/>
        </w:rPr>
        <w:drawing>
          <wp:inline distT="0" distB="0" distL="0" distR="0" wp14:anchorId="6924A102" wp14:editId="6924A103">
            <wp:extent cx="5010912" cy="366674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010912" cy="3666744"/>
                    </a:xfrm>
                    <a:prstGeom prst="rect">
                      <a:avLst/>
                    </a:prstGeom>
                    <a:noFill/>
                    <a:ln>
                      <a:noFill/>
                    </a:ln>
                  </pic:spPr>
                </pic:pic>
              </a:graphicData>
            </a:graphic>
          </wp:inline>
        </w:drawing>
      </w:r>
    </w:p>
    <w:p w14:paraId="6924A0C1" w14:textId="77777777" w:rsidR="004D6FA5" w:rsidRDefault="004D6FA5" w:rsidP="004D6FA5">
      <w:pPr>
        <w:pStyle w:val="Source"/>
      </w:pPr>
      <w:r>
        <w:t>Source: Authors’ calculations using data from World Bank Enterprise Surveys (</w:t>
      </w:r>
      <w:hyperlink r:id="rId96" w:history="1">
        <w:r>
          <w:rPr>
            <w:rStyle w:val="Hyperlink"/>
          </w:rPr>
          <w:t>http://www.enterprisesurveys.org/</w:t>
        </w:r>
      </w:hyperlink>
      <w:r>
        <w:t>).</w:t>
      </w:r>
    </w:p>
    <w:sectPr w:rsidR="004D6FA5" w:rsidSect="001228CD">
      <w:pgSz w:w="11907" w:h="16839" w:code="9"/>
      <w:pgMar w:top="1469" w:right="2102" w:bottom="1368" w:left="965"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4A108" w14:textId="77777777" w:rsidR="00C01548" w:rsidRDefault="00C01548" w:rsidP="00664562">
      <w:r>
        <w:separator/>
      </w:r>
    </w:p>
  </w:endnote>
  <w:endnote w:type="continuationSeparator" w:id="0">
    <w:p w14:paraId="6924A109" w14:textId="77777777" w:rsidR="00C01548" w:rsidRDefault="00C01548" w:rsidP="0066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A10B" w14:textId="77777777" w:rsidR="00A00DED" w:rsidRDefault="00A00DED">
    <w:pPr>
      <w:pStyle w:val="Footer"/>
    </w:pPr>
    <w:r>
      <w:fldChar w:fldCharType="begin"/>
    </w:r>
    <w:r>
      <w:instrText xml:space="preserve"> page </w:instrText>
    </w:r>
    <w:r>
      <w:fldChar w:fldCharType="separate"/>
    </w:r>
    <w:r w:rsidR="000B49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pPr w:vertAnchor="page" w:horzAnchor="margin" w:tblpY="15594"/>
      <w:tblOverlap w:val="never"/>
      <w:tblW w:w="10206" w:type="dxa"/>
      <w:tblBorders>
        <w:top w:val="single" w:sz="4" w:space="0" w:color="auto"/>
        <w:bottom w:val="single" w:sz="4" w:space="0" w:color="auto"/>
      </w:tblBorders>
      <w:tblLook w:val="04A0" w:firstRow="1" w:lastRow="0" w:firstColumn="1" w:lastColumn="0" w:noHBand="0" w:noVBand="1"/>
    </w:tblPr>
    <w:tblGrid>
      <w:gridCol w:w="3800"/>
      <w:gridCol w:w="6406"/>
    </w:tblGrid>
    <w:tr w:rsidR="00A00DED" w14:paraId="6924A11D" w14:textId="77777777" w:rsidTr="00401C72">
      <w:tc>
        <w:tcPr>
          <w:tcW w:w="3800" w:type="dxa"/>
        </w:tcPr>
        <w:p w14:paraId="6924A11B" w14:textId="77777777" w:rsidR="00A00DED" w:rsidRDefault="00A00DED" w:rsidP="00401C72">
          <w:pPr>
            <w:pStyle w:val="Strapline"/>
          </w:pPr>
          <w:r>
            <w:t>Shaping policy for development</w:t>
          </w:r>
        </w:p>
      </w:tc>
      <w:tc>
        <w:tcPr>
          <w:tcW w:w="6406" w:type="dxa"/>
        </w:tcPr>
        <w:p w14:paraId="6924A11C" w14:textId="77777777" w:rsidR="00A00DED" w:rsidRPr="00346BDD" w:rsidRDefault="00A00DED" w:rsidP="00401C72">
          <w:pPr>
            <w:pStyle w:val="Strapline"/>
            <w:jc w:val="right"/>
            <w:rPr>
              <w:b/>
            </w:rPr>
          </w:pPr>
          <w:r w:rsidRPr="00346BDD">
            <w:rPr>
              <w:b/>
            </w:rPr>
            <w:t>odi.org</w:t>
          </w:r>
        </w:p>
      </w:tc>
    </w:tr>
  </w:tbl>
  <w:p w14:paraId="6924A11E" w14:textId="77777777" w:rsidR="00A00DED" w:rsidRDefault="00A00DED">
    <w:pPr>
      <w:pStyle w:val="Footer"/>
    </w:pPr>
  </w:p>
  <w:p w14:paraId="6924A11F" w14:textId="77777777" w:rsidR="00A00DED" w:rsidRDefault="00A00DED">
    <w:pPr>
      <w:pStyle w:val="Footer"/>
    </w:pPr>
  </w:p>
  <w:p w14:paraId="6924A120" w14:textId="77777777" w:rsidR="00A00DED" w:rsidRDefault="00A00DED">
    <w:pPr>
      <w:pStyle w:val="Footer"/>
    </w:pPr>
  </w:p>
  <w:p w14:paraId="6924A121" w14:textId="77777777" w:rsidR="00A00DED" w:rsidRDefault="00A00DED">
    <w:pPr>
      <w:pStyle w:val="Footer"/>
    </w:pPr>
  </w:p>
  <w:p w14:paraId="6924A122" w14:textId="77777777" w:rsidR="00A00DED" w:rsidRDefault="00A00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rPr>
      <w:id w:val="-75137070"/>
      <w:docPartObj>
        <w:docPartGallery w:val="Page Numbers (Bottom of Page)"/>
        <w:docPartUnique/>
      </w:docPartObj>
    </w:sdtPr>
    <w:sdtEndPr>
      <w:rPr>
        <w:rFonts w:asciiTheme="majorHAnsi" w:eastAsiaTheme="majorEastAsia" w:hAnsiTheme="majorHAnsi" w:cstheme="majorHAnsi"/>
        <w:noProof/>
        <w:sz w:val="18"/>
        <w:szCs w:val="18"/>
      </w:rPr>
    </w:sdtEndPr>
    <w:sdtContent>
      <w:p w14:paraId="6924A124" w14:textId="77777777" w:rsidR="00A00DED" w:rsidRPr="001228CD" w:rsidRDefault="00A00DED" w:rsidP="001228CD">
        <w:pPr>
          <w:pStyle w:val="Footer"/>
          <w:ind w:right="0"/>
          <w:jc w:val="center"/>
          <w:rPr>
            <w:rFonts w:asciiTheme="majorHAnsi" w:eastAsiaTheme="majorEastAsia" w:hAnsiTheme="majorHAnsi" w:cstheme="majorHAnsi"/>
            <w:sz w:val="18"/>
            <w:szCs w:val="18"/>
          </w:rPr>
        </w:pPr>
        <w:r w:rsidRPr="001228CD">
          <w:rPr>
            <w:rFonts w:asciiTheme="majorHAnsi" w:eastAsiaTheme="minorEastAsia" w:hAnsiTheme="majorHAnsi" w:cstheme="majorHAnsi"/>
            <w:sz w:val="18"/>
            <w:szCs w:val="18"/>
          </w:rPr>
          <w:fldChar w:fldCharType="begin"/>
        </w:r>
        <w:r w:rsidRPr="001228CD">
          <w:rPr>
            <w:rFonts w:asciiTheme="majorHAnsi" w:hAnsiTheme="majorHAnsi" w:cstheme="majorHAnsi"/>
            <w:sz w:val="18"/>
            <w:szCs w:val="18"/>
          </w:rPr>
          <w:instrText xml:space="preserve"> PAGE   \* MERGEFORMAT </w:instrText>
        </w:r>
        <w:r w:rsidRPr="001228CD">
          <w:rPr>
            <w:rFonts w:asciiTheme="majorHAnsi" w:eastAsiaTheme="minorEastAsia" w:hAnsiTheme="majorHAnsi" w:cstheme="majorHAnsi"/>
            <w:sz w:val="18"/>
            <w:szCs w:val="18"/>
          </w:rPr>
          <w:fldChar w:fldCharType="separate"/>
        </w:r>
        <w:r w:rsidR="000B49EB" w:rsidRPr="000B49EB">
          <w:rPr>
            <w:rFonts w:asciiTheme="majorHAnsi" w:eastAsiaTheme="majorEastAsia" w:hAnsiTheme="majorHAnsi" w:cstheme="majorHAnsi"/>
            <w:noProof/>
            <w:sz w:val="18"/>
            <w:szCs w:val="18"/>
          </w:rPr>
          <w:t>3</w:t>
        </w:r>
        <w:r w:rsidRPr="001228CD">
          <w:rPr>
            <w:rFonts w:asciiTheme="majorHAnsi" w:eastAsiaTheme="majorEastAsia" w:hAnsiTheme="majorHAnsi" w:cstheme="majorHAnsi"/>
            <w:noProof/>
            <w:sz w:val="18"/>
            <w:szCs w:val="18"/>
          </w:rPr>
          <w:fldChar w:fldCharType="end"/>
        </w:r>
      </w:p>
    </w:sdtContent>
  </w:sdt>
  <w:p w14:paraId="6924A125" w14:textId="77777777" w:rsidR="00A00DED" w:rsidRDefault="00A0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Style w:val="Blank"/>
        <w:tblW w:w="10773" w:type="dxa"/>
        <w:tblBorders>
          <w:top w:val="single" w:sz="4" w:space="0" w:color="auto"/>
        </w:tblBorders>
        <w:tblLook w:val="04A0" w:firstRow="1" w:lastRow="0" w:firstColumn="1" w:lastColumn="0" w:noHBand="0" w:noVBand="1"/>
      </w:tblPr>
      <w:tblGrid>
        <w:gridCol w:w="10773"/>
      </w:tblGrid>
      <w:tr w:rsidR="00C01548" w14:paraId="6924A105" w14:textId="77777777" w:rsidTr="00F676A1">
        <w:trPr>
          <w:trHeight w:hRule="exact" w:val="227"/>
        </w:trPr>
        <w:tc>
          <w:tcPr>
            <w:tcW w:w="9855" w:type="dxa"/>
          </w:tcPr>
          <w:p w14:paraId="6924A104" w14:textId="77777777" w:rsidR="00C01548" w:rsidRDefault="00C01548" w:rsidP="0073462B">
            <w:pPr>
              <w:pStyle w:val="Footer"/>
            </w:pPr>
          </w:p>
        </w:tc>
      </w:tr>
    </w:tbl>
    <w:p w14:paraId="6924A106" w14:textId="77777777" w:rsidR="00C01548" w:rsidRPr="0073462B" w:rsidRDefault="00C01548" w:rsidP="0073462B">
      <w:pPr>
        <w:pStyle w:val="Footer"/>
        <w:rPr>
          <w:sz w:val="2"/>
          <w:szCs w:val="2"/>
        </w:rPr>
      </w:pPr>
    </w:p>
  </w:footnote>
  <w:footnote w:type="continuationSeparator" w:id="0">
    <w:p w14:paraId="6924A107" w14:textId="77777777" w:rsidR="00C01548" w:rsidRDefault="00C01548" w:rsidP="0066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A10A" w14:textId="77777777" w:rsidR="00A00DED" w:rsidRDefault="00A00DED">
    <w:pPr>
      <w:pStyle w:val="Header"/>
    </w:pPr>
    <w:r>
      <w:rPr>
        <w:noProof/>
        <w:lang w:eastAsia="en-GB"/>
      </w:rPr>
      <mc:AlternateContent>
        <mc:Choice Requires="wps">
          <w:drawing>
            <wp:anchor distT="0" distB="0" distL="114300" distR="114300" simplePos="0" relativeHeight="251659264" behindDoc="1" locked="0" layoutInCell="1" allowOverlap="1" wp14:anchorId="6924A126" wp14:editId="6924A127">
              <wp:simplePos x="0" y="0"/>
              <wp:positionH relativeFrom="margin">
                <wp:align>left</wp:align>
              </wp:positionH>
              <wp:positionV relativeFrom="page">
                <wp:posOffset>612140</wp:posOffset>
              </wp:positionV>
              <wp:extent cx="6407785" cy="0"/>
              <wp:effectExtent l="9525" t="12065" r="12065"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0;margin-top:48.2pt;width:504.55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w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" strokeweight=".5pt">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87EA" w14:textId="6B77CBEE" w:rsidR="004D009F" w:rsidRDefault="004D009F" w:rsidP="004D009F">
    <w:pPr>
      <w:pStyle w:val="Header"/>
      <w:tabs>
        <w:tab w:val="clear" w:pos="4680"/>
        <w:tab w:val="right" w:pos="8820"/>
        <w:tab w:val="left" w:pos="9540"/>
      </w:tabs>
      <w:jc w:val="left"/>
    </w:pPr>
    <w:r>
      <w:rPr>
        <w:sz w:val="20"/>
        <w:szCs w:val="20"/>
      </w:rPr>
      <w:tab/>
      <w:t xml:space="preserve">Last updated: </w:t>
    </w:r>
    <w:r w:rsidR="00246C81">
      <w:rPr>
        <w:sz w:val="20"/>
        <w:szCs w:val="20"/>
      </w:rPr>
      <w:t>27 August 2015</w:t>
    </w:r>
  </w:p>
  <w:p w14:paraId="6924A10C" w14:textId="33B98CEB" w:rsidR="00A00DED" w:rsidRPr="00F216AF" w:rsidRDefault="00A00DED" w:rsidP="00401C72">
    <w:pPr>
      <w:pStyle w:val="Header"/>
      <w:rPr>
        <w:sz w:val="20"/>
        <w:szCs w:val="20"/>
      </w:rPr>
    </w:pPr>
  </w:p>
  <w:p w14:paraId="6924A10D" w14:textId="77777777" w:rsidR="00A00DED" w:rsidRDefault="00A00DED" w:rsidP="00401C72">
    <w:pPr>
      <w:pStyle w:val="Header"/>
    </w:pPr>
  </w:p>
  <w:p w14:paraId="6924A10E" w14:textId="77777777" w:rsidR="00A00DED" w:rsidRDefault="00A00DED" w:rsidP="00401C72">
    <w:pPr>
      <w:pStyle w:val="Header"/>
    </w:pPr>
  </w:p>
  <w:p w14:paraId="6924A10F" w14:textId="77777777" w:rsidR="00A00DED" w:rsidRDefault="00A00DED" w:rsidP="00401C72">
    <w:pPr>
      <w:pStyle w:val="Header"/>
    </w:pPr>
  </w:p>
  <w:p w14:paraId="6924A110" w14:textId="77777777" w:rsidR="00A00DED" w:rsidRDefault="00A00DED" w:rsidP="00401C72">
    <w:pPr>
      <w:pStyle w:val="Header"/>
    </w:pPr>
  </w:p>
  <w:p w14:paraId="6924A111" w14:textId="77777777" w:rsidR="00A00DED" w:rsidRDefault="00A00DED" w:rsidP="00401C72">
    <w:pPr>
      <w:pStyle w:val="Header"/>
    </w:pPr>
  </w:p>
  <w:p w14:paraId="6924A112" w14:textId="77777777" w:rsidR="00A00DED" w:rsidRDefault="00A00DED" w:rsidP="00401C72">
    <w:pPr>
      <w:pStyle w:val="Header"/>
    </w:pPr>
  </w:p>
  <w:p w14:paraId="6924A113" w14:textId="77777777" w:rsidR="00A00DED" w:rsidRDefault="00A00DED" w:rsidP="00401C72">
    <w:pPr>
      <w:pStyle w:val="Header"/>
    </w:pPr>
  </w:p>
  <w:p w14:paraId="6924A114" w14:textId="77777777" w:rsidR="00A00DED" w:rsidRDefault="00A00DED" w:rsidP="00401C72">
    <w:pPr>
      <w:pStyle w:val="Header"/>
    </w:pPr>
  </w:p>
  <w:p w14:paraId="6924A115" w14:textId="77777777" w:rsidR="00A00DED" w:rsidRDefault="00A00DED" w:rsidP="00401C72">
    <w:pPr>
      <w:pStyle w:val="Header"/>
    </w:pPr>
  </w:p>
  <w:p w14:paraId="6924A116" w14:textId="77777777" w:rsidR="00A00DED" w:rsidRDefault="00A00DED" w:rsidP="00401C72">
    <w:pPr>
      <w:pStyle w:val="Header"/>
    </w:pPr>
  </w:p>
  <w:p w14:paraId="6924A117" w14:textId="77777777" w:rsidR="00A00DED" w:rsidRDefault="00A00DED" w:rsidP="00401C72">
    <w:pPr>
      <w:pStyle w:val="Header"/>
    </w:pPr>
  </w:p>
  <w:p w14:paraId="6924A118" w14:textId="77777777" w:rsidR="00A00DED" w:rsidRDefault="00A00DED" w:rsidP="00401C72">
    <w:pPr>
      <w:pStyle w:val="Header"/>
    </w:pPr>
  </w:p>
  <w:p w14:paraId="6924A119" w14:textId="77777777" w:rsidR="00A00DED" w:rsidRDefault="00A00DED" w:rsidP="00401C72">
    <w:pPr>
      <w:pStyle w:val="Header"/>
    </w:pPr>
  </w:p>
  <w:p w14:paraId="6924A11A" w14:textId="77777777" w:rsidR="00A00DED" w:rsidRDefault="00A00DED" w:rsidP="00401C72">
    <w:pPr>
      <w:pStyle w:val="Header"/>
    </w:pPr>
    <w:r>
      <w:rPr>
        <w:noProof/>
        <w:lang w:eastAsia="en-GB"/>
      </w:rPr>
      <w:drawing>
        <wp:anchor distT="0" distB="0" distL="114300" distR="114300" simplePos="0" relativeHeight="251664384" behindDoc="1" locked="0" layoutInCell="1" allowOverlap="1" wp14:anchorId="6924A128" wp14:editId="6924A129">
          <wp:simplePos x="0" y="0"/>
          <wp:positionH relativeFrom="margin">
            <wp:align>left</wp:align>
          </wp:positionH>
          <wp:positionV relativeFrom="page">
            <wp:posOffset>935990</wp:posOffset>
          </wp:positionV>
          <wp:extent cx="1437480" cy="6116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ontpage.jpg"/>
                  <pic:cNvPicPr/>
                </pic:nvPicPr>
                <pic:blipFill>
                  <a:blip r:embed="rId1">
                    <a:extLst>
                      <a:ext uri="{28A0092B-C50C-407E-A947-70E740481C1C}">
                        <a14:useLocalDpi xmlns:a14="http://schemas.microsoft.com/office/drawing/2010/main" val="0"/>
                      </a:ext>
                    </a:extLst>
                  </a:blip>
                  <a:stretch>
                    <a:fillRect/>
                  </a:stretch>
                </pic:blipFill>
                <pic:spPr>
                  <a:xfrm>
                    <a:off x="0" y="0"/>
                    <a:ext cx="1437480" cy="61164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6924A12A" wp14:editId="6924A12B">
              <wp:simplePos x="0" y="0"/>
              <wp:positionH relativeFrom="margin">
                <wp:align>left</wp:align>
              </wp:positionH>
              <wp:positionV relativeFrom="page">
                <wp:posOffset>612140</wp:posOffset>
              </wp:positionV>
              <wp:extent cx="6407785" cy="0"/>
              <wp:effectExtent l="9525" t="12065" r="1206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48.2pt;width:504.55pt;height:0;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ALHwIAADw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" strokeweight=".5pt">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A123" w14:textId="77777777" w:rsidR="00A00DED" w:rsidRDefault="00A00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95F"/>
    <w:multiLevelType w:val="multilevel"/>
    <w:tmpl w:val="D63071A6"/>
    <w:styleLink w:val="ODINumberedList"/>
    <w:lvl w:ilvl="0">
      <w:start w:val="1"/>
      <w:numFmt w:val="decimal"/>
      <w:pStyle w:val="ListNumber"/>
      <w:lvlText w:val="%1."/>
      <w:lvlJc w:val="left"/>
      <w:pPr>
        <w:tabs>
          <w:tab w:val="num" w:pos="567"/>
        </w:tabs>
        <w:ind w:left="567" w:hanging="283"/>
      </w:pPr>
      <w:rPr>
        <w:rFonts w:ascii="Times New Roman" w:hAnsi="Times New Roman" w:hint="default"/>
        <w:b w:val="0"/>
        <w:i w:val="0"/>
        <w:color w:val="006C67" w:themeColor="accent1"/>
        <w:sz w:val="19"/>
      </w:rPr>
    </w:lvl>
    <w:lvl w:ilvl="1">
      <w:start w:val="1"/>
      <w:numFmt w:val="lowerLetter"/>
      <w:pStyle w:val="ListNumber2"/>
      <w:lvlText w:val="%2"/>
      <w:lvlJc w:val="left"/>
      <w:pPr>
        <w:tabs>
          <w:tab w:val="num" w:pos="851"/>
        </w:tabs>
        <w:ind w:left="851" w:hanging="284"/>
      </w:pPr>
      <w:rPr>
        <w:rFonts w:ascii="Times New Roman" w:hAnsi="Times New Roman" w:hint="default"/>
        <w:b w:val="0"/>
        <w:i w:val="0"/>
        <w:color w:val="006C67" w:themeColor="accent1"/>
        <w:sz w:val="19"/>
      </w:rPr>
    </w:lvl>
    <w:lvl w:ilvl="2">
      <w:start w:val="1"/>
      <w:numFmt w:val="lowerRoman"/>
      <w:pStyle w:val="ListNumber3"/>
      <w:lvlText w:val="%3"/>
      <w:lvlJc w:val="left"/>
      <w:pPr>
        <w:tabs>
          <w:tab w:val="num" w:pos="1134"/>
        </w:tabs>
        <w:ind w:left="1134" w:hanging="283"/>
      </w:pPr>
      <w:rPr>
        <w:rFonts w:ascii="Times New Roman" w:hAnsi="Times New Roman" w:hint="default"/>
        <w:b w:val="0"/>
        <w:i w:val="0"/>
        <w:color w:val="006C67"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3FF42B6"/>
    <w:multiLevelType w:val="multilevel"/>
    <w:tmpl w:val="E24659FC"/>
    <w:styleLink w:val="ODITableHeadings"/>
    <w:lvl w:ilvl="0">
      <w:start w:val="1"/>
      <w:numFmt w:val="decimal"/>
      <w:suff w:val="space"/>
      <w:lvlText w:val="Table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3650996"/>
    <w:multiLevelType w:val="multilevel"/>
    <w:tmpl w:val="265C03F6"/>
    <w:styleLink w:val="ODICoverBullets"/>
    <w:lvl w:ilvl="0">
      <w:start w:val="1"/>
      <w:numFmt w:val="bullet"/>
      <w:lvlText w:val=""/>
      <w:lvlJc w:val="left"/>
      <w:pPr>
        <w:tabs>
          <w:tab w:val="num" w:pos="312"/>
        </w:tabs>
        <w:ind w:left="312" w:hanging="312"/>
      </w:pPr>
      <w:rPr>
        <w:rFonts w:ascii="Symbol" w:hAnsi="Symbol" w:hint="default"/>
        <w:color w:val="006C6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2644C7"/>
    <w:multiLevelType w:val="multilevel"/>
    <w:tmpl w:val="D108DE00"/>
    <w:lvl w:ilvl="0">
      <w:start w:val="1"/>
      <w:numFmt w:val="decimal"/>
      <w:pStyle w:val="FigureHeading"/>
      <w:suff w:val="space"/>
      <w:lvlText w:val="Figure %1."/>
      <w:lvlJc w:val="left"/>
      <w:pPr>
        <w:ind w:left="0" w:firstLine="0"/>
      </w:pPr>
      <w:rPr>
        <w:rFonts w:ascii="Arial" w:hAnsi="Arial" w:hint="default"/>
        <w:b/>
        <w:i w:val="0"/>
        <w:color w:val="006C67" w:themeColor="accent1"/>
        <w:sz w:val="24"/>
      </w:rPr>
    </w:lvl>
    <w:lvl w:ilvl="1">
      <w:start w:val="1"/>
      <w:numFmt w:val="lowerLetter"/>
      <w:lvlText w:val="%2)"/>
      <w:lvlJc w:val="left"/>
      <w:pPr>
        <w:ind w:left="4690" w:hanging="360"/>
      </w:pPr>
      <w:rPr>
        <w:rFonts w:hint="default"/>
      </w:rPr>
    </w:lvl>
    <w:lvl w:ilvl="2">
      <w:start w:val="1"/>
      <w:numFmt w:val="lowerRoman"/>
      <w:lvlText w:val="%3)"/>
      <w:lvlJc w:val="left"/>
      <w:pPr>
        <w:ind w:left="5050" w:hanging="360"/>
      </w:pPr>
      <w:rPr>
        <w:rFonts w:hint="default"/>
      </w:rPr>
    </w:lvl>
    <w:lvl w:ilvl="3">
      <w:start w:val="1"/>
      <w:numFmt w:val="decimal"/>
      <w:lvlText w:val="(%4)"/>
      <w:lvlJc w:val="left"/>
      <w:pPr>
        <w:ind w:left="5410" w:hanging="360"/>
      </w:pPr>
      <w:rPr>
        <w:rFonts w:hint="default"/>
      </w:rPr>
    </w:lvl>
    <w:lvl w:ilvl="4">
      <w:start w:val="1"/>
      <w:numFmt w:val="lowerLetter"/>
      <w:lvlText w:val="(%5)"/>
      <w:lvlJc w:val="left"/>
      <w:pPr>
        <w:ind w:left="5770" w:hanging="360"/>
      </w:pPr>
      <w:rPr>
        <w:rFonts w:hint="default"/>
      </w:rPr>
    </w:lvl>
    <w:lvl w:ilvl="5">
      <w:start w:val="1"/>
      <w:numFmt w:val="lowerRoman"/>
      <w:lvlText w:val="(%6)"/>
      <w:lvlJc w:val="left"/>
      <w:pPr>
        <w:ind w:left="6130" w:hanging="360"/>
      </w:pPr>
      <w:rPr>
        <w:rFonts w:hint="default"/>
      </w:rPr>
    </w:lvl>
    <w:lvl w:ilvl="6">
      <w:start w:val="1"/>
      <w:numFmt w:val="decimal"/>
      <w:lvlText w:val="%7."/>
      <w:lvlJc w:val="left"/>
      <w:pPr>
        <w:ind w:left="6490" w:hanging="360"/>
      </w:pPr>
      <w:rPr>
        <w:rFonts w:hint="default"/>
      </w:rPr>
    </w:lvl>
    <w:lvl w:ilvl="7">
      <w:start w:val="1"/>
      <w:numFmt w:val="lowerLetter"/>
      <w:lvlText w:val="%8."/>
      <w:lvlJc w:val="left"/>
      <w:pPr>
        <w:ind w:left="6850" w:hanging="360"/>
      </w:pPr>
      <w:rPr>
        <w:rFonts w:hint="default"/>
      </w:rPr>
    </w:lvl>
    <w:lvl w:ilvl="8">
      <w:start w:val="1"/>
      <w:numFmt w:val="lowerRoman"/>
      <w:lvlText w:val="%9."/>
      <w:lvlJc w:val="left"/>
      <w:pPr>
        <w:ind w:left="7210" w:hanging="360"/>
      </w:pPr>
      <w:rPr>
        <w:rFonts w:hint="default"/>
      </w:rPr>
    </w:lvl>
  </w:abstractNum>
  <w:abstractNum w:abstractNumId="4">
    <w:nsid w:val="354B31C1"/>
    <w:multiLevelType w:val="multilevel"/>
    <w:tmpl w:val="F992D968"/>
    <w:styleLink w:val="ODIBullets"/>
    <w:lvl w:ilvl="0">
      <w:start w:val="1"/>
      <w:numFmt w:val="bullet"/>
      <w:pStyle w:val="ListBullet"/>
      <w:lvlText w:val=""/>
      <w:lvlJc w:val="left"/>
      <w:pPr>
        <w:tabs>
          <w:tab w:val="num" w:pos="567"/>
        </w:tabs>
        <w:ind w:left="567" w:hanging="283"/>
      </w:pPr>
      <w:rPr>
        <w:rFonts w:ascii="Symbol" w:hAnsi="Symbol" w:hint="default"/>
        <w:b w:val="0"/>
        <w:i w:val="0"/>
        <w:color w:val="006C67" w:themeColor="accent1"/>
        <w:sz w:val="24"/>
      </w:rPr>
    </w:lvl>
    <w:lvl w:ilvl="1">
      <w:start w:val="1"/>
      <w:numFmt w:val="bullet"/>
      <w:pStyle w:val="ListBullet2"/>
      <w:lvlText w:val=""/>
      <w:lvlJc w:val="left"/>
      <w:pPr>
        <w:tabs>
          <w:tab w:val="num" w:pos="851"/>
        </w:tabs>
        <w:ind w:left="851" w:hanging="284"/>
      </w:pPr>
      <w:rPr>
        <w:rFonts w:ascii="Symbol" w:hAnsi="Symbol" w:hint="default"/>
        <w:color w:val="006C67"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476E099C"/>
    <w:multiLevelType w:val="multilevel"/>
    <w:tmpl w:val="ED1016CC"/>
    <w:styleLink w:val="ODIBoxBullet"/>
    <w:lvl w:ilvl="0">
      <w:start w:val="1"/>
      <w:numFmt w:val="bullet"/>
      <w:pStyle w:val="BoxBullet"/>
      <w:lvlText w:val=""/>
      <w:lvlJc w:val="left"/>
      <w:pPr>
        <w:tabs>
          <w:tab w:val="num" w:pos="567"/>
        </w:tabs>
        <w:ind w:left="567" w:hanging="283"/>
      </w:pPr>
      <w:rPr>
        <w:rFonts w:ascii="Symbol" w:hAnsi="Symbol" w:hint="default"/>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9A6FAC"/>
    <w:multiLevelType w:val="multilevel"/>
    <w:tmpl w:val="0B225678"/>
    <w:lvl w:ilvl="0">
      <w:start w:val="1"/>
      <w:numFmt w:val="decimal"/>
      <w:pStyle w:val="TableHeading"/>
      <w:suff w:val="space"/>
      <w:lvlText w:val="Table %1."/>
      <w:lvlJc w:val="left"/>
      <w:pPr>
        <w:ind w:left="360" w:hanging="360"/>
      </w:pPr>
      <w:rPr>
        <w:rFonts w:ascii="Arial" w:hAnsi="Arial"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87F2D57"/>
    <w:multiLevelType w:val="multilevel"/>
    <w:tmpl w:val="D44C0DD8"/>
    <w:styleLink w:val="ODILastBullet"/>
    <w:lvl w:ilvl="0">
      <w:start w:val="1"/>
      <w:numFmt w:val="bullet"/>
      <w:pStyle w:val="LastBullet"/>
      <w:lvlText w:val=""/>
      <w:lvlJc w:val="left"/>
      <w:pPr>
        <w:tabs>
          <w:tab w:val="num" w:pos="567"/>
        </w:tabs>
        <w:ind w:left="567" w:hanging="283"/>
      </w:pPr>
      <w:rPr>
        <w:rFonts w:ascii="Symbol" w:hAnsi="Symbol" w:hint="default"/>
        <w:b w:val="0"/>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33F0260"/>
    <w:multiLevelType w:val="multilevel"/>
    <w:tmpl w:val="8B162D7A"/>
    <w:styleLink w:val="ODIHeadings"/>
    <w:lvl w:ilvl="0">
      <w:start w:val="1"/>
      <w:numFmt w:val="decimal"/>
      <w:suff w:val="space"/>
      <w:lvlText w:val="%1"/>
      <w:lvlJc w:val="left"/>
      <w:pPr>
        <w:ind w:left="0" w:firstLine="0"/>
      </w:pPr>
      <w:rPr>
        <w:rFonts w:asciiTheme="majorHAnsi" w:hAnsiTheme="majorHAnsi" w:hint="default"/>
        <w:b/>
        <w:i w:val="0"/>
        <w:color w:val="006C67" w:themeColor="accent1"/>
        <w:position w:val="0"/>
        <w:sz w:val="60"/>
      </w:rPr>
    </w:lvl>
    <w:lvl w:ilvl="1">
      <w:start w:val="1"/>
      <w:numFmt w:val="decimal"/>
      <w:suff w:val="space"/>
      <w:lvlText w:val="%1.%2"/>
      <w:lvlJc w:val="left"/>
      <w:pPr>
        <w:ind w:left="0" w:firstLine="0"/>
      </w:pPr>
      <w:rPr>
        <w:rFonts w:asciiTheme="majorHAnsi" w:hAnsiTheme="majorHAnsi" w:hint="default"/>
        <w:b/>
        <w:i w:val="0"/>
        <w:color w:val="006C67"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76247FF"/>
    <w:multiLevelType w:val="multilevel"/>
    <w:tmpl w:val="D24C66CE"/>
    <w:styleLink w:val="ODIBoxHeadings"/>
    <w:lvl w:ilvl="0">
      <w:start w:val="1"/>
      <w:numFmt w:val="decimal"/>
      <w:suff w:val="space"/>
      <w:lvlText w:val="Box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887715"/>
    <w:multiLevelType w:val="multilevel"/>
    <w:tmpl w:val="FF32A6EE"/>
    <w:styleLink w:val="ODIFigureHeadings"/>
    <w:lvl w:ilvl="0">
      <w:start w:val="1"/>
      <w:numFmt w:val="decimal"/>
      <w:suff w:val="space"/>
      <w:lvlText w:val="Figure %1:"/>
      <w:lvlJc w:val="left"/>
      <w:pPr>
        <w:ind w:left="4330" w:hanging="360"/>
      </w:pPr>
      <w:rPr>
        <w:rFonts w:ascii="Trebuchet MS" w:hAnsi="Trebuchet MS" w:hint="default"/>
        <w:b/>
        <w:i w:val="0"/>
        <w:color w:val="006C67" w:themeColor="accent1"/>
        <w:sz w:val="24"/>
      </w:rPr>
    </w:lvl>
    <w:lvl w:ilvl="1">
      <w:start w:val="1"/>
      <w:numFmt w:val="lowerLetter"/>
      <w:lvlText w:val="%2)"/>
      <w:lvlJc w:val="left"/>
      <w:pPr>
        <w:ind w:left="4690" w:hanging="360"/>
      </w:pPr>
      <w:rPr>
        <w:rFonts w:hint="default"/>
      </w:rPr>
    </w:lvl>
    <w:lvl w:ilvl="2">
      <w:start w:val="1"/>
      <w:numFmt w:val="lowerRoman"/>
      <w:lvlText w:val="%3)"/>
      <w:lvlJc w:val="left"/>
      <w:pPr>
        <w:ind w:left="5050" w:hanging="360"/>
      </w:pPr>
      <w:rPr>
        <w:rFonts w:hint="default"/>
      </w:rPr>
    </w:lvl>
    <w:lvl w:ilvl="3">
      <w:start w:val="1"/>
      <w:numFmt w:val="decimal"/>
      <w:lvlText w:val="(%4)"/>
      <w:lvlJc w:val="left"/>
      <w:pPr>
        <w:ind w:left="5410" w:hanging="360"/>
      </w:pPr>
      <w:rPr>
        <w:rFonts w:hint="default"/>
      </w:rPr>
    </w:lvl>
    <w:lvl w:ilvl="4">
      <w:start w:val="1"/>
      <w:numFmt w:val="lowerLetter"/>
      <w:lvlText w:val="(%5)"/>
      <w:lvlJc w:val="left"/>
      <w:pPr>
        <w:ind w:left="5770" w:hanging="360"/>
      </w:pPr>
      <w:rPr>
        <w:rFonts w:hint="default"/>
      </w:rPr>
    </w:lvl>
    <w:lvl w:ilvl="5">
      <w:start w:val="1"/>
      <w:numFmt w:val="lowerRoman"/>
      <w:lvlText w:val="(%6)"/>
      <w:lvlJc w:val="left"/>
      <w:pPr>
        <w:ind w:left="6130" w:hanging="360"/>
      </w:pPr>
      <w:rPr>
        <w:rFonts w:hint="default"/>
      </w:rPr>
    </w:lvl>
    <w:lvl w:ilvl="6">
      <w:start w:val="1"/>
      <w:numFmt w:val="decimal"/>
      <w:lvlText w:val="%7."/>
      <w:lvlJc w:val="left"/>
      <w:pPr>
        <w:ind w:left="6490" w:hanging="360"/>
      </w:pPr>
      <w:rPr>
        <w:rFonts w:hint="default"/>
      </w:rPr>
    </w:lvl>
    <w:lvl w:ilvl="7">
      <w:start w:val="1"/>
      <w:numFmt w:val="lowerLetter"/>
      <w:lvlText w:val="%8."/>
      <w:lvlJc w:val="left"/>
      <w:pPr>
        <w:ind w:left="6850" w:hanging="360"/>
      </w:pPr>
      <w:rPr>
        <w:rFonts w:hint="default"/>
      </w:rPr>
    </w:lvl>
    <w:lvl w:ilvl="8">
      <w:start w:val="1"/>
      <w:numFmt w:val="lowerRoman"/>
      <w:lvlText w:val="%9."/>
      <w:lvlJc w:val="left"/>
      <w:pPr>
        <w:ind w:left="7210" w:hanging="360"/>
      </w:pPr>
      <w:rPr>
        <w:rFonts w:hint="default"/>
      </w:rPr>
    </w:lvl>
  </w:abstractNum>
  <w:num w:numId="1">
    <w:abstractNumId w:val="3"/>
  </w:num>
  <w:num w:numId="2">
    <w:abstractNumId w:val="5"/>
  </w:num>
  <w:num w:numId="3">
    <w:abstractNumId w:val="10"/>
  </w:num>
  <w:num w:numId="4">
    <w:abstractNumId w:val="4"/>
  </w:num>
  <w:num w:numId="5">
    <w:abstractNumId w:val="2"/>
  </w:num>
  <w:num w:numId="6">
    <w:abstractNumId w:val="11"/>
  </w:num>
  <w:num w:numId="7">
    <w:abstractNumId w:val="9"/>
  </w:num>
  <w:num w:numId="8">
    <w:abstractNumId w:val="7"/>
  </w:num>
  <w:num w:numId="9">
    <w:abstractNumId w:val="0"/>
  </w:num>
  <w:num w:numId="10">
    <w:abstractNumId w:val="8"/>
  </w:num>
  <w:num w:numId="11">
    <w:abstractNumId w:val="1"/>
  </w:num>
  <w:num w:numId="12">
    <w:abstractNumId w:val="8"/>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style="mso-position-horizontal:left;mso-position-horizontal-relative:margin;mso-position-vertical-relative:pag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FAFD2B-63D8-4A82-B7BB-0545F37E319C}"/>
    <w:docVar w:name="dgnword-eventsink" w:val="74774872"/>
  </w:docVars>
  <w:rsids>
    <w:rsidRoot w:val="006029DA"/>
    <w:rsid w:val="00000850"/>
    <w:rsid w:val="00004BCC"/>
    <w:rsid w:val="0000652C"/>
    <w:rsid w:val="000076D8"/>
    <w:rsid w:val="00007F99"/>
    <w:rsid w:val="00011EA8"/>
    <w:rsid w:val="00012753"/>
    <w:rsid w:val="00012BBD"/>
    <w:rsid w:val="0001514C"/>
    <w:rsid w:val="000260C6"/>
    <w:rsid w:val="00031CCD"/>
    <w:rsid w:val="00042E9C"/>
    <w:rsid w:val="0005222E"/>
    <w:rsid w:val="00053D3C"/>
    <w:rsid w:val="00062C4C"/>
    <w:rsid w:val="0007293C"/>
    <w:rsid w:val="00082FAD"/>
    <w:rsid w:val="00092E42"/>
    <w:rsid w:val="000A169E"/>
    <w:rsid w:val="000A2821"/>
    <w:rsid w:val="000A45B1"/>
    <w:rsid w:val="000A5D4E"/>
    <w:rsid w:val="000A6828"/>
    <w:rsid w:val="000B49EB"/>
    <w:rsid w:val="000B6991"/>
    <w:rsid w:val="000C193D"/>
    <w:rsid w:val="000D1433"/>
    <w:rsid w:val="000D3120"/>
    <w:rsid w:val="000D6D0D"/>
    <w:rsid w:val="000D7881"/>
    <w:rsid w:val="000E322F"/>
    <w:rsid w:val="000F6EF5"/>
    <w:rsid w:val="001006D4"/>
    <w:rsid w:val="001032B7"/>
    <w:rsid w:val="001046AC"/>
    <w:rsid w:val="0010754B"/>
    <w:rsid w:val="00120AF6"/>
    <w:rsid w:val="001228CD"/>
    <w:rsid w:val="00122DDC"/>
    <w:rsid w:val="00127793"/>
    <w:rsid w:val="00133231"/>
    <w:rsid w:val="0013568E"/>
    <w:rsid w:val="00146109"/>
    <w:rsid w:val="0016258F"/>
    <w:rsid w:val="00171B3C"/>
    <w:rsid w:val="001721C5"/>
    <w:rsid w:val="00174E09"/>
    <w:rsid w:val="00183515"/>
    <w:rsid w:val="001879E3"/>
    <w:rsid w:val="001A761C"/>
    <w:rsid w:val="001B4EE1"/>
    <w:rsid w:val="001C4EF9"/>
    <w:rsid w:val="001D36AE"/>
    <w:rsid w:val="001D49A0"/>
    <w:rsid w:val="001D49E8"/>
    <w:rsid w:val="001E32EE"/>
    <w:rsid w:val="001E4A81"/>
    <w:rsid w:val="001F4E55"/>
    <w:rsid w:val="0021269B"/>
    <w:rsid w:val="00230AAA"/>
    <w:rsid w:val="00232565"/>
    <w:rsid w:val="002370C9"/>
    <w:rsid w:val="0024174D"/>
    <w:rsid w:val="002463BE"/>
    <w:rsid w:val="00246C81"/>
    <w:rsid w:val="002506FB"/>
    <w:rsid w:val="00253523"/>
    <w:rsid w:val="00254E99"/>
    <w:rsid w:val="00255B93"/>
    <w:rsid w:val="0026761A"/>
    <w:rsid w:val="00270D22"/>
    <w:rsid w:val="00272C14"/>
    <w:rsid w:val="002731D3"/>
    <w:rsid w:val="002751F9"/>
    <w:rsid w:val="00291CEA"/>
    <w:rsid w:val="002944B4"/>
    <w:rsid w:val="002B354B"/>
    <w:rsid w:val="002B58F7"/>
    <w:rsid w:val="002C3051"/>
    <w:rsid w:val="002C3212"/>
    <w:rsid w:val="002D227E"/>
    <w:rsid w:val="002D2734"/>
    <w:rsid w:val="002D3E1B"/>
    <w:rsid w:val="002D65F8"/>
    <w:rsid w:val="0030081A"/>
    <w:rsid w:val="00303E52"/>
    <w:rsid w:val="00305FA5"/>
    <w:rsid w:val="0030797E"/>
    <w:rsid w:val="00310652"/>
    <w:rsid w:val="003137F8"/>
    <w:rsid w:val="00332F91"/>
    <w:rsid w:val="00333E0C"/>
    <w:rsid w:val="003353EE"/>
    <w:rsid w:val="0033758D"/>
    <w:rsid w:val="0034397C"/>
    <w:rsid w:val="00346BDD"/>
    <w:rsid w:val="00346D13"/>
    <w:rsid w:val="00347AA3"/>
    <w:rsid w:val="003615D9"/>
    <w:rsid w:val="00371218"/>
    <w:rsid w:val="003912BC"/>
    <w:rsid w:val="00392938"/>
    <w:rsid w:val="00394688"/>
    <w:rsid w:val="00394BB8"/>
    <w:rsid w:val="003C306C"/>
    <w:rsid w:val="003C4053"/>
    <w:rsid w:val="003D06DA"/>
    <w:rsid w:val="003E012B"/>
    <w:rsid w:val="003E1A4A"/>
    <w:rsid w:val="003E616C"/>
    <w:rsid w:val="003E79AF"/>
    <w:rsid w:val="003F14F4"/>
    <w:rsid w:val="003F342C"/>
    <w:rsid w:val="003F5500"/>
    <w:rsid w:val="00400DDA"/>
    <w:rsid w:val="00401A43"/>
    <w:rsid w:val="00401C72"/>
    <w:rsid w:val="00403ED6"/>
    <w:rsid w:val="00412E5E"/>
    <w:rsid w:val="00436F99"/>
    <w:rsid w:val="00440C46"/>
    <w:rsid w:val="00455C2A"/>
    <w:rsid w:val="004565AC"/>
    <w:rsid w:val="00457F88"/>
    <w:rsid w:val="00462DDC"/>
    <w:rsid w:val="00470867"/>
    <w:rsid w:val="00472D81"/>
    <w:rsid w:val="00484325"/>
    <w:rsid w:val="0048459F"/>
    <w:rsid w:val="00485EC0"/>
    <w:rsid w:val="00486495"/>
    <w:rsid w:val="00494281"/>
    <w:rsid w:val="004B0FE9"/>
    <w:rsid w:val="004B51DA"/>
    <w:rsid w:val="004C56B6"/>
    <w:rsid w:val="004D009F"/>
    <w:rsid w:val="004D03BF"/>
    <w:rsid w:val="004D6FA5"/>
    <w:rsid w:val="004E73F1"/>
    <w:rsid w:val="004F060B"/>
    <w:rsid w:val="00507122"/>
    <w:rsid w:val="00517C36"/>
    <w:rsid w:val="00520318"/>
    <w:rsid w:val="005217FF"/>
    <w:rsid w:val="005304D0"/>
    <w:rsid w:val="00543D1D"/>
    <w:rsid w:val="00545BC5"/>
    <w:rsid w:val="00551EA2"/>
    <w:rsid w:val="00563320"/>
    <w:rsid w:val="00564A7A"/>
    <w:rsid w:val="00564F0B"/>
    <w:rsid w:val="00567544"/>
    <w:rsid w:val="00575F70"/>
    <w:rsid w:val="00590C4A"/>
    <w:rsid w:val="005A1BA7"/>
    <w:rsid w:val="005A58F4"/>
    <w:rsid w:val="005A6FA7"/>
    <w:rsid w:val="005B0344"/>
    <w:rsid w:val="005B4E8C"/>
    <w:rsid w:val="005C2CD5"/>
    <w:rsid w:val="005C6F94"/>
    <w:rsid w:val="005C75EB"/>
    <w:rsid w:val="005D2D85"/>
    <w:rsid w:val="005D512E"/>
    <w:rsid w:val="005E037A"/>
    <w:rsid w:val="005F1B76"/>
    <w:rsid w:val="005F2BFA"/>
    <w:rsid w:val="005F4244"/>
    <w:rsid w:val="006029DA"/>
    <w:rsid w:val="00617000"/>
    <w:rsid w:val="00640456"/>
    <w:rsid w:val="00644703"/>
    <w:rsid w:val="00646F4F"/>
    <w:rsid w:val="0065174D"/>
    <w:rsid w:val="006572EF"/>
    <w:rsid w:val="00664562"/>
    <w:rsid w:val="00666E17"/>
    <w:rsid w:val="0067593F"/>
    <w:rsid w:val="00681243"/>
    <w:rsid w:val="0068259C"/>
    <w:rsid w:val="00684AF0"/>
    <w:rsid w:val="00684FE5"/>
    <w:rsid w:val="006875E9"/>
    <w:rsid w:val="00696ABC"/>
    <w:rsid w:val="006977AE"/>
    <w:rsid w:val="006B0568"/>
    <w:rsid w:val="006B1675"/>
    <w:rsid w:val="006B2F9B"/>
    <w:rsid w:val="006B4CF4"/>
    <w:rsid w:val="006C1FA8"/>
    <w:rsid w:val="006C513A"/>
    <w:rsid w:val="006C7729"/>
    <w:rsid w:val="006D0BDA"/>
    <w:rsid w:val="006D469D"/>
    <w:rsid w:val="006E46CD"/>
    <w:rsid w:val="006F2898"/>
    <w:rsid w:val="006F684D"/>
    <w:rsid w:val="00705562"/>
    <w:rsid w:val="007111EA"/>
    <w:rsid w:val="00712DB9"/>
    <w:rsid w:val="00714EDC"/>
    <w:rsid w:val="007165E2"/>
    <w:rsid w:val="007177E3"/>
    <w:rsid w:val="0072221F"/>
    <w:rsid w:val="0073462B"/>
    <w:rsid w:val="0075133B"/>
    <w:rsid w:val="007529EE"/>
    <w:rsid w:val="00757000"/>
    <w:rsid w:val="00757B0B"/>
    <w:rsid w:val="007645F6"/>
    <w:rsid w:val="007662F3"/>
    <w:rsid w:val="00785ED6"/>
    <w:rsid w:val="0079184A"/>
    <w:rsid w:val="007A3E19"/>
    <w:rsid w:val="007A45AB"/>
    <w:rsid w:val="007B1A68"/>
    <w:rsid w:val="007B3D02"/>
    <w:rsid w:val="007B403C"/>
    <w:rsid w:val="007B650C"/>
    <w:rsid w:val="007C0CF7"/>
    <w:rsid w:val="007D1DB2"/>
    <w:rsid w:val="007E19B2"/>
    <w:rsid w:val="007E30E8"/>
    <w:rsid w:val="007E38A7"/>
    <w:rsid w:val="007F3E73"/>
    <w:rsid w:val="007F6828"/>
    <w:rsid w:val="008010A2"/>
    <w:rsid w:val="0082000A"/>
    <w:rsid w:val="0082160C"/>
    <w:rsid w:val="00830168"/>
    <w:rsid w:val="00831464"/>
    <w:rsid w:val="00835040"/>
    <w:rsid w:val="00836B03"/>
    <w:rsid w:val="0084519B"/>
    <w:rsid w:val="008649F8"/>
    <w:rsid w:val="00865754"/>
    <w:rsid w:val="0086796E"/>
    <w:rsid w:val="0088042D"/>
    <w:rsid w:val="0088574D"/>
    <w:rsid w:val="00887816"/>
    <w:rsid w:val="008A1ACA"/>
    <w:rsid w:val="008A430A"/>
    <w:rsid w:val="008A6062"/>
    <w:rsid w:val="008B225E"/>
    <w:rsid w:val="008D1979"/>
    <w:rsid w:val="008D4154"/>
    <w:rsid w:val="008E2FCE"/>
    <w:rsid w:val="008E50D2"/>
    <w:rsid w:val="008F0DE4"/>
    <w:rsid w:val="008F4CE5"/>
    <w:rsid w:val="00902A0F"/>
    <w:rsid w:val="00926356"/>
    <w:rsid w:val="00927476"/>
    <w:rsid w:val="00932113"/>
    <w:rsid w:val="00933493"/>
    <w:rsid w:val="0093607A"/>
    <w:rsid w:val="00941049"/>
    <w:rsid w:val="00946728"/>
    <w:rsid w:val="009513B3"/>
    <w:rsid w:val="009620BC"/>
    <w:rsid w:val="00962BC0"/>
    <w:rsid w:val="00994F8F"/>
    <w:rsid w:val="00996663"/>
    <w:rsid w:val="009A08FB"/>
    <w:rsid w:val="009A2E9A"/>
    <w:rsid w:val="009A2FC4"/>
    <w:rsid w:val="009A47D7"/>
    <w:rsid w:val="009B1AF6"/>
    <w:rsid w:val="009C3C78"/>
    <w:rsid w:val="009D26F6"/>
    <w:rsid w:val="009D72A8"/>
    <w:rsid w:val="009E6C20"/>
    <w:rsid w:val="009F1A46"/>
    <w:rsid w:val="009F3201"/>
    <w:rsid w:val="00A00DED"/>
    <w:rsid w:val="00A251B5"/>
    <w:rsid w:val="00A257BE"/>
    <w:rsid w:val="00A34431"/>
    <w:rsid w:val="00A364CB"/>
    <w:rsid w:val="00A375FF"/>
    <w:rsid w:val="00A40958"/>
    <w:rsid w:val="00A44F79"/>
    <w:rsid w:val="00A55623"/>
    <w:rsid w:val="00A55E26"/>
    <w:rsid w:val="00A63EF0"/>
    <w:rsid w:val="00A8569F"/>
    <w:rsid w:val="00A85F57"/>
    <w:rsid w:val="00A86B25"/>
    <w:rsid w:val="00A90359"/>
    <w:rsid w:val="00A967DF"/>
    <w:rsid w:val="00AB6785"/>
    <w:rsid w:val="00AD0B21"/>
    <w:rsid w:val="00AD51AB"/>
    <w:rsid w:val="00AD7A53"/>
    <w:rsid w:val="00AE002E"/>
    <w:rsid w:val="00AE5156"/>
    <w:rsid w:val="00AE567E"/>
    <w:rsid w:val="00AE752E"/>
    <w:rsid w:val="00AF5CFE"/>
    <w:rsid w:val="00B0147A"/>
    <w:rsid w:val="00B12AEC"/>
    <w:rsid w:val="00B1497C"/>
    <w:rsid w:val="00B36F67"/>
    <w:rsid w:val="00B407A0"/>
    <w:rsid w:val="00B40B3F"/>
    <w:rsid w:val="00B43E10"/>
    <w:rsid w:val="00B43EA2"/>
    <w:rsid w:val="00B44747"/>
    <w:rsid w:val="00B50876"/>
    <w:rsid w:val="00B5437B"/>
    <w:rsid w:val="00B755ED"/>
    <w:rsid w:val="00B76800"/>
    <w:rsid w:val="00B76AAE"/>
    <w:rsid w:val="00B77BAD"/>
    <w:rsid w:val="00B808C2"/>
    <w:rsid w:val="00B81FB2"/>
    <w:rsid w:val="00B833F0"/>
    <w:rsid w:val="00B851CA"/>
    <w:rsid w:val="00B85EE6"/>
    <w:rsid w:val="00B96C41"/>
    <w:rsid w:val="00B96F8F"/>
    <w:rsid w:val="00B970EA"/>
    <w:rsid w:val="00BA441A"/>
    <w:rsid w:val="00BA5FA0"/>
    <w:rsid w:val="00BA639F"/>
    <w:rsid w:val="00BB2A9C"/>
    <w:rsid w:val="00BB5F06"/>
    <w:rsid w:val="00BB675E"/>
    <w:rsid w:val="00BC1A2F"/>
    <w:rsid w:val="00BC486C"/>
    <w:rsid w:val="00BD3901"/>
    <w:rsid w:val="00BE010C"/>
    <w:rsid w:val="00BF137D"/>
    <w:rsid w:val="00BF4FA9"/>
    <w:rsid w:val="00C001CF"/>
    <w:rsid w:val="00C00A3D"/>
    <w:rsid w:val="00C01548"/>
    <w:rsid w:val="00C05475"/>
    <w:rsid w:val="00C06538"/>
    <w:rsid w:val="00C12C19"/>
    <w:rsid w:val="00C141A3"/>
    <w:rsid w:val="00C16D5D"/>
    <w:rsid w:val="00C22116"/>
    <w:rsid w:val="00C2422C"/>
    <w:rsid w:val="00C325B7"/>
    <w:rsid w:val="00C34342"/>
    <w:rsid w:val="00C34B1C"/>
    <w:rsid w:val="00C34FB8"/>
    <w:rsid w:val="00C41384"/>
    <w:rsid w:val="00C41769"/>
    <w:rsid w:val="00C51D05"/>
    <w:rsid w:val="00C52918"/>
    <w:rsid w:val="00C53D15"/>
    <w:rsid w:val="00C560EE"/>
    <w:rsid w:val="00C562F1"/>
    <w:rsid w:val="00C6750C"/>
    <w:rsid w:val="00C7167F"/>
    <w:rsid w:val="00C87F58"/>
    <w:rsid w:val="00C91C87"/>
    <w:rsid w:val="00C94B90"/>
    <w:rsid w:val="00CA7558"/>
    <w:rsid w:val="00CB2389"/>
    <w:rsid w:val="00CB41DF"/>
    <w:rsid w:val="00CC2458"/>
    <w:rsid w:val="00CC2F0A"/>
    <w:rsid w:val="00CC7325"/>
    <w:rsid w:val="00CC7B99"/>
    <w:rsid w:val="00CD153A"/>
    <w:rsid w:val="00CD4953"/>
    <w:rsid w:val="00CD6E26"/>
    <w:rsid w:val="00D042AF"/>
    <w:rsid w:val="00D10D73"/>
    <w:rsid w:val="00D2707D"/>
    <w:rsid w:val="00D30C6F"/>
    <w:rsid w:val="00D315D7"/>
    <w:rsid w:val="00D40056"/>
    <w:rsid w:val="00D4065B"/>
    <w:rsid w:val="00D4548D"/>
    <w:rsid w:val="00D522AF"/>
    <w:rsid w:val="00D54624"/>
    <w:rsid w:val="00D63019"/>
    <w:rsid w:val="00D65A90"/>
    <w:rsid w:val="00D7098B"/>
    <w:rsid w:val="00D80511"/>
    <w:rsid w:val="00D836B6"/>
    <w:rsid w:val="00D851C0"/>
    <w:rsid w:val="00D9040C"/>
    <w:rsid w:val="00D94502"/>
    <w:rsid w:val="00DA00FD"/>
    <w:rsid w:val="00DA1B71"/>
    <w:rsid w:val="00DA68ED"/>
    <w:rsid w:val="00DC1A9F"/>
    <w:rsid w:val="00DD4551"/>
    <w:rsid w:val="00DE6F6D"/>
    <w:rsid w:val="00DF040A"/>
    <w:rsid w:val="00DF5522"/>
    <w:rsid w:val="00E16D2C"/>
    <w:rsid w:val="00E27196"/>
    <w:rsid w:val="00E43561"/>
    <w:rsid w:val="00E44849"/>
    <w:rsid w:val="00E45236"/>
    <w:rsid w:val="00E50793"/>
    <w:rsid w:val="00E53CD4"/>
    <w:rsid w:val="00E628F5"/>
    <w:rsid w:val="00E65B70"/>
    <w:rsid w:val="00E71649"/>
    <w:rsid w:val="00E72539"/>
    <w:rsid w:val="00E74E32"/>
    <w:rsid w:val="00E76EF9"/>
    <w:rsid w:val="00E8041F"/>
    <w:rsid w:val="00E81E7D"/>
    <w:rsid w:val="00E83DC2"/>
    <w:rsid w:val="00EA21D5"/>
    <w:rsid w:val="00EA756A"/>
    <w:rsid w:val="00EC049E"/>
    <w:rsid w:val="00EC45E7"/>
    <w:rsid w:val="00EC498B"/>
    <w:rsid w:val="00EC708E"/>
    <w:rsid w:val="00ED6C42"/>
    <w:rsid w:val="00EE326C"/>
    <w:rsid w:val="00EE341B"/>
    <w:rsid w:val="00EE45CF"/>
    <w:rsid w:val="00EE4860"/>
    <w:rsid w:val="00F05E89"/>
    <w:rsid w:val="00F060FB"/>
    <w:rsid w:val="00F07233"/>
    <w:rsid w:val="00F118A0"/>
    <w:rsid w:val="00F11D38"/>
    <w:rsid w:val="00F12B6E"/>
    <w:rsid w:val="00F1337E"/>
    <w:rsid w:val="00F16BDE"/>
    <w:rsid w:val="00F216AF"/>
    <w:rsid w:val="00F319A2"/>
    <w:rsid w:val="00F50092"/>
    <w:rsid w:val="00F515DA"/>
    <w:rsid w:val="00F5280A"/>
    <w:rsid w:val="00F565AD"/>
    <w:rsid w:val="00F60282"/>
    <w:rsid w:val="00F624DF"/>
    <w:rsid w:val="00F64B41"/>
    <w:rsid w:val="00F6653B"/>
    <w:rsid w:val="00F676A1"/>
    <w:rsid w:val="00F67A4C"/>
    <w:rsid w:val="00F67AC6"/>
    <w:rsid w:val="00F76C68"/>
    <w:rsid w:val="00F8038D"/>
    <w:rsid w:val="00F844B7"/>
    <w:rsid w:val="00F94CB0"/>
    <w:rsid w:val="00F95547"/>
    <w:rsid w:val="00F975F4"/>
    <w:rsid w:val="00FA3B20"/>
    <w:rsid w:val="00FB0BC4"/>
    <w:rsid w:val="00FB382F"/>
    <w:rsid w:val="00FB5934"/>
    <w:rsid w:val="00FC45D4"/>
    <w:rsid w:val="00FC470D"/>
    <w:rsid w:val="00FC783A"/>
    <w:rsid w:val="00FD1A3A"/>
    <w:rsid w:val="00FD1D37"/>
    <w:rsid w:val="00FD69CD"/>
    <w:rsid w:val="00FE1ED2"/>
    <w:rsid w:val="00FE6293"/>
    <w:rsid w:val="00FE650F"/>
    <w:rsid w:val="00FE7B68"/>
    <w:rsid w:val="00FF41BE"/>
    <w:rsid w:val="00FF755F"/>
    <w:rsid w:val="00FF7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left;mso-position-horizontal-relative:margin;mso-position-vertical-relative:page">
      <v:stroke weight=".5pt"/>
    </o:shapedefaults>
    <o:shapelayout v:ext="edit">
      <o:idmap v:ext="edit" data="1"/>
    </o:shapelayout>
  </w:shapeDefaults>
  <w:decimalSymbol w:val="."/>
  <w:listSeparator w:val=","/>
  <w14:docId w14:val="6924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6FA5"/>
    <w:rPr>
      <w:rFonts w:ascii="Times New Roman" w:hAnsi="Times New Roman"/>
      <w:szCs w:val="22"/>
      <w:lang w:eastAsia="en-US"/>
    </w:rPr>
  </w:style>
  <w:style w:type="paragraph" w:styleId="Heading1">
    <w:name w:val="heading 1"/>
    <w:basedOn w:val="Normal"/>
    <w:next w:val="BodyText"/>
    <w:link w:val="Heading1Char"/>
    <w:uiPriority w:val="9"/>
    <w:qFormat/>
    <w:rsid w:val="004D6FA5"/>
    <w:pPr>
      <w:keepNext/>
      <w:keepLines/>
      <w:spacing w:after="800"/>
      <w:outlineLvl w:val="0"/>
    </w:pPr>
    <w:rPr>
      <w:rFonts w:ascii="Arial" w:eastAsia="Times New Roman" w:hAnsi="Arial"/>
      <w:b/>
      <w:bCs/>
      <w:color w:val="006C67" w:themeColor="accent1"/>
      <w:sz w:val="60"/>
      <w:szCs w:val="28"/>
    </w:rPr>
  </w:style>
  <w:style w:type="paragraph" w:styleId="Heading2">
    <w:name w:val="heading 2"/>
    <w:basedOn w:val="Heading1"/>
    <w:next w:val="BodyText"/>
    <w:link w:val="Heading2Char"/>
    <w:uiPriority w:val="9"/>
    <w:unhideWhenUsed/>
    <w:qFormat/>
    <w:rsid w:val="004D6FA5"/>
    <w:pPr>
      <w:numPr>
        <w:ilvl w:val="1"/>
      </w:numPr>
      <w:spacing w:after="250"/>
      <w:outlineLvl w:val="1"/>
    </w:pPr>
    <w:rPr>
      <w:bCs w:val="0"/>
      <w:sz w:val="28"/>
      <w:szCs w:val="26"/>
    </w:rPr>
  </w:style>
  <w:style w:type="paragraph" w:styleId="Heading3">
    <w:name w:val="heading 3"/>
    <w:basedOn w:val="Heading2"/>
    <w:next w:val="BodyText"/>
    <w:link w:val="Heading3Char"/>
    <w:uiPriority w:val="9"/>
    <w:unhideWhenUsed/>
    <w:qFormat/>
    <w:rsid w:val="004D6FA5"/>
    <w:pPr>
      <w:numPr>
        <w:ilvl w:val="2"/>
      </w:numPr>
      <w:spacing w:before="250" w:after="0"/>
      <w:outlineLvl w:val="2"/>
    </w:pPr>
    <w:rPr>
      <w:bCs/>
      <w:color w:val="auto"/>
      <w:sz w:val="20"/>
    </w:rPr>
  </w:style>
  <w:style w:type="paragraph" w:styleId="Heading4">
    <w:name w:val="heading 4"/>
    <w:basedOn w:val="Heading3"/>
    <w:next w:val="BodyText"/>
    <w:link w:val="Heading4Char"/>
    <w:uiPriority w:val="9"/>
    <w:unhideWhenUsed/>
    <w:qFormat/>
    <w:rsid w:val="004D6FA5"/>
    <w:pPr>
      <w:numPr>
        <w:ilvl w:val="0"/>
      </w:numPr>
      <w:spacing w:before="0"/>
      <w:outlineLvl w:val="3"/>
    </w:pPr>
    <w:rPr>
      <w:bCs w:val="0"/>
      <w:i/>
      <w:iCs/>
      <w:sz w:val="18"/>
    </w:rPr>
  </w:style>
  <w:style w:type="paragraph" w:styleId="Heading5">
    <w:name w:val="heading 5"/>
    <w:basedOn w:val="Heading4"/>
    <w:next w:val="BodyText"/>
    <w:link w:val="Heading5Char"/>
    <w:uiPriority w:val="9"/>
    <w:semiHidden/>
    <w:rsid w:val="004D6FA5"/>
    <w:pPr>
      <w:outlineLvl w:val="4"/>
    </w:pPr>
    <w:rPr>
      <w:b w:val="0"/>
      <w:i w:val="0"/>
    </w:rPr>
  </w:style>
  <w:style w:type="paragraph" w:styleId="Heading6">
    <w:name w:val="heading 6"/>
    <w:basedOn w:val="Normal"/>
    <w:next w:val="BodyText"/>
    <w:link w:val="Heading6Char"/>
    <w:uiPriority w:val="9"/>
    <w:semiHidden/>
    <w:qFormat/>
    <w:rsid w:val="004D6FA5"/>
    <w:pPr>
      <w:keepNext/>
      <w:keepLines/>
      <w:spacing w:before="200"/>
      <w:outlineLvl w:val="5"/>
    </w:pPr>
    <w:rPr>
      <w:rFonts w:eastAsia="Times New Roman"/>
      <w:i/>
      <w:iCs/>
    </w:rPr>
  </w:style>
  <w:style w:type="paragraph" w:styleId="Heading7">
    <w:name w:val="heading 7"/>
    <w:basedOn w:val="Normal"/>
    <w:next w:val="Normal"/>
    <w:link w:val="Heading7Char"/>
    <w:uiPriority w:val="9"/>
    <w:semiHidden/>
    <w:rsid w:val="004D6FA5"/>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6FA5"/>
    <w:pPr>
      <w:spacing w:after="190" w:line="250" w:lineRule="atLeast"/>
      <w:jc w:val="both"/>
    </w:pPr>
  </w:style>
  <w:style w:type="character" w:customStyle="1" w:styleId="BodyTextChar">
    <w:name w:val="Body Text Char"/>
    <w:link w:val="BodyText"/>
    <w:rsid w:val="004D6FA5"/>
    <w:rPr>
      <w:rFonts w:ascii="Times New Roman" w:hAnsi="Times New Roman"/>
      <w:szCs w:val="22"/>
      <w:lang w:eastAsia="en-US"/>
    </w:rPr>
  </w:style>
  <w:style w:type="character" w:customStyle="1" w:styleId="Heading1Char">
    <w:name w:val="Heading 1 Char"/>
    <w:link w:val="Heading1"/>
    <w:uiPriority w:val="9"/>
    <w:rsid w:val="004D6FA5"/>
    <w:rPr>
      <w:rFonts w:ascii="Arial" w:eastAsia="Times New Roman" w:hAnsi="Arial"/>
      <w:b/>
      <w:bCs/>
      <w:color w:val="006C67" w:themeColor="accent1"/>
      <w:sz w:val="60"/>
      <w:szCs w:val="28"/>
      <w:lang w:eastAsia="en-US"/>
    </w:rPr>
  </w:style>
  <w:style w:type="character" w:customStyle="1" w:styleId="Heading2Char">
    <w:name w:val="Heading 2 Char"/>
    <w:link w:val="Heading2"/>
    <w:uiPriority w:val="9"/>
    <w:rsid w:val="004D6FA5"/>
    <w:rPr>
      <w:rFonts w:ascii="Arial" w:eastAsia="Times New Roman" w:hAnsi="Arial"/>
      <w:b/>
      <w:color w:val="006C67" w:themeColor="accent1"/>
      <w:sz w:val="28"/>
      <w:szCs w:val="26"/>
      <w:lang w:eastAsia="en-US"/>
    </w:rPr>
  </w:style>
  <w:style w:type="character" w:customStyle="1" w:styleId="Heading3Char">
    <w:name w:val="Heading 3 Char"/>
    <w:link w:val="Heading3"/>
    <w:uiPriority w:val="9"/>
    <w:rsid w:val="004D6FA5"/>
    <w:rPr>
      <w:rFonts w:ascii="Arial" w:eastAsia="Times New Roman" w:hAnsi="Arial"/>
      <w:b/>
      <w:bCs/>
      <w:szCs w:val="26"/>
      <w:lang w:eastAsia="en-US"/>
    </w:rPr>
  </w:style>
  <w:style w:type="character" w:customStyle="1" w:styleId="Heading4Char">
    <w:name w:val="Heading 4 Char"/>
    <w:link w:val="Heading4"/>
    <w:uiPriority w:val="9"/>
    <w:rsid w:val="004D6FA5"/>
    <w:rPr>
      <w:rFonts w:ascii="Arial" w:eastAsia="Times New Roman" w:hAnsi="Arial"/>
      <w:b/>
      <w:i/>
      <w:iCs/>
      <w:sz w:val="18"/>
      <w:szCs w:val="26"/>
      <w:lang w:eastAsia="en-US"/>
    </w:rPr>
  </w:style>
  <w:style w:type="character" w:customStyle="1" w:styleId="Heading5Char">
    <w:name w:val="Heading 5 Char"/>
    <w:link w:val="Heading5"/>
    <w:uiPriority w:val="9"/>
    <w:semiHidden/>
    <w:rsid w:val="004D6FA5"/>
    <w:rPr>
      <w:rFonts w:ascii="Arial" w:eastAsia="Times New Roman" w:hAnsi="Arial"/>
      <w:iCs/>
      <w:sz w:val="18"/>
      <w:szCs w:val="26"/>
      <w:lang w:eastAsia="en-US"/>
    </w:rPr>
  </w:style>
  <w:style w:type="character" w:customStyle="1" w:styleId="Heading6Char">
    <w:name w:val="Heading 6 Char"/>
    <w:link w:val="Heading6"/>
    <w:uiPriority w:val="9"/>
    <w:semiHidden/>
    <w:rsid w:val="004D6FA5"/>
    <w:rPr>
      <w:rFonts w:ascii="Times New Roman" w:eastAsia="Times New Roman" w:hAnsi="Times New Roman"/>
      <w:i/>
      <w:iCs/>
      <w:szCs w:val="22"/>
      <w:lang w:eastAsia="en-US"/>
    </w:rPr>
  </w:style>
  <w:style w:type="paragraph" w:styleId="ListNumber">
    <w:name w:val="List Number"/>
    <w:basedOn w:val="Normal"/>
    <w:uiPriority w:val="99"/>
    <w:unhideWhenUsed/>
    <w:qFormat/>
    <w:rsid w:val="004D6FA5"/>
    <w:pPr>
      <w:numPr>
        <w:numId w:val="9"/>
      </w:numPr>
      <w:spacing w:line="250" w:lineRule="atLeast"/>
      <w:jc w:val="both"/>
    </w:pPr>
  </w:style>
  <w:style w:type="paragraph" w:styleId="ListNumber2">
    <w:name w:val="List Number 2"/>
    <w:basedOn w:val="ListNumber"/>
    <w:uiPriority w:val="99"/>
    <w:unhideWhenUsed/>
    <w:qFormat/>
    <w:rsid w:val="004D6FA5"/>
    <w:pPr>
      <w:numPr>
        <w:ilvl w:val="1"/>
      </w:numPr>
    </w:pPr>
  </w:style>
  <w:style w:type="paragraph" w:styleId="ListNumber3">
    <w:name w:val="List Number 3"/>
    <w:basedOn w:val="ListNumber2"/>
    <w:uiPriority w:val="99"/>
    <w:unhideWhenUsed/>
    <w:qFormat/>
    <w:rsid w:val="004D6FA5"/>
    <w:pPr>
      <w:numPr>
        <w:ilvl w:val="2"/>
      </w:numPr>
    </w:pPr>
  </w:style>
  <w:style w:type="paragraph" w:styleId="ListContinue">
    <w:name w:val="List Continue"/>
    <w:basedOn w:val="Normal"/>
    <w:uiPriority w:val="99"/>
    <w:unhideWhenUsed/>
    <w:qFormat/>
    <w:rsid w:val="004D6FA5"/>
    <w:pPr>
      <w:spacing w:line="250" w:lineRule="atLeast"/>
      <w:ind w:left="567" w:right="567"/>
      <w:jc w:val="both"/>
    </w:pPr>
  </w:style>
  <w:style w:type="paragraph" w:styleId="ListContinue2">
    <w:name w:val="List Continue 2"/>
    <w:basedOn w:val="Normal"/>
    <w:uiPriority w:val="99"/>
    <w:unhideWhenUsed/>
    <w:qFormat/>
    <w:rsid w:val="004D6FA5"/>
    <w:pPr>
      <w:spacing w:line="250" w:lineRule="atLeast"/>
      <w:ind w:left="851" w:right="567"/>
      <w:jc w:val="both"/>
    </w:pPr>
  </w:style>
  <w:style w:type="paragraph" w:styleId="ListContinue3">
    <w:name w:val="List Continue 3"/>
    <w:basedOn w:val="Normal"/>
    <w:uiPriority w:val="99"/>
    <w:unhideWhenUsed/>
    <w:qFormat/>
    <w:rsid w:val="004D6FA5"/>
    <w:pPr>
      <w:spacing w:line="250" w:lineRule="atLeast"/>
      <w:ind w:left="1134" w:right="567"/>
      <w:jc w:val="both"/>
    </w:pPr>
  </w:style>
  <w:style w:type="paragraph" w:styleId="ListBullet">
    <w:name w:val="List Bullet"/>
    <w:basedOn w:val="Normal"/>
    <w:uiPriority w:val="99"/>
    <w:unhideWhenUsed/>
    <w:qFormat/>
    <w:rsid w:val="004D6FA5"/>
    <w:pPr>
      <w:numPr>
        <w:numId w:val="4"/>
      </w:numPr>
      <w:spacing w:line="250" w:lineRule="atLeast"/>
      <w:ind w:right="567"/>
      <w:jc w:val="both"/>
    </w:pPr>
  </w:style>
  <w:style w:type="paragraph" w:styleId="ListBullet2">
    <w:name w:val="List Bullet 2"/>
    <w:basedOn w:val="ListBullet"/>
    <w:uiPriority w:val="99"/>
    <w:unhideWhenUsed/>
    <w:qFormat/>
    <w:rsid w:val="004D6FA5"/>
    <w:pPr>
      <w:numPr>
        <w:ilvl w:val="1"/>
      </w:numPr>
    </w:pPr>
  </w:style>
  <w:style w:type="character" w:customStyle="1" w:styleId="Heading7Char">
    <w:name w:val="Heading 7 Char"/>
    <w:link w:val="Heading7"/>
    <w:uiPriority w:val="9"/>
    <w:semiHidden/>
    <w:rsid w:val="004D6FA5"/>
    <w:rPr>
      <w:rFonts w:eastAsia="Times New Roman"/>
      <w:i/>
      <w:iCs/>
      <w:color w:val="404040"/>
      <w:szCs w:val="22"/>
      <w:lang w:eastAsia="en-US"/>
    </w:rPr>
  </w:style>
  <w:style w:type="paragraph" w:styleId="Footer">
    <w:name w:val="footer"/>
    <w:basedOn w:val="Normal"/>
    <w:link w:val="FooterChar"/>
    <w:uiPriority w:val="99"/>
    <w:unhideWhenUsed/>
    <w:rsid w:val="004D6FA5"/>
    <w:pPr>
      <w:ind w:right="-2835"/>
      <w:jc w:val="right"/>
    </w:pPr>
    <w:rPr>
      <w:rFonts w:ascii="Arial" w:hAnsi="Arial"/>
      <w:sz w:val="15"/>
    </w:rPr>
  </w:style>
  <w:style w:type="character" w:customStyle="1" w:styleId="FooterChar">
    <w:name w:val="Footer Char"/>
    <w:link w:val="Footer"/>
    <w:uiPriority w:val="99"/>
    <w:rsid w:val="004D6FA5"/>
    <w:rPr>
      <w:rFonts w:ascii="Arial" w:hAnsi="Arial"/>
      <w:sz w:val="15"/>
      <w:szCs w:val="22"/>
      <w:lang w:eastAsia="en-US"/>
    </w:rPr>
  </w:style>
  <w:style w:type="paragraph" w:styleId="Header">
    <w:name w:val="header"/>
    <w:basedOn w:val="Normal"/>
    <w:link w:val="HeaderChar"/>
    <w:uiPriority w:val="99"/>
    <w:unhideWhenUsed/>
    <w:rsid w:val="004D6FA5"/>
    <w:pPr>
      <w:tabs>
        <w:tab w:val="center" w:pos="4680"/>
        <w:tab w:val="right" w:pos="9360"/>
      </w:tabs>
      <w:jc w:val="right"/>
    </w:pPr>
    <w:rPr>
      <w:rFonts w:ascii="Arial" w:hAnsi="Arial"/>
      <w:sz w:val="16"/>
    </w:rPr>
  </w:style>
  <w:style w:type="character" w:customStyle="1" w:styleId="HeaderChar">
    <w:name w:val="Header Char"/>
    <w:link w:val="Header"/>
    <w:uiPriority w:val="99"/>
    <w:rsid w:val="004D6FA5"/>
    <w:rPr>
      <w:rFonts w:ascii="Arial" w:hAnsi="Arial"/>
      <w:sz w:val="16"/>
      <w:szCs w:val="22"/>
      <w:lang w:eastAsia="en-US"/>
    </w:rPr>
  </w:style>
  <w:style w:type="character" w:styleId="PageNumber">
    <w:name w:val="page number"/>
    <w:uiPriority w:val="99"/>
    <w:semiHidden/>
    <w:unhideWhenUsed/>
    <w:rsid w:val="004D6FA5"/>
    <w:rPr>
      <w:rFonts w:ascii="Arial" w:hAnsi="Arial"/>
      <w:sz w:val="20"/>
    </w:rPr>
  </w:style>
  <w:style w:type="table" w:customStyle="1" w:styleId="Blank">
    <w:name w:val="Blank"/>
    <w:basedOn w:val="TableNormal"/>
    <w:uiPriority w:val="99"/>
    <w:rsid w:val="004D6FA5"/>
    <w:tblPr>
      <w:tblCellMar>
        <w:left w:w="0" w:type="dxa"/>
        <w:right w:w="0" w:type="dxa"/>
      </w:tblCellMar>
    </w:tblPr>
  </w:style>
  <w:style w:type="paragraph" w:styleId="BalloonText">
    <w:name w:val="Balloon Text"/>
    <w:basedOn w:val="Normal"/>
    <w:link w:val="BalloonTextChar"/>
    <w:uiPriority w:val="99"/>
    <w:semiHidden/>
    <w:unhideWhenUsed/>
    <w:rsid w:val="004D6FA5"/>
    <w:rPr>
      <w:rFonts w:ascii="Tahoma" w:hAnsi="Tahoma" w:cs="Tahoma"/>
      <w:sz w:val="16"/>
      <w:szCs w:val="16"/>
    </w:rPr>
  </w:style>
  <w:style w:type="character" w:customStyle="1" w:styleId="BalloonTextChar">
    <w:name w:val="Balloon Text Char"/>
    <w:basedOn w:val="DefaultParagraphFont"/>
    <w:link w:val="BalloonText"/>
    <w:uiPriority w:val="99"/>
    <w:semiHidden/>
    <w:rsid w:val="004D6FA5"/>
    <w:rPr>
      <w:rFonts w:ascii="Tahoma" w:hAnsi="Tahoma" w:cs="Tahoma"/>
      <w:sz w:val="16"/>
      <w:szCs w:val="16"/>
      <w:lang w:eastAsia="en-US"/>
    </w:rPr>
  </w:style>
  <w:style w:type="table" w:styleId="TableGrid">
    <w:name w:val="Table Grid"/>
    <w:basedOn w:val="TableNormal"/>
    <w:uiPriority w:val="59"/>
    <w:rsid w:val="004D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FA5"/>
    <w:rPr>
      <w:color w:val="0000FF"/>
      <w:u w:val="single"/>
    </w:rPr>
  </w:style>
  <w:style w:type="character" w:styleId="FollowedHyperlink">
    <w:name w:val="FollowedHyperlink"/>
    <w:basedOn w:val="DefaultParagraphFont"/>
    <w:uiPriority w:val="99"/>
    <w:semiHidden/>
    <w:unhideWhenUsed/>
    <w:rsid w:val="004D6FA5"/>
    <w:rPr>
      <w:color w:val="800080"/>
      <w:u w:val="single"/>
    </w:rPr>
  </w:style>
  <w:style w:type="numbering" w:customStyle="1" w:styleId="ODIHeadings">
    <w:name w:val="ODI Headings"/>
    <w:basedOn w:val="NoList"/>
    <w:uiPriority w:val="99"/>
    <w:rsid w:val="004D6FA5"/>
    <w:pPr>
      <w:numPr>
        <w:numId w:val="7"/>
      </w:numPr>
    </w:pPr>
  </w:style>
  <w:style w:type="paragraph" w:customStyle="1" w:styleId="Strapline">
    <w:name w:val="Strapline"/>
    <w:basedOn w:val="Normal"/>
    <w:rsid w:val="004D6FA5"/>
    <w:pPr>
      <w:spacing w:before="100" w:after="100"/>
    </w:pPr>
    <w:rPr>
      <w:rFonts w:ascii="Arial" w:hAnsi="Arial"/>
      <w:color w:val="006C67" w:themeColor="accent1"/>
      <w:sz w:val="24"/>
    </w:rPr>
  </w:style>
  <w:style w:type="paragraph" w:customStyle="1" w:styleId="TableHeading">
    <w:name w:val="Table Heading"/>
    <w:basedOn w:val="Normal"/>
    <w:next w:val="BodyText"/>
    <w:qFormat/>
    <w:rsid w:val="00F216AF"/>
    <w:pPr>
      <w:numPr>
        <w:numId w:val="16"/>
      </w:numPr>
      <w:spacing w:before="250" w:after="40"/>
    </w:pPr>
    <w:rPr>
      <w:rFonts w:ascii="Arial" w:hAnsi="Arial"/>
      <w:b/>
      <w:color w:val="006C67" w:themeColor="accent1"/>
      <w:sz w:val="24"/>
    </w:rPr>
  </w:style>
  <w:style w:type="numbering" w:customStyle="1" w:styleId="ODITableHeadings">
    <w:name w:val="ODI Table Headings"/>
    <w:basedOn w:val="NoList"/>
    <w:uiPriority w:val="99"/>
    <w:rsid w:val="004D6FA5"/>
    <w:pPr>
      <w:numPr>
        <w:numId w:val="11"/>
      </w:numPr>
    </w:pPr>
  </w:style>
  <w:style w:type="paragraph" w:customStyle="1" w:styleId="FigureHeading">
    <w:name w:val="Figure Heading"/>
    <w:basedOn w:val="Normal"/>
    <w:next w:val="BodyText"/>
    <w:qFormat/>
    <w:rsid w:val="00F216AF"/>
    <w:pPr>
      <w:numPr>
        <w:numId w:val="15"/>
      </w:numPr>
      <w:spacing w:before="250" w:after="40"/>
    </w:pPr>
    <w:rPr>
      <w:rFonts w:ascii="Arial" w:hAnsi="Arial"/>
      <w:b/>
      <w:color w:val="006C67" w:themeColor="accent1"/>
      <w:sz w:val="24"/>
    </w:rPr>
  </w:style>
  <w:style w:type="numbering" w:customStyle="1" w:styleId="ODIFigureHeadings">
    <w:name w:val="ODI Figure Headings"/>
    <w:basedOn w:val="NoList"/>
    <w:uiPriority w:val="99"/>
    <w:rsid w:val="004D6FA5"/>
    <w:pPr>
      <w:numPr>
        <w:numId w:val="6"/>
      </w:numPr>
    </w:pPr>
  </w:style>
  <w:style w:type="paragraph" w:customStyle="1" w:styleId="BoxHeading">
    <w:name w:val="Box Heading"/>
    <w:basedOn w:val="Normal"/>
    <w:next w:val="BoxText"/>
    <w:qFormat/>
    <w:rsid w:val="004D6FA5"/>
    <w:pPr>
      <w:spacing w:after="113"/>
    </w:pPr>
    <w:rPr>
      <w:rFonts w:ascii="Arial" w:hAnsi="Arial"/>
      <w:b/>
      <w:color w:val="006C67" w:themeColor="accent1"/>
      <w:sz w:val="22"/>
    </w:rPr>
  </w:style>
  <w:style w:type="numbering" w:customStyle="1" w:styleId="ODIBoxHeadings">
    <w:name w:val="ODI Box Headings"/>
    <w:basedOn w:val="NoList"/>
    <w:uiPriority w:val="99"/>
    <w:rsid w:val="004D6FA5"/>
    <w:pPr>
      <w:numPr>
        <w:numId w:val="3"/>
      </w:numPr>
    </w:pPr>
  </w:style>
  <w:style w:type="paragraph" w:customStyle="1" w:styleId="Abbreviation">
    <w:name w:val="Abbreviation"/>
    <w:basedOn w:val="Normal"/>
    <w:qFormat/>
    <w:rsid w:val="004D6FA5"/>
    <w:pPr>
      <w:spacing w:line="480" w:lineRule="exact"/>
    </w:pPr>
    <w:rPr>
      <w:rFonts w:ascii="Arial" w:hAnsi="Arial"/>
      <w:color w:val="006C67" w:themeColor="accent1"/>
    </w:rPr>
  </w:style>
  <w:style w:type="paragraph" w:styleId="FootnoteText">
    <w:name w:val="footnote text"/>
    <w:basedOn w:val="Normal"/>
    <w:link w:val="FootnoteTextChar"/>
    <w:uiPriority w:val="99"/>
    <w:qFormat/>
    <w:rsid w:val="004D6FA5"/>
    <w:rPr>
      <w:sz w:val="16"/>
      <w:szCs w:val="20"/>
    </w:rPr>
  </w:style>
  <w:style w:type="character" w:customStyle="1" w:styleId="FootnoteTextChar">
    <w:name w:val="Footnote Text Char"/>
    <w:basedOn w:val="DefaultParagraphFont"/>
    <w:link w:val="FootnoteText"/>
    <w:uiPriority w:val="99"/>
    <w:rsid w:val="004D6FA5"/>
    <w:rPr>
      <w:rFonts w:ascii="Times New Roman" w:hAnsi="Times New Roman"/>
      <w:sz w:val="16"/>
      <w:lang w:eastAsia="en-US"/>
    </w:rPr>
  </w:style>
  <w:style w:type="character" w:styleId="FootnoteReference">
    <w:name w:val="footnote reference"/>
    <w:basedOn w:val="DefaultParagraphFont"/>
    <w:uiPriority w:val="99"/>
    <w:qFormat/>
    <w:rsid w:val="004D6FA5"/>
    <w:rPr>
      <w:rFonts w:asciiTheme="minorHAnsi" w:hAnsiTheme="minorHAnsi"/>
      <w:sz w:val="19"/>
      <w:vertAlign w:val="superscript"/>
    </w:rPr>
  </w:style>
  <w:style w:type="numbering" w:customStyle="1" w:styleId="ODIBullets">
    <w:name w:val="ODI Bullets"/>
    <w:basedOn w:val="NoList"/>
    <w:uiPriority w:val="99"/>
    <w:rsid w:val="004D6FA5"/>
    <w:pPr>
      <w:numPr>
        <w:numId w:val="4"/>
      </w:numPr>
    </w:pPr>
  </w:style>
  <w:style w:type="paragraph" w:customStyle="1" w:styleId="LastBullet">
    <w:name w:val="Last Bullet"/>
    <w:basedOn w:val="ListBullet"/>
    <w:next w:val="BodyText"/>
    <w:qFormat/>
    <w:rsid w:val="004D6FA5"/>
    <w:pPr>
      <w:numPr>
        <w:numId w:val="8"/>
      </w:numPr>
      <w:spacing w:after="190"/>
    </w:pPr>
  </w:style>
  <w:style w:type="numbering" w:customStyle="1" w:styleId="ODILastBullet">
    <w:name w:val="ODI Last Bullet"/>
    <w:basedOn w:val="ODIBullets"/>
    <w:uiPriority w:val="99"/>
    <w:rsid w:val="004D6FA5"/>
    <w:pPr>
      <w:numPr>
        <w:numId w:val="8"/>
      </w:numPr>
    </w:pPr>
  </w:style>
  <w:style w:type="table" w:customStyle="1" w:styleId="ODITable">
    <w:name w:val="ODI Table"/>
    <w:basedOn w:val="TableNormal"/>
    <w:uiPriority w:val="99"/>
    <w:rsid w:val="004D6FA5"/>
    <w:rPr>
      <w:rFonts w:asciiTheme="majorHAnsi" w:hAnsiTheme="majorHAnsi"/>
      <w:sz w:val="17"/>
    </w:rPr>
    <w:tblPr>
      <w:tblStyleRowBandSize w:val="1"/>
      <w:tblInd w:w="113" w:type="dxa"/>
      <w:tblBorders>
        <w:bottom w:val="single" w:sz="4" w:space="0" w:color="auto"/>
        <w:insideH w:val="single" w:sz="4" w:space="0" w:color="auto"/>
      </w:tblBorders>
      <w:tblCellMar>
        <w:top w:w="113" w:type="dxa"/>
        <w:bottom w:w="113"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4D6FA5"/>
    <w:pPr>
      <w:spacing w:line="220" w:lineRule="atLeast"/>
    </w:pPr>
    <w:rPr>
      <w:rFonts w:ascii="Arial" w:hAnsi="Arial"/>
      <w:sz w:val="17"/>
    </w:rPr>
  </w:style>
  <w:style w:type="paragraph" w:customStyle="1" w:styleId="ColumnHeading">
    <w:name w:val="Column Heading"/>
    <w:basedOn w:val="Normal"/>
    <w:next w:val="TableText"/>
    <w:qFormat/>
    <w:rsid w:val="004D6FA5"/>
    <w:rPr>
      <w:rFonts w:ascii="Arial" w:hAnsi="Arial"/>
      <w:b/>
      <w:sz w:val="17"/>
    </w:rPr>
  </w:style>
  <w:style w:type="paragraph" w:customStyle="1" w:styleId="TableBullet">
    <w:name w:val="Table Bullet"/>
    <w:basedOn w:val="TableText"/>
    <w:qFormat/>
    <w:rsid w:val="004D6FA5"/>
    <w:pPr>
      <w:numPr>
        <w:numId w:val="12"/>
      </w:numPr>
    </w:pPr>
  </w:style>
  <w:style w:type="numbering" w:customStyle="1" w:styleId="ODITableBullet">
    <w:name w:val="ODI Table Bullet"/>
    <w:basedOn w:val="NoList"/>
    <w:uiPriority w:val="99"/>
    <w:rsid w:val="004D6FA5"/>
    <w:pPr>
      <w:numPr>
        <w:numId w:val="10"/>
      </w:numPr>
    </w:pPr>
  </w:style>
  <w:style w:type="paragraph" w:customStyle="1" w:styleId="Source">
    <w:name w:val="Source"/>
    <w:basedOn w:val="Normal"/>
    <w:qFormat/>
    <w:rsid w:val="004D6FA5"/>
    <w:pPr>
      <w:spacing w:before="39" w:after="250"/>
    </w:pPr>
    <w:rPr>
      <w:rFonts w:ascii="Arial" w:hAnsi="Arial"/>
      <w:i/>
      <w:sz w:val="16"/>
    </w:rPr>
  </w:style>
  <w:style w:type="paragraph" w:customStyle="1" w:styleId="BoxText">
    <w:name w:val="Box Text"/>
    <w:basedOn w:val="Normal"/>
    <w:qFormat/>
    <w:rsid w:val="004D6FA5"/>
    <w:pPr>
      <w:spacing w:after="135"/>
      <w:jc w:val="both"/>
    </w:pPr>
    <w:rPr>
      <w:rFonts w:ascii="Arial" w:hAnsi="Arial"/>
      <w:sz w:val="18"/>
    </w:rPr>
  </w:style>
  <w:style w:type="table" w:customStyle="1" w:styleId="ODIBox">
    <w:name w:val="ODI Box"/>
    <w:basedOn w:val="TableNormal"/>
    <w:uiPriority w:val="99"/>
    <w:rsid w:val="004D6FA5"/>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4D6FA5"/>
    <w:pPr>
      <w:numPr>
        <w:numId w:val="2"/>
      </w:numPr>
      <w:spacing w:after="0"/>
      <w:ind w:right="284"/>
    </w:pPr>
  </w:style>
  <w:style w:type="numbering" w:customStyle="1" w:styleId="ODIBoxBullet">
    <w:name w:val="ODI Box Bullet"/>
    <w:basedOn w:val="NoList"/>
    <w:uiPriority w:val="99"/>
    <w:rsid w:val="004D6FA5"/>
    <w:pPr>
      <w:numPr>
        <w:numId w:val="2"/>
      </w:numPr>
    </w:pPr>
  </w:style>
  <w:style w:type="numbering" w:customStyle="1" w:styleId="ODINumberedList">
    <w:name w:val="ODI Numbered List"/>
    <w:basedOn w:val="NoList"/>
    <w:uiPriority w:val="99"/>
    <w:rsid w:val="004D6FA5"/>
    <w:pPr>
      <w:numPr>
        <w:numId w:val="9"/>
      </w:numPr>
    </w:pPr>
  </w:style>
  <w:style w:type="numbering" w:customStyle="1" w:styleId="ODICoverBullets">
    <w:name w:val="ODI Cover Bullets"/>
    <w:basedOn w:val="NoList"/>
    <w:uiPriority w:val="99"/>
    <w:rsid w:val="004D6FA5"/>
    <w:pPr>
      <w:numPr>
        <w:numId w:val="5"/>
      </w:numPr>
    </w:pPr>
  </w:style>
  <w:style w:type="paragraph" w:styleId="Quote">
    <w:name w:val="Quote"/>
    <w:basedOn w:val="Normal"/>
    <w:next w:val="Normal"/>
    <w:link w:val="QuoteChar"/>
    <w:uiPriority w:val="29"/>
    <w:rsid w:val="004D6FA5"/>
    <w:pPr>
      <w:spacing w:before="200" w:after="180" w:line="250" w:lineRule="atLeast"/>
      <w:ind w:left="567" w:right="567"/>
      <w:jc w:val="center"/>
    </w:pPr>
    <w:rPr>
      <w:i/>
      <w:iCs/>
    </w:rPr>
  </w:style>
  <w:style w:type="character" w:customStyle="1" w:styleId="QuoteChar">
    <w:name w:val="Quote Char"/>
    <w:basedOn w:val="DefaultParagraphFont"/>
    <w:link w:val="Quote"/>
    <w:uiPriority w:val="29"/>
    <w:rsid w:val="004D6FA5"/>
    <w:rPr>
      <w:rFonts w:ascii="Times New Roman" w:hAnsi="Times New Roman"/>
      <w:i/>
      <w:iCs/>
      <w:szCs w:val="22"/>
      <w:lang w:eastAsia="en-US"/>
    </w:rPr>
  </w:style>
  <w:style w:type="paragraph" w:customStyle="1" w:styleId="BodyTextNoSpacing">
    <w:name w:val="Body Text No Spacing"/>
    <w:basedOn w:val="BodyText"/>
    <w:qFormat/>
    <w:rsid w:val="004D6FA5"/>
    <w:pPr>
      <w:spacing w:after="0"/>
    </w:pPr>
  </w:style>
  <w:style w:type="paragraph" w:customStyle="1" w:styleId="SourceNoSpace">
    <w:name w:val="Source No Space"/>
    <w:basedOn w:val="Source"/>
    <w:next w:val="Normal"/>
    <w:qFormat/>
    <w:rsid w:val="004D6FA5"/>
    <w:pPr>
      <w:spacing w:after="0"/>
    </w:pPr>
  </w:style>
  <w:style w:type="paragraph" w:customStyle="1" w:styleId="AbbreviationDescription">
    <w:name w:val="Abbreviation Description"/>
    <w:basedOn w:val="Normal"/>
    <w:qFormat/>
    <w:rsid w:val="004D6FA5"/>
    <w:pPr>
      <w:spacing w:line="480" w:lineRule="exact"/>
    </w:pPr>
  </w:style>
  <w:style w:type="paragraph" w:styleId="Caption">
    <w:name w:val="caption"/>
    <w:basedOn w:val="Normal"/>
    <w:next w:val="Normal"/>
    <w:uiPriority w:val="35"/>
    <w:qFormat/>
    <w:rsid w:val="004D6FA5"/>
    <w:pPr>
      <w:spacing w:after="40"/>
    </w:pPr>
    <w:rPr>
      <w:rFonts w:ascii="Arial" w:hAnsi="Arial"/>
      <w:b/>
      <w:iCs/>
      <w:color w:val="006C67" w:themeColor="accent1"/>
      <w:sz w:val="24"/>
      <w:szCs w:val="18"/>
    </w:rPr>
  </w:style>
  <w:style w:type="paragraph" w:customStyle="1" w:styleId="font5">
    <w:name w:val="font5"/>
    <w:basedOn w:val="Normal"/>
    <w:rsid w:val="004D6FA5"/>
    <w:pPr>
      <w:spacing w:before="100" w:beforeAutospacing="1" w:after="100" w:afterAutospacing="1"/>
    </w:pPr>
    <w:rPr>
      <w:rFonts w:ascii="Tahoma" w:eastAsia="Times New Roman" w:hAnsi="Tahoma" w:cs="Tahoma"/>
      <w:color w:val="000000"/>
      <w:sz w:val="16"/>
      <w:szCs w:val="16"/>
      <w:lang w:eastAsia="en-GB"/>
    </w:rPr>
  </w:style>
  <w:style w:type="paragraph" w:customStyle="1" w:styleId="xl64">
    <w:name w:val="xl64"/>
    <w:basedOn w:val="Normal"/>
    <w:rsid w:val="004D6FA5"/>
    <w:pPr>
      <w:spacing w:before="100" w:beforeAutospacing="1" w:after="100" w:afterAutospacing="1"/>
      <w:jc w:val="center"/>
      <w:textAlignment w:val="top"/>
    </w:pPr>
    <w:rPr>
      <w:rFonts w:eastAsia="Times New Roman"/>
      <w:b/>
      <w:bCs/>
      <w:sz w:val="24"/>
      <w:szCs w:val="24"/>
      <w:lang w:eastAsia="en-GB"/>
    </w:rPr>
  </w:style>
  <w:style w:type="paragraph" w:customStyle="1" w:styleId="xl65">
    <w:name w:val="xl65"/>
    <w:basedOn w:val="Normal"/>
    <w:rsid w:val="004D6FA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eastAsia="Times New Roman"/>
      <w:b/>
      <w:bCs/>
      <w:sz w:val="24"/>
      <w:szCs w:val="24"/>
      <w:lang w:eastAsia="en-GB"/>
    </w:rPr>
  </w:style>
  <w:style w:type="paragraph" w:customStyle="1" w:styleId="xl66">
    <w:name w:val="xl66"/>
    <w:basedOn w:val="Normal"/>
    <w:rsid w:val="004D6FA5"/>
    <w:pPr>
      <w:spacing w:before="100" w:beforeAutospacing="1" w:after="100" w:afterAutospacing="1"/>
      <w:textAlignment w:val="top"/>
    </w:pPr>
    <w:rPr>
      <w:rFonts w:eastAsia="Times New Roman"/>
      <w:sz w:val="24"/>
      <w:szCs w:val="24"/>
      <w:lang w:eastAsia="en-GB"/>
    </w:rPr>
  </w:style>
  <w:style w:type="paragraph" w:customStyle="1" w:styleId="xl67">
    <w:name w:val="xl67"/>
    <w:basedOn w:val="Normal"/>
    <w:rsid w:val="004D6FA5"/>
    <w:pPr>
      <w:spacing w:before="100" w:beforeAutospacing="1" w:after="100" w:afterAutospacing="1"/>
      <w:jc w:val="center"/>
      <w:textAlignment w:val="top"/>
    </w:pPr>
    <w:rPr>
      <w:rFonts w:eastAsia="Times New Roman"/>
      <w:sz w:val="24"/>
      <w:szCs w:val="24"/>
      <w:lang w:eastAsia="en-GB"/>
    </w:rPr>
  </w:style>
  <w:style w:type="paragraph" w:customStyle="1" w:styleId="xl68">
    <w:name w:val="xl68"/>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69">
    <w:name w:val="xl69"/>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70">
    <w:name w:val="xl70"/>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71">
    <w:name w:val="xl71"/>
    <w:basedOn w:val="Normal"/>
    <w:rsid w:val="004D6FA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i/>
      <w:iCs/>
      <w:sz w:val="24"/>
      <w:szCs w:val="24"/>
      <w:lang w:eastAsia="en-GB"/>
    </w:rPr>
  </w:style>
  <w:style w:type="paragraph" w:customStyle="1" w:styleId="xl72">
    <w:name w:val="xl72"/>
    <w:basedOn w:val="Normal"/>
    <w:rsid w:val="004D6FA5"/>
    <w:pPr>
      <w:spacing w:before="100" w:beforeAutospacing="1" w:after="100" w:afterAutospacing="1"/>
      <w:jc w:val="center"/>
      <w:textAlignment w:val="top"/>
    </w:pPr>
    <w:rPr>
      <w:rFonts w:eastAsia="Times New Roman"/>
      <w:i/>
      <w:iCs/>
      <w:sz w:val="24"/>
      <w:szCs w:val="24"/>
      <w:lang w:eastAsia="en-GB"/>
    </w:rPr>
  </w:style>
  <w:style w:type="paragraph" w:customStyle="1" w:styleId="xl73">
    <w:name w:val="xl73"/>
    <w:basedOn w:val="Normal"/>
    <w:rsid w:val="004D6FA5"/>
    <w:pPr>
      <w:spacing w:before="100" w:beforeAutospacing="1" w:after="100" w:afterAutospacing="1"/>
      <w:textAlignment w:val="top"/>
    </w:pPr>
    <w:rPr>
      <w:rFonts w:eastAsia="Times New Roman"/>
      <w:color w:val="4F81BD"/>
      <w:sz w:val="24"/>
      <w:szCs w:val="24"/>
      <w:lang w:eastAsia="en-GB"/>
    </w:rPr>
  </w:style>
  <w:style w:type="paragraph" w:customStyle="1" w:styleId="xl74">
    <w:name w:val="xl74"/>
    <w:basedOn w:val="Normal"/>
    <w:rsid w:val="004D6FA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eastAsia="Times New Roman"/>
      <w:b/>
      <w:bCs/>
      <w:color w:val="4F81BD"/>
      <w:sz w:val="24"/>
      <w:szCs w:val="24"/>
      <w:lang w:eastAsia="en-GB"/>
    </w:rPr>
  </w:style>
  <w:style w:type="paragraph" w:customStyle="1" w:styleId="xl75">
    <w:name w:val="xl75"/>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6">
    <w:name w:val="xl76"/>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7">
    <w:name w:val="xl77"/>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78">
    <w:name w:val="xl78"/>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9">
    <w:name w:val="xl79"/>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0">
    <w:name w:val="xl80"/>
    <w:basedOn w:val="Normal"/>
    <w:rsid w:val="004D6FA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1">
    <w:name w:val="xl81"/>
    <w:basedOn w:val="Normal"/>
    <w:rsid w:val="004D6FA5"/>
    <w:pPr>
      <w:pBdr>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2">
    <w:name w:val="xl82"/>
    <w:basedOn w:val="Normal"/>
    <w:rsid w:val="004D6FA5"/>
    <w:pPr>
      <w:pBdr>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83">
    <w:name w:val="xl83"/>
    <w:basedOn w:val="Normal"/>
    <w:rsid w:val="004D6FA5"/>
    <w:pPr>
      <w:pBdr>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4">
    <w:name w:val="xl84"/>
    <w:basedOn w:val="Normal"/>
    <w:rsid w:val="004D6FA5"/>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5">
    <w:name w:val="xl85"/>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6">
    <w:name w:val="xl86"/>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87">
    <w:name w:val="xl87"/>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8">
    <w:name w:val="xl88"/>
    <w:basedOn w:val="Normal"/>
    <w:rsid w:val="004D6FA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9">
    <w:name w:val="xl89"/>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0">
    <w:name w:val="xl90"/>
    <w:basedOn w:val="Normal"/>
    <w:rsid w:val="004D6FA5"/>
    <w:pPr>
      <w:pBdr>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1">
    <w:name w:val="xl91"/>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2">
    <w:name w:val="xl92"/>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color w:val="4F81BD"/>
      <w:sz w:val="24"/>
      <w:szCs w:val="24"/>
      <w:lang w:eastAsia="en-GB"/>
    </w:rPr>
  </w:style>
  <w:style w:type="paragraph" w:customStyle="1" w:styleId="xl93">
    <w:name w:val="xl93"/>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4">
    <w:name w:val="xl94"/>
    <w:basedOn w:val="Normal"/>
    <w:rsid w:val="004D6FA5"/>
    <w:pPr>
      <w:pBdr>
        <w:left w:val="single" w:sz="4" w:space="0" w:color="auto"/>
        <w:right w:val="single" w:sz="4" w:space="0" w:color="auto"/>
      </w:pBdr>
      <w:spacing w:before="100" w:beforeAutospacing="1" w:after="100" w:afterAutospacing="1"/>
      <w:jc w:val="center"/>
      <w:textAlignment w:val="top"/>
    </w:pPr>
    <w:rPr>
      <w:rFonts w:eastAsia="Times New Roman"/>
      <w:i/>
      <w:iCs/>
      <w:sz w:val="24"/>
      <w:szCs w:val="24"/>
      <w:lang w:eastAsia="en-GB"/>
    </w:rPr>
  </w:style>
  <w:style w:type="paragraph" w:customStyle="1" w:styleId="xl95">
    <w:name w:val="xl95"/>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6">
    <w:name w:val="xl96"/>
    <w:basedOn w:val="Normal"/>
    <w:rsid w:val="004D6FA5"/>
    <w:pPr>
      <w:spacing w:before="100" w:beforeAutospacing="1" w:after="100" w:afterAutospacing="1"/>
      <w:textAlignment w:val="top"/>
    </w:pPr>
    <w:rPr>
      <w:rFonts w:eastAsia="Times New Roman"/>
      <w:i/>
      <w:iCs/>
      <w:sz w:val="24"/>
      <w:szCs w:val="24"/>
      <w:lang w:eastAsia="en-GB"/>
    </w:rPr>
  </w:style>
  <w:style w:type="paragraph" w:customStyle="1" w:styleId="xl97">
    <w:name w:val="xl97"/>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4F81BD"/>
      <w:sz w:val="24"/>
      <w:szCs w:val="24"/>
      <w:lang w:eastAsia="en-GB"/>
    </w:rPr>
  </w:style>
  <w:style w:type="paragraph" w:customStyle="1" w:styleId="xl98">
    <w:name w:val="xl98"/>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9">
    <w:name w:val="xl99"/>
    <w:basedOn w:val="Normal"/>
    <w:rsid w:val="004D6FA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i/>
      <w:iCs/>
      <w:sz w:val="24"/>
      <w:szCs w:val="24"/>
      <w:lang w:eastAsia="en-GB"/>
    </w:rPr>
  </w:style>
  <w:style w:type="paragraph" w:customStyle="1" w:styleId="xl100">
    <w:name w:val="xl100"/>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101">
    <w:name w:val="xl101"/>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b/>
      <w:bCs/>
      <w:color w:val="FF0000"/>
      <w:sz w:val="24"/>
      <w:szCs w:val="24"/>
      <w:lang w:eastAsia="en-GB"/>
    </w:rPr>
  </w:style>
  <w:style w:type="paragraph" w:customStyle="1" w:styleId="xl102">
    <w:name w:val="xl102"/>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color w:val="4F81BD"/>
      <w:sz w:val="24"/>
      <w:szCs w:val="24"/>
      <w:lang w:eastAsia="en-GB"/>
    </w:rPr>
  </w:style>
  <w:style w:type="paragraph" w:customStyle="1" w:styleId="xl103">
    <w:name w:val="xl103"/>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sz w:val="24"/>
      <w:szCs w:val="24"/>
      <w:lang w:eastAsia="en-GB"/>
    </w:rPr>
  </w:style>
  <w:style w:type="paragraph" w:customStyle="1" w:styleId="xl104">
    <w:name w:val="xl104"/>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b/>
      <w:bCs/>
      <w:color w:val="FF0000"/>
      <w:sz w:val="24"/>
      <w:szCs w:val="24"/>
      <w:lang w:eastAsia="en-GB"/>
    </w:rPr>
  </w:style>
  <w:style w:type="paragraph" w:customStyle="1" w:styleId="xl105">
    <w:name w:val="xl105"/>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olor w:val="4F81BD"/>
      <w:sz w:val="24"/>
      <w:szCs w:val="24"/>
      <w:lang w:eastAsia="en-GB"/>
    </w:rPr>
  </w:style>
  <w:style w:type="paragraph" w:customStyle="1" w:styleId="xl106">
    <w:name w:val="xl106"/>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sz w:val="24"/>
      <w:szCs w:val="24"/>
      <w:lang w:eastAsia="en-GB"/>
    </w:rPr>
  </w:style>
  <w:style w:type="paragraph" w:customStyle="1" w:styleId="xl107">
    <w:name w:val="xl107"/>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sz w:val="24"/>
      <w:szCs w:val="24"/>
      <w:lang w:eastAsia="en-GB"/>
    </w:rPr>
  </w:style>
  <w:style w:type="paragraph" w:customStyle="1" w:styleId="xl108">
    <w:name w:val="xl108"/>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sz w:val="24"/>
      <w:szCs w:val="24"/>
      <w:lang w:eastAsia="en-GB"/>
    </w:rPr>
  </w:style>
  <w:style w:type="paragraph" w:customStyle="1" w:styleId="xl109">
    <w:name w:val="xl109"/>
    <w:basedOn w:val="Normal"/>
    <w:rsid w:val="004D6FA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0">
    <w:name w:val="xl110"/>
    <w:basedOn w:val="Normal"/>
    <w:rsid w:val="004D6FA5"/>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1">
    <w:name w:val="xl111"/>
    <w:basedOn w:val="Normal"/>
    <w:rsid w:val="004D6FA5"/>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2">
    <w:name w:val="xl112"/>
    <w:basedOn w:val="Normal"/>
    <w:rsid w:val="004D6FA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3">
    <w:name w:val="xl113"/>
    <w:basedOn w:val="Normal"/>
    <w:rsid w:val="004D6FA5"/>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4">
    <w:name w:val="xl114"/>
    <w:basedOn w:val="Normal"/>
    <w:rsid w:val="004D6FA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4F81BD"/>
      <w:sz w:val="24"/>
      <w:szCs w:val="24"/>
      <w:lang w:eastAsia="en-GB"/>
    </w:rPr>
  </w:style>
  <w:style w:type="paragraph" w:customStyle="1" w:styleId="xl115">
    <w:name w:val="xl115"/>
    <w:basedOn w:val="Normal"/>
    <w:rsid w:val="004D6FA5"/>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4F81BD"/>
      <w:sz w:val="24"/>
      <w:szCs w:val="24"/>
      <w:lang w:eastAsia="en-GB"/>
    </w:rPr>
  </w:style>
  <w:style w:type="character" w:styleId="CommentReference">
    <w:name w:val="annotation reference"/>
    <w:basedOn w:val="DefaultParagraphFont"/>
    <w:uiPriority w:val="99"/>
    <w:semiHidden/>
    <w:unhideWhenUsed/>
    <w:rsid w:val="004D6FA5"/>
    <w:rPr>
      <w:sz w:val="16"/>
      <w:szCs w:val="16"/>
    </w:rPr>
  </w:style>
  <w:style w:type="paragraph" w:styleId="CommentText">
    <w:name w:val="annotation text"/>
    <w:basedOn w:val="Normal"/>
    <w:link w:val="CommentTextChar"/>
    <w:uiPriority w:val="99"/>
    <w:semiHidden/>
    <w:unhideWhenUsed/>
    <w:rsid w:val="004D6FA5"/>
    <w:rPr>
      <w:szCs w:val="20"/>
    </w:rPr>
  </w:style>
  <w:style w:type="character" w:customStyle="1" w:styleId="CommentTextChar">
    <w:name w:val="Comment Text Char"/>
    <w:basedOn w:val="DefaultParagraphFont"/>
    <w:link w:val="CommentText"/>
    <w:uiPriority w:val="99"/>
    <w:semiHidden/>
    <w:rsid w:val="004D6FA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D6FA5"/>
    <w:rPr>
      <w:b/>
      <w:bCs/>
    </w:rPr>
  </w:style>
  <w:style w:type="character" w:customStyle="1" w:styleId="CommentSubjectChar">
    <w:name w:val="Comment Subject Char"/>
    <w:basedOn w:val="CommentTextChar"/>
    <w:link w:val="CommentSubject"/>
    <w:uiPriority w:val="99"/>
    <w:semiHidden/>
    <w:rsid w:val="004D6FA5"/>
    <w:rPr>
      <w:rFonts w:ascii="Times New Roman" w:hAnsi="Times New Roman"/>
      <w:b/>
      <w:bCs/>
      <w:lang w:eastAsia="en-US"/>
    </w:rPr>
  </w:style>
  <w:style w:type="paragraph" w:styleId="TableofFigures">
    <w:name w:val="table of figures"/>
    <w:basedOn w:val="Normal"/>
    <w:next w:val="Normal"/>
    <w:uiPriority w:val="99"/>
    <w:unhideWhenUsed/>
    <w:rsid w:val="004D6FA5"/>
    <w:pPr>
      <w:spacing w:after="60"/>
    </w:pPr>
    <w:rPr>
      <w:rFonts w:ascii="Arial" w:hAnsi="Arial"/>
    </w:rPr>
  </w:style>
  <w:style w:type="paragraph" w:styleId="TOC2">
    <w:name w:val="toc 2"/>
    <w:basedOn w:val="Normal"/>
    <w:next w:val="Normal"/>
    <w:autoRedefine/>
    <w:uiPriority w:val="39"/>
    <w:unhideWhenUsed/>
    <w:rsid w:val="004D6FA5"/>
    <w:pPr>
      <w:tabs>
        <w:tab w:val="right" w:pos="8830"/>
      </w:tabs>
      <w:spacing w:before="60" w:after="60"/>
      <w:ind w:right="432"/>
    </w:pPr>
    <w:rPr>
      <w:rFonts w:ascii="Arial" w:hAnsi="Arial"/>
      <w:b/>
      <w:color w:val="006C67" w:themeColor="accent1"/>
    </w:rPr>
  </w:style>
  <w:style w:type="paragraph" w:styleId="TOC1">
    <w:name w:val="toc 1"/>
    <w:basedOn w:val="Normal"/>
    <w:next w:val="Normal"/>
    <w:autoRedefine/>
    <w:uiPriority w:val="39"/>
    <w:unhideWhenUsed/>
    <w:rsid w:val="004D6FA5"/>
    <w:pPr>
      <w:tabs>
        <w:tab w:val="right" w:pos="8830"/>
      </w:tabs>
      <w:spacing w:before="100" w:after="100"/>
    </w:pPr>
    <w:rPr>
      <w:rFonts w:ascii="Arial" w:hAnsi="Arial"/>
      <w:b/>
      <w:color w:val="006C67" w:themeColor="accent1"/>
      <w:sz w:val="24"/>
    </w:rPr>
  </w:style>
  <w:style w:type="paragraph" w:styleId="TOC3">
    <w:name w:val="toc 3"/>
    <w:basedOn w:val="Normal"/>
    <w:next w:val="Normal"/>
    <w:autoRedefine/>
    <w:uiPriority w:val="39"/>
    <w:unhideWhenUsed/>
    <w:rsid w:val="00246C81"/>
    <w:pPr>
      <w:tabs>
        <w:tab w:val="right" w:pos="8830"/>
      </w:tabs>
      <w:spacing w:after="40"/>
      <w:ind w:right="36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6FA5"/>
    <w:rPr>
      <w:rFonts w:ascii="Times New Roman" w:hAnsi="Times New Roman"/>
      <w:szCs w:val="22"/>
      <w:lang w:eastAsia="en-US"/>
    </w:rPr>
  </w:style>
  <w:style w:type="paragraph" w:styleId="Heading1">
    <w:name w:val="heading 1"/>
    <w:basedOn w:val="Normal"/>
    <w:next w:val="BodyText"/>
    <w:link w:val="Heading1Char"/>
    <w:uiPriority w:val="9"/>
    <w:qFormat/>
    <w:rsid w:val="004D6FA5"/>
    <w:pPr>
      <w:keepNext/>
      <w:keepLines/>
      <w:spacing w:after="800"/>
      <w:outlineLvl w:val="0"/>
    </w:pPr>
    <w:rPr>
      <w:rFonts w:ascii="Arial" w:eastAsia="Times New Roman" w:hAnsi="Arial"/>
      <w:b/>
      <w:bCs/>
      <w:color w:val="006C67" w:themeColor="accent1"/>
      <w:sz w:val="60"/>
      <w:szCs w:val="28"/>
    </w:rPr>
  </w:style>
  <w:style w:type="paragraph" w:styleId="Heading2">
    <w:name w:val="heading 2"/>
    <w:basedOn w:val="Heading1"/>
    <w:next w:val="BodyText"/>
    <w:link w:val="Heading2Char"/>
    <w:uiPriority w:val="9"/>
    <w:unhideWhenUsed/>
    <w:qFormat/>
    <w:rsid w:val="004D6FA5"/>
    <w:pPr>
      <w:numPr>
        <w:ilvl w:val="1"/>
      </w:numPr>
      <w:spacing w:after="250"/>
      <w:outlineLvl w:val="1"/>
    </w:pPr>
    <w:rPr>
      <w:bCs w:val="0"/>
      <w:sz w:val="28"/>
      <w:szCs w:val="26"/>
    </w:rPr>
  </w:style>
  <w:style w:type="paragraph" w:styleId="Heading3">
    <w:name w:val="heading 3"/>
    <w:basedOn w:val="Heading2"/>
    <w:next w:val="BodyText"/>
    <w:link w:val="Heading3Char"/>
    <w:uiPriority w:val="9"/>
    <w:unhideWhenUsed/>
    <w:qFormat/>
    <w:rsid w:val="004D6FA5"/>
    <w:pPr>
      <w:numPr>
        <w:ilvl w:val="2"/>
      </w:numPr>
      <w:spacing w:before="250" w:after="0"/>
      <w:outlineLvl w:val="2"/>
    </w:pPr>
    <w:rPr>
      <w:bCs/>
      <w:color w:val="auto"/>
      <w:sz w:val="20"/>
    </w:rPr>
  </w:style>
  <w:style w:type="paragraph" w:styleId="Heading4">
    <w:name w:val="heading 4"/>
    <w:basedOn w:val="Heading3"/>
    <w:next w:val="BodyText"/>
    <w:link w:val="Heading4Char"/>
    <w:uiPriority w:val="9"/>
    <w:unhideWhenUsed/>
    <w:qFormat/>
    <w:rsid w:val="004D6FA5"/>
    <w:pPr>
      <w:numPr>
        <w:ilvl w:val="0"/>
      </w:numPr>
      <w:spacing w:before="0"/>
      <w:outlineLvl w:val="3"/>
    </w:pPr>
    <w:rPr>
      <w:bCs w:val="0"/>
      <w:i/>
      <w:iCs/>
      <w:sz w:val="18"/>
    </w:rPr>
  </w:style>
  <w:style w:type="paragraph" w:styleId="Heading5">
    <w:name w:val="heading 5"/>
    <w:basedOn w:val="Heading4"/>
    <w:next w:val="BodyText"/>
    <w:link w:val="Heading5Char"/>
    <w:uiPriority w:val="9"/>
    <w:semiHidden/>
    <w:rsid w:val="004D6FA5"/>
    <w:pPr>
      <w:outlineLvl w:val="4"/>
    </w:pPr>
    <w:rPr>
      <w:b w:val="0"/>
      <w:i w:val="0"/>
    </w:rPr>
  </w:style>
  <w:style w:type="paragraph" w:styleId="Heading6">
    <w:name w:val="heading 6"/>
    <w:basedOn w:val="Normal"/>
    <w:next w:val="BodyText"/>
    <w:link w:val="Heading6Char"/>
    <w:uiPriority w:val="9"/>
    <w:semiHidden/>
    <w:qFormat/>
    <w:rsid w:val="004D6FA5"/>
    <w:pPr>
      <w:keepNext/>
      <w:keepLines/>
      <w:spacing w:before="200"/>
      <w:outlineLvl w:val="5"/>
    </w:pPr>
    <w:rPr>
      <w:rFonts w:eastAsia="Times New Roman"/>
      <w:i/>
      <w:iCs/>
    </w:rPr>
  </w:style>
  <w:style w:type="paragraph" w:styleId="Heading7">
    <w:name w:val="heading 7"/>
    <w:basedOn w:val="Normal"/>
    <w:next w:val="Normal"/>
    <w:link w:val="Heading7Char"/>
    <w:uiPriority w:val="9"/>
    <w:semiHidden/>
    <w:rsid w:val="004D6FA5"/>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6FA5"/>
    <w:pPr>
      <w:spacing w:after="190" w:line="250" w:lineRule="atLeast"/>
      <w:jc w:val="both"/>
    </w:pPr>
  </w:style>
  <w:style w:type="character" w:customStyle="1" w:styleId="BodyTextChar">
    <w:name w:val="Body Text Char"/>
    <w:link w:val="BodyText"/>
    <w:rsid w:val="004D6FA5"/>
    <w:rPr>
      <w:rFonts w:ascii="Times New Roman" w:hAnsi="Times New Roman"/>
      <w:szCs w:val="22"/>
      <w:lang w:eastAsia="en-US"/>
    </w:rPr>
  </w:style>
  <w:style w:type="character" w:customStyle="1" w:styleId="Heading1Char">
    <w:name w:val="Heading 1 Char"/>
    <w:link w:val="Heading1"/>
    <w:uiPriority w:val="9"/>
    <w:rsid w:val="004D6FA5"/>
    <w:rPr>
      <w:rFonts w:ascii="Arial" w:eastAsia="Times New Roman" w:hAnsi="Arial"/>
      <w:b/>
      <w:bCs/>
      <w:color w:val="006C67" w:themeColor="accent1"/>
      <w:sz w:val="60"/>
      <w:szCs w:val="28"/>
      <w:lang w:eastAsia="en-US"/>
    </w:rPr>
  </w:style>
  <w:style w:type="character" w:customStyle="1" w:styleId="Heading2Char">
    <w:name w:val="Heading 2 Char"/>
    <w:link w:val="Heading2"/>
    <w:uiPriority w:val="9"/>
    <w:rsid w:val="004D6FA5"/>
    <w:rPr>
      <w:rFonts w:ascii="Arial" w:eastAsia="Times New Roman" w:hAnsi="Arial"/>
      <w:b/>
      <w:color w:val="006C67" w:themeColor="accent1"/>
      <w:sz w:val="28"/>
      <w:szCs w:val="26"/>
      <w:lang w:eastAsia="en-US"/>
    </w:rPr>
  </w:style>
  <w:style w:type="character" w:customStyle="1" w:styleId="Heading3Char">
    <w:name w:val="Heading 3 Char"/>
    <w:link w:val="Heading3"/>
    <w:uiPriority w:val="9"/>
    <w:rsid w:val="004D6FA5"/>
    <w:rPr>
      <w:rFonts w:ascii="Arial" w:eastAsia="Times New Roman" w:hAnsi="Arial"/>
      <w:b/>
      <w:bCs/>
      <w:szCs w:val="26"/>
      <w:lang w:eastAsia="en-US"/>
    </w:rPr>
  </w:style>
  <w:style w:type="character" w:customStyle="1" w:styleId="Heading4Char">
    <w:name w:val="Heading 4 Char"/>
    <w:link w:val="Heading4"/>
    <w:uiPriority w:val="9"/>
    <w:rsid w:val="004D6FA5"/>
    <w:rPr>
      <w:rFonts w:ascii="Arial" w:eastAsia="Times New Roman" w:hAnsi="Arial"/>
      <w:b/>
      <w:i/>
      <w:iCs/>
      <w:sz w:val="18"/>
      <w:szCs w:val="26"/>
      <w:lang w:eastAsia="en-US"/>
    </w:rPr>
  </w:style>
  <w:style w:type="character" w:customStyle="1" w:styleId="Heading5Char">
    <w:name w:val="Heading 5 Char"/>
    <w:link w:val="Heading5"/>
    <w:uiPriority w:val="9"/>
    <w:semiHidden/>
    <w:rsid w:val="004D6FA5"/>
    <w:rPr>
      <w:rFonts w:ascii="Arial" w:eastAsia="Times New Roman" w:hAnsi="Arial"/>
      <w:iCs/>
      <w:sz w:val="18"/>
      <w:szCs w:val="26"/>
      <w:lang w:eastAsia="en-US"/>
    </w:rPr>
  </w:style>
  <w:style w:type="character" w:customStyle="1" w:styleId="Heading6Char">
    <w:name w:val="Heading 6 Char"/>
    <w:link w:val="Heading6"/>
    <w:uiPriority w:val="9"/>
    <w:semiHidden/>
    <w:rsid w:val="004D6FA5"/>
    <w:rPr>
      <w:rFonts w:ascii="Times New Roman" w:eastAsia="Times New Roman" w:hAnsi="Times New Roman"/>
      <w:i/>
      <w:iCs/>
      <w:szCs w:val="22"/>
      <w:lang w:eastAsia="en-US"/>
    </w:rPr>
  </w:style>
  <w:style w:type="paragraph" w:styleId="ListNumber">
    <w:name w:val="List Number"/>
    <w:basedOn w:val="Normal"/>
    <w:uiPriority w:val="99"/>
    <w:unhideWhenUsed/>
    <w:qFormat/>
    <w:rsid w:val="004D6FA5"/>
    <w:pPr>
      <w:numPr>
        <w:numId w:val="9"/>
      </w:numPr>
      <w:spacing w:line="250" w:lineRule="atLeast"/>
      <w:jc w:val="both"/>
    </w:pPr>
  </w:style>
  <w:style w:type="paragraph" w:styleId="ListNumber2">
    <w:name w:val="List Number 2"/>
    <w:basedOn w:val="ListNumber"/>
    <w:uiPriority w:val="99"/>
    <w:unhideWhenUsed/>
    <w:qFormat/>
    <w:rsid w:val="004D6FA5"/>
    <w:pPr>
      <w:numPr>
        <w:ilvl w:val="1"/>
      </w:numPr>
    </w:pPr>
  </w:style>
  <w:style w:type="paragraph" w:styleId="ListNumber3">
    <w:name w:val="List Number 3"/>
    <w:basedOn w:val="ListNumber2"/>
    <w:uiPriority w:val="99"/>
    <w:unhideWhenUsed/>
    <w:qFormat/>
    <w:rsid w:val="004D6FA5"/>
    <w:pPr>
      <w:numPr>
        <w:ilvl w:val="2"/>
      </w:numPr>
    </w:pPr>
  </w:style>
  <w:style w:type="paragraph" w:styleId="ListContinue">
    <w:name w:val="List Continue"/>
    <w:basedOn w:val="Normal"/>
    <w:uiPriority w:val="99"/>
    <w:unhideWhenUsed/>
    <w:qFormat/>
    <w:rsid w:val="004D6FA5"/>
    <w:pPr>
      <w:spacing w:line="250" w:lineRule="atLeast"/>
      <w:ind w:left="567" w:right="567"/>
      <w:jc w:val="both"/>
    </w:pPr>
  </w:style>
  <w:style w:type="paragraph" w:styleId="ListContinue2">
    <w:name w:val="List Continue 2"/>
    <w:basedOn w:val="Normal"/>
    <w:uiPriority w:val="99"/>
    <w:unhideWhenUsed/>
    <w:qFormat/>
    <w:rsid w:val="004D6FA5"/>
    <w:pPr>
      <w:spacing w:line="250" w:lineRule="atLeast"/>
      <w:ind w:left="851" w:right="567"/>
      <w:jc w:val="both"/>
    </w:pPr>
  </w:style>
  <w:style w:type="paragraph" w:styleId="ListContinue3">
    <w:name w:val="List Continue 3"/>
    <w:basedOn w:val="Normal"/>
    <w:uiPriority w:val="99"/>
    <w:unhideWhenUsed/>
    <w:qFormat/>
    <w:rsid w:val="004D6FA5"/>
    <w:pPr>
      <w:spacing w:line="250" w:lineRule="atLeast"/>
      <w:ind w:left="1134" w:right="567"/>
      <w:jc w:val="both"/>
    </w:pPr>
  </w:style>
  <w:style w:type="paragraph" w:styleId="ListBullet">
    <w:name w:val="List Bullet"/>
    <w:basedOn w:val="Normal"/>
    <w:uiPriority w:val="99"/>
    <w:unhideWhenUsed/>
    <w:qFormat/>
    <w:rsid w:val="004D6FA5"/>
    <w:pPr>
      <w:numPr>
        <w:numId w:val="4"/>
      </w:numPr>
      <w:spacing w:line="250" w:lineRule="atLeast"/>
      <w:ind w:right="567"/>
      <w:jc w:val="both"/>
    </w:pPr>
  </w:style>
  <w:style w:type="paragraph" w:styleId="ListBullet2">
    <w:name w:val="List Bullet 2"/>
    <w:basedOn w:val="ListBullet"/>
    <w:uiPriority w:val="99"/>
    <w:unhideWhenUsed/>
    <w:qFormat/>
    <w:rsid w:val="004D6FA5"/>
    <w:pPr>
      <w:numPr>
        <w:ilvl w:val="1"/>
      </w:numPr>
    </w:pPr>
  </w:style>
  <w:style w:type="character" w:customStyle="1" w:styleId="Heading7Char">
    <w:name w:val="Heading 7 Char"/>
    <w:link w:val="Heading7"/>
    <w:uiPriority w:val="9"/>
    <w:semiHidden/>
    <w:rsid w:val="004D6FA5"/>
    <w:rPr>
      <w:rFonts w:eastAsia="Times New Roman"/>
      <w:i/>
      <w:iCs/>
      <w:color w:val="404040"/>
      <w:szCs w:val="22"/>
      <w:lang w:eastAsia="en-US"/>
    </w:rPr>
  </w:style>
  <w:style w:type="paragraph" w:styleId="Footer">
    <w:name w:val="footer"/>
    <w:basedOn w:val="Normal"/>
    <w:link w:val="FooterChar"/>
    <w:uiPriority w:val="99"/>
    <w:unhideWhenUsed/>
    <w:rsid w:val="004D6FA5"/>
    <w:pPr>
      <w:ind w:right="-2835"/>
      <w:jc w:val="right"/>
    </w:pPr>
    <w:rPr>
      <w:rFonts w:ascii="Arial" w:hAnsi="Arial"/>
      <w:sz w:val="15"/>
    </w:rPr>
  </w:style>
  <w:style w:type="character" w:customStyle="1" w:styleId="FooterChar">
    <w:name w:val="Footer Char"/>
    <w:link w:val="Footer"/>
    <w:uiPriority w:val="99"/>
    <w:rsid w:val="004D6FA5"/>
    <w:rPr>
      <w:rFonts w:ascii="Arial" w:hAnsi="Arial"/>
      <w:sz w:val="15"/>
      <w:szCs w:val="22"/>
      <w:lang w:eastAsia="en-US"/>
    </w:rPr>
  </w:style>
  <w:style w:type="paragraph" w:styleId="Header">
    <w:name w:val="header"/>
    <w:basedOn w:val="Normal"/>
    <w:link w:val="HeaderChar"/>
    <w:uiPriority w:val="99"/>
    <w:unhideWhenUsed/>
    <w:rsid w:val="004D6FA5"/>
    <w:pPr>
      <w:tabs>
        <w:tab w:val="center" w:pos="4680"/>
        <w:tab w:val="right" w:pos="9360"/>
      </w:tabs>
      <w:jc w:val="right"/>
    </w:pPr>
    <w:rPr>
      <w:rFonts w:ascii="Arial" w:hAnsi="Arial"/>
      <w:sz w:val="16"/>
    </w:rPr>
  </w:style>
  <w:style w:type="character" w:customStyle="1" w:styleId="HeaderChar">
    <w:name w:val="Header Char"/>
    <w:link w:val="Header"/>
    <w:uiPriority w:val="99"/>
    <w:rsid w:val="004D6FA5"/>
    <w:rPr>
      <w:rFonts w:ascii="Arial" w:hAnsi="Arial"/>
      <w:sz w:val="16"/>
      <w:szCs w:val="22"/>
      <w:lang w:eastAsia="en-US"/>
    </w:rPr>
  </w:style>
  <w:style w:type="character" w:styleId="PageNumber">
    <w:name w:val="page number"/>
    <w:uiPriority w:val="99"/>
    <w:semiHidden/>
    <w:unhideWhenUsed/>
    <w:rsid w:val="004D6FA5"/>
    <w:rPr>
      <w:rFonts w:ascii="Arial" w:hAnsi="Arial"/>
      <w:sz w:val="20"/>
    </w:rPr>
  </w:style>
  <w:style w:type="table" w:customStyle="1" w:styleId="Blank">
    <w:name w:val="Blank"/>
    <w:basedOn w:val="TableNormal"/>
    <w:uiPriority w:val="99"/>
    <w:rsid w:val="004D6FA5"/>
    <w:tblPr>
      <w:tblCellMar>
        <w:left w:w="0" w:type="dxa"/>
        <w:right w:w="0" w:type="dxa"/>
      </w:tblCellMar>
    </w:tblPr>
  </w:style>
  <w:style w:type="paragraph" w:styleId="BalloonText">
    <w:name w:val="Balloon Text"/>
    <w:basedOn w:val="Normal"/>
    <w:link w:val="BalloonTextChar"/>
    <w:uiPriority w:val="99"/>
    <w:semiHidden/>
    <w:unhideWhenUsed/>
    <w:rsid w:val="004D6FA5"/>
    <w:rPr>
      <w:rFonts w:ascii="Tahoma" w:hAnsi="Tahoma" w:cs="Tahoma"/>
      <w:sz w:val="16"/>
      <w:szCs w:val="16"/>
    </w:rPr>
  </w:style>
  <w:style w:type="character" w:customStyle="1" w:styleId="BalloonTextChar">
    <w:name w:val="Balloon Text Char"/>
    <w:basedOn w:val="DefaultParagraphFont"/>
    <w:link w:val="BalloonText"/>
    <w:uiPriority w:val="99"/>
    <w:semiHidden/>
    <w:rsid w:val="004D6FA5"/>
    <w:rPr>
      <w:rFonts w:ascii="Tahoma" w:hAnsi="Tahoma" w:cs="Tahoma"/>
      <w:sz w:val="16"/>
      <w:szCs w:val="16"/>
      <w:lang w:eastAsia="en-US"/>
    </w:rPr>
  </w:style>
  <w:style w:type="table" w:styleId="TableGrid">
    <w:name w:val="Table Grid"/>
    <w:basedOn w:val="TableNormal"/>
    <w:uiPriority w:val="59"/>
    <w:rsid w:val="004D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FA5"/>
    <w:rPr>
      <w:color w:val="0000FF"/>
      <w:u w:val="single"/>
    </w:rPr>
  </w:style>
  <w:style w:type="character" w:styleId="FollowedHyperlink">
    <w:name w:val="FollowedHyperlink"/>
    <w:basedOn w:val="DefaultParagraphFont"/>
    <w:uiPriority w:val="99"/>
    <w:semiHidden/>
    <w:unhideWhenUsed/>
    <w:rsid w:val="004D6FA5"/>
    <w:rPr>
      <w:color w:val="800080"/>
      <w:u w:val="single"/>
    </w:rPr>
  </w:style>
  <w:style w:type="numbering" w:customStyle="1" w:styleId="ODIHeadings">
    <w:name w:val="ODI Headings"/>
    <w:basedOn w:val="NoList"/>
    <w:uiPriority w:val="99"/>
    <w:rsid w:val="004D6FA5"/>
    <w:pPr>
      <w:numPr>
        <w:numId w:val="7"/>
      </w:numPr>
    </w:pPr>
  </w:style>
  <w:style w:type="paragraph" w:customStyle="1" w:styleId="Strapline">
    <w:name w:val="Strapline"/>
    <w:basedOn w:val="Normal"/>
    <w:rsid w:val="004D6FA5"/>
    <w:pPr>
      <w:spacing w:before="100" w:after="100"/>
    </w:pPr>
    <w:rPr>
      <w:rFonts w:ascii="Arial" w:hAnsi="Arial"/>
      <w:color w:val="006C67" w:themeColor="accent1"/>
      <w:sz w:val="24"/>
    </w:rPr>
  </w:style>
  <w:style w:type="paragraph" w:customStyle="1" w:styleId="TableHeading">
    <w:name w:val="Table Heading"/>
    <w:basedOn w:val="Normal"/>
    <w:next w:val="BodyText"/>
    <w:qFormat/>
    <w:rsid w:val="00F216AF"/>
    <w:pPr>
      <w:numPr>
        <w:numId w:val="16"/>
      </w:numPr>
      <w:spacing w:before="250" w:after="40"/>
    </w:pPr>
    <w:rPr>
      <w:rFonts w:ascii="Arial" w:hAnsi="Arial"/>
      <w:b/>
      <w:color w:val="006C67" w:themeColor="accent1"/>
      <w:sz w:val="24"/>
    </w:rPr>
  </w:style>
  <w:style w:type="numbering" w:customStyle="1" w:styleId="ODITableHeadings">
    <w:name w:val="ODI Table Headings"/>
    <w:basedOn w:val="NoList"/>
    <w:uiPriority w:val="99"/>
    <w:rsid w:val="004D6FA5"/>
    <w:pPr>
      <w:numPr>
        <w:numId w:val="11"/>
      </w:numPr>
    </w:pPr>
  </w:style>
  <w:style w:type="paragraph" w:customStyle="1" w:styleId="FigureHeading">
    <w:name w:val="Figure Heading"/>
    <w:basedOn w:val="Normal"/>
    <w:next w:val="BodyText"/>
    <w:qFormat/>
    <w:rsid w:val="00F216AF"/>
    <w:pPr>
      <w:numPr>
        <w:numId w:val="15"/>
      </w:numPr>
      <w:spacing w:before="250" w:after="40"/>
    </w:pPr>
    <w:rPr>
      <w:rFonts w:ascii="Arial" w:hAnsi="Arial"/>
      <w:b/>
      <w:color w:val="006C67" w:themeColor="accent1"/>
      <w:sz w:val="24"/>
    </w:rPr>
  </w:style>
  <w:style w:type="numbering" w:customStyle="1" w:styleId="ODIFigureHeadings">
    <w:name w:val="ODI Figure Headings"/>
    <w:basedOn w:val="NoList"/>
    <w:uiPriority w:val="99"/>
    <w:rsid w:val="004D6FA5"/>
    <w:pPr>
      <w:numPr>
        <w:numId w:val="6"/>
      </w:numPr>
    </w:pPr>
  </w:style>
  <w:style w:type="paragraph" w:customStyle="1" w:styleId="BoxHeading">
    <w:name w:val="Box Heading"/>
    <w:basedOn w:val="Normal"/>
    <w:next w:val="BoxText"/>
    <w:qFormat/>
    <w:rsid w:val="004D6FA5"/>
    <w:pPr>
      <w:spacing w:after="113"/>
    </w:pPr>
    <w:rPr>
      <w:rFonts w:ascii="Arial" w:hAnsi="Arial"/>
      <w:b/>
      <w:color w:val="006C67" w:themeColor="accent1"/>
      <w:sz w:val="22"/>
    </w:rPr>
  </w:style>
  <w:style w:type="numbering" w:customStyle="1" w:styleId="ODIBoxHeadings">
    <w:name w:val="ODI Box Headings"/>
    <w:basedOn w:val="NoList"/>
    <w:uiPriority w:val="99"/>
    <w:rsid w:val="004D6FA5"/>
    <w:pPr>
      <w:numPr>
        <w:numId w:val="3"/>
      </w:numPr>
    </w:pPr>
  </w:style>
  <w:style w:type="paragraph" w:customStyle="1" w:styleId="Abbreviation">
    <w:name w:val="Abbreviation"/>
    <w:basedOn w:val="Normal"/>
    <w:qFormat/>
    <w:rsid w:val="004D6FA5"/>
    <w:pPr>
      <w:spacing w:line="480" w:lineRule="exact"/>
    </w:pPr>
    <w:rPr>
      <w:rFonts w:ascii="Arial" w:hAnsi="Arial"/>
      <w:color w:val="006C67" w:themeColor="accent1"/>
    </w:rPr>
  </w:style>
  <w:style w:type="paragraph" w:styleId="FootnoteText">
    <w:name w:val="footnote text"/>
    <w:basedOn w:val="Normal"/>
    <w:link w:val="FootnoteTextChar"/>
    <w:uiPriority w:val="99"/>
    <w:qFormat/>
    <w:rsid w:val="004D6FA5"/>
    <w:rPr>
      <w:sz w:val="16"/>
      <w:szCs w:val="20"/>
    </w:rPr>
  </w:style>
  <w:style w:type="character" w:customStyle="1" w:styleId="FootnoteTextChar">
    <w:name w:val="Footnote Text Char"/>
    <w:basedOn w:val="DefaultParagraphFont"/>
    <w:link w:val="FootnoteText"/>
    <w:uiPriority w:val="99"/>
    <w:rsid w:val="004D6FA5"/>
    <w:rPr>
      <w:rFonts w:ascii="Times New Roman" w:hAnsi="Times New Roman"/>
      <w:sz w:val="16"/>
      <w:lang w:eastAsia="en-US"/>
    </w:rPr>
  </w:style>
  <w:style w:type="character" w:styleId="FootnoteReference">
    <w:name w:val="footnote reference"/>
    <w:basedOn w:val="DefaultParagraphFont"/>
    <w:uiPriority w:val="99"/>
    <w:qFormat/>
    <w:rsid w:val="004D6FA5"/>
    <w:rPr>
      <w:rFonts w:asciiTheme="minorHAnsi" w:hAnsiTheme="minorHAnsi"/>
      <w:sz w:val="19"/>
      <w:vertAlign w:val="superscript"/>
    </w:rPr>
  </w:style>
  <w:style w:type="numbering" w:customStyle="1" w:styleId="ODIBullets">
    <w:name w:val="ODI Bullets"/>
    <w:basedOn w:val="NoList"/>
    <w:uiPriority w:val="99"/>
    <w:rsid w:val="004D6FA5"/>
    <w:pPr>
      <w:numPr>
        <w:numId w:val="4"/>
      </w:numPr>
    </w:pPr>
  </w:style>
  <w:style w:type="paragraph" w:customStyle="1" w:styleId="LastBullet">
    <w:name w:val="Last Bullet"/>
    <w:basedOn w:val="ListBullet"/>
    <w:next w:val="BodyText"/>
    <w:qFormat/>
    <w:rsid w:val="004D6FA5"/>
    <w:pPr>
      <w:numPr>
        <w:numId w:val="8"/>
      </w:numPr>
      <w:spacing w:after="190"/>
    </w:pPr>
  </w:style>
  <w:style w:type="numbering" w:customStyle="1" w:styleId="ODILastBullet">
    <w:name w:val="ODI Last Bullet"/>
    <w:basedOn w:val="ODIBullets"/>
    <w:uiPriority w:val="99"/>
    <w:rsid w:val="004D6FA5"/>
    <w:pPr>
      <w:numPr>
        <w:numId w:val="8"/>
      </w:numPr>
    </w:pPr>
  </w:style>
  <w:style w:type="table" w:customStyle="1" w:styleId="ODITable">
    <w:name w:val="ODI Table"/>
    <w:basedOn w:val="TableNormal"/>
    <w:uiPriority w:val="99"/>
    <w:rsid w:val="004D6FA5"/>
    <w:rPr>
      <w:rFonts w:asciiTheme="majorHAnsi" w:hAnsiTheme="majorHAnsi"/>
      <w:sz w:val="17"/>
    </w:rPr>
    <w:tblPr>
      <w:tblStyleRowBandSize w:val="1"/>
      <w:tblInd w:w="113" w:type="dxa"/>
      <w:tblBorders>
        <w:bottom w:val="single" w:sz="4" w:space="0" w:color="auto"/>
        <w:insideH w:val="single" w:sz="4" w:space="0" w:color="auto"/>
      </w:tblBorders>
      <w:tblCellMar>
        <w:top w:w="113" w:type="dxa"/>
        <w:bottom w:w="113"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4D6FA5"/>
    <w:pPr>
      <w:spacing w:line="220" w:lineRule="atLeast"/>
    </w:pPr>
    <w:rPr>
      <w:rFonts w:ascii="Arial" w:hAnsi="Arial"/>
      <w:sz w:val="17"/>
    </w:rPr>
  </w:style>
  <w:style w:type="paragraph" w:customStyle="1" w:styleId="ColumnHeading">
    <w:name w:val="Column Heading"/>
    <w:basedOn w:val="Normal"/>
    <w:next w:val="TableText"/>
    <w:qFormat/>
    <w:rsid w:val="004D6FA5"/>
    <w:rPr>
      <w:rFonts w:ascii="Arial" w:hAnsi="Arial"/>
      <w:b/>
      <w:sz w:val="17"/>
    </w:rPr>
  </w:style>
  <w:style w:type="paragraph" w:customStyle="1" w:styleId="TableBullet">
    <w:name w:val="Table Bullet"/>
    <w:basedOn w:val="TableText"/>
    <w:qFormat/>
    <w:rsid w:val="004D6FA5"/>
    <w:pPr>
      <w:numPr>
        <w:numId w:val="12"/>
      </w:numPr>
    </w:pPr>
  </w:style>
  <w:style w:type="numbering" w:customStyle="1" w:styleId="ODITableBullet">
    <w:name w:val="ODI Table Bullet"/>
    <w:basedOn w:val="NoList"/>
    <w:uiPriority w:val="99"/>
    <w:rsid w:val="004D6FA5"/>
    <w:pPr>
      <w:numPr>
        <w:numId w:val="10"/>
      </w:numPr>
    </w:pPr>
  </w:style>
  <w:style w:type="paragraph" w:customStyle="1" w:styleId="Source">
    <w:name w:val="Source"/>
    <w:basedOn w:val="Normal"/>
    <w:qFormat/>
    <w:rsid w:val="004D6FA5"/>
    <w:pPr>
      <w:spacing w:before="39" w:after="250"/>
    </w:pPr>
    <w:rPr>
      <w:rFonts w:ascii="Arial" w:hAnsi="Arial"/>
      <w:i/>
      <w:sz w:val="16"/>
    </w:rPr>
  </w:style>
  <w:style w:type="paragraph" w:customStyle="1" w:styleId="BoxText">
    <w:name w:val="Box Text"/>
    <w:basedOn w:val="Normal"/>
    <w:qFormat/>
    <w:rsid w:val="004D6FA5"/>
    <w:pPr>
      <w:spacing w:after="135"/>
      <w:jc w:val="both"/>
    </w:pPr>
    <w:rPr>
      <w:rFonts w:ascii="Arial" w:hAnsi="Arial"/>
      <w:sz w:val="18"/>
    </w:rPr>
  </w:style>
  <w:style w:type="table" w:customStyle="1" w:styleId="ODIBox">
    <w:name w:val="ODI Box"/>
    <w:basedOn w:val="TableNormal"/>
    <w:uiPriority w:val="99"/>
    <w:rsid w:val="004D6FA5"/>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4D6FA5"/>
    <w:pPr>
      <w:numPr>
        <w:numId w:val="2"/>
      </w:numPr>
      <w:spacing w:after="0"/>
      <w:ind w:right="284"/>
    </w:pPr>
  </w:style>
  <w:style w:type="numbering" w:customStyle="1" w:styleId="ODIBoxBullet">
    <w:name w:val="ODI Box Bullet"/>
    <w:basedOn w:val="NoList"/>
    <w:uiPriority w:val="99"/>
    <w:rsid w:val="004D6FA5"/>
    <w:pPr>
      <w:numPr>
        <w:numId w:val="2"/>
      </w:numPr>
    </w:pPr>
  </w:style>
  <w:style w:type="numbering" w:customStyle="1" w:styleId="ODINumberedList">
    <w:name w:val="ODI Numbered List"/>
    <w:basedOn w:val="NoList"/>
    <w:uiPriority w:val="99"/>
    <w:rsid w:val="004D6FA5"/>
    <w:pPr>
      <w:numPr>
        <w:numId w:val="9"/>
      </w:numPr>
    </w:pPr>
  </w:style>
  <w:style w:type="numbering" w:customStyle="1" w:styleId="ODICoverBullets">
    <w:name w:val="ODI Cover Bullets"/>
    <w:basedOn w:val="NoList"/>
    <w:uiPriority w:val="99"/>
    <w:rsid w:val="004D6FA5"/>
    <w:pPr>
      <w:numPr>
        <w:numId w:val="5"/>
      </w:numPr>
    </w:pPr>
  </w:style>
  <w:style w:type="paragraph" w:styleId="Quote">
    <w:name w:val="Quote"/>
    <w:basedOn w:val="Normal"/>
    <w:next w:val="Normal"/>
    <w:link w:val="QuoteChar"/>
    <w:uiPriority w:val="29"/>
    <w:rsid w:val="004D6FA5"/>
    <w:pPr>
      <w:spacing w:before="200" w:after="180" w:line="250" w:lineRule="atLeast"/>
      <w:ind w:left="567" w:right="567"/>
      <w:jc w:val="center"/>
    </w:pPr>
    <w:rPr>
      <w:i/>
      <w:iCs/>
    </w:rPr>
  </w:style>
  <w:style w:type="character" w:customStyle="1" w:styleId="QuoteChar">
    <w:name w:val="Quote Char"/>
    <w:basedOn w:val="DefaultParagraphFont"/>
    <w:link w:val="Quote"/>
    <w:uiPriority w:val="29"/>
    <w:rsid w:val="004D6FA5"/>
    <w:rPr>
      <w:rFonts w:ascii="Times New Roman" w:hAnsi="Times New Roman"/>
      <w:i/>
      <w:iCs/>
      <w:szCs w:val="22"/>
      <w:lang w:eastAsia="en-US"/>
    </w:rPr>
  </w:style>
  <w:style w:type="paragraph" w:customStyle="1" w:styleId="BodyTextNoSpacing">
    <w:name w:val="Body Text No Spacing"/>
    <w:basedOn w:val="BodyText"/>
    <w:qFormat/>
    <w:rsid w:val="004D6FA5"/>
    <w:pPr>
      <w:spacing w:after="0"/>
    </w:pPr>
  </w:style>
  <w:style w:type="paragraph" w:customStyle="1" w:styleId="SourceNoSpace">
    <w:name w:val="Source No Space"/>
    <w:basedOn w:val="Source"/>
    <w:next w:val="Normal"/>
    <w:qFormat/>
    <w:rsid w:val="004D6FA5"/>
    <w:pPr>
      <w:spacing w:after="0"/>
    </w:pPr>
  </w:style>
  <w:style w:type="paragraph" w:customStyle="1" w:styleId="AbbreviationDescription">
    <w:name w:val="Abbreviation Description"/>
    <w:basedOn w:val="Normal"/>
    <w:qFormat/>
    <w:rsid w:val="004D6FA5"/>
    <w:pPr>
      <w:spacing w:line="480" w:lineRule="exact"/>
    </w:pPr>
  </w:style>
  <w:style w:type="paragraph" w:styleId="Caption">
    <w:name w:val="caption"/>
    <w:basedOn w:val="Normal"/>
    <w:next w:val="Normal"/>
    <w:uiPriority w:val="35"/>
    <w:qFormat/>
    <w:rsid w:val="004D6FA5"/>
    <w:pPr>
      <w:spacing w:after="40"/>
    </w:pPr>
    <w:rPr>
      <w:rFonts w:ascii="Arial" w:hAnsi="Arial"/>
      <w:b/>
      <w:iCs/>
      <w:color w:val="006C67" w:themeColor="accent1"/>
      <w:sz w:val="24"/>
      <w:szCs w:val="18"/>
    </w:rPr>
  </w:style>
  <w:style w:type="paragraph" w:customStyle="1" w:styleId="font5">
    <w:name w:val="font5"/>
    <w:basedOn w:val="Normal"/>
    <w:rsid w:val="004D6FA5"/>
    <w:pPr>
      <w:spacing w:before="100" w:beforeAutospacing="1" w:after="100" w:afterAutospacing="1"/>
    </w:pPr>
    <w:rPr>
      <w:rFonts w:ascii="Tahoma" w:eastAsia="Times New Roman" w:hAnsi="Tahoma" w:cs="Tahoma"/>
      <w:color w:val="000000"/>
      <w:sz w:val="16"/>
      <w:szCs w:val="16"/>
      <w:lang w:eastAsia="en-GB"/>
    </w:rPr>
  </w:style>
  <w:style w:type="paragraph" w:customStyle="1" w:styleId="xl64">
    <w:name w:val="xl64"/>
    <w:basedOn w:val="Normal"/>
    <w:rsid w:val="004D6FA5"/>
    <w:pPr>
      <w:spacing w:before="100" w:beforeAutospacing="1" w:after="100" w:afterAutospacing="1"/>
      <w:jc w:val="center"/>
      <w:textAlignment w:val="top"/>
    </w:pPr>
    <w:rPr>
      <w:rFonts w:eastAsia="Times New Roman"/>
      <w:b/>
      <w:bCs/>
      <w:sz w:val="24"/>
      <w:szCs w:val="24"/>
      <w:lang w:eastAsia="en-GB"/>
    </w:rPr>
  </w:style>
  <w:style w:type="paragraph" w:customStyle="1" w:styleId="xl65">
    <w:name w:val="xl65"/>
    <w:basedOn w:val="Normal"/>
    <w:rsid w:val="004D6FA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eastAsia="Times New Roman"/>
      <w:b/>
      <w:bCs/>
      <w:sz w:val="24"/>
      <w:szCs w:val="24"/>
      <w:lang w:eastAsia="en-GB"/>
    </w:rPr>
  </w:style>
  <w:style w:type="paragraph" w:customStyle="1" w:styleId="xl66">
    <w:name w:val="xl66"/>
    <w:basedOn w:val="Normal"/>
    <w:rsid w:val="004D6FA5"/>
    <w:pPr>
      <w:spacing w:before="100" w:beforeAutospacing="1" w:after="100" w:afterAutospacing="1"/>
      <w:textAlignment w:val="top"/>
    </w:pPr>
    <w:rPr>
      <w:rFonts w:eastAsia="Times New Roman"/>
      <w:sz w:val="24"/>
      <w:szCs w:val="24"/>
      <w:lang w:eastAsia="en-GB"/>
    </w:rPr>
  </w:style>
  <w:style w:type="paragraph" w:customStyle="1" w:styleId="xl67">
    <w:name w:val="xl67"/>
    <w:basedOn w:val="Normal"/>
    <w:rsid w:val="004D6FA5"/>
    <w:pPr>
      <w:spacing w:before="100" w:beforeAutospacing="1" w:after="100" w:afterAutospacing="1"/>
      <w:jc w:val="center"/>
      <w:textAlignment w:val="top"/>
    </w:pPr>
    <w:rPr>
      <w:rFonts w:eastAsia="Times New Roman"/>
      <w:sz w:val="24"/>
      <w:szCs w:val="24"/>
      <w:lang w:eastAsia="en-GB"/>
    </w:rPr>
  </w:style>
  <w:style w:type="paragraph" w:customStyle="1" w:styleId="xl68">
    <w:name w:val="xl68"/>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69">
    <w:name w:val="xl69"/>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70">
    <w:name w:val="xl70"/>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71">
    <w:name w:val="xl71"/>
    <w:basedOn w:val="Normal"/>
    <w:rsid w:val="004D6FA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i/>
      <w:iCs/>
      <w:sz w:val="24"/>
      <w:szCs w:val="24"/>
      <w:lang w:eastAsia="en-GB"/>
    </w:rPr>
  </w:style>
  <w:style w:type="paragraph" w:customStyle="1" w:styleId="xl72">
    <w:name w:val="xl72"/>
    <w:basedOn w:val="Normal"/>
    <w:rsid w:val="004D6FA5"/>
    <w:pPr>
      <w:spacing w:before="100" w:beforeAutospacing="1" w:after="100" w:afterAutospacing="1"/>
      <w:jc w:val="center"/>
      <w:textAlignment w:val="top"/>
    </w:pPr>
    <w:rPr>
      <w:rFonts w:eastAsia="Times New Roman"/>
      <w:i/>
      <w:iCs/>
      <w:sz w:val="24"/>
      <w:szCs w:val="24"/>
      <w:lang w:eastAsia="en-GB"/>
    </w:rPr>
  </w:style>
  <w:style w:type="paragraph" w:customStyle="1" w:styleId="xl73">
    <w:name w:val="xl73"/>
    <w:basedOn w:val="Normal"/>
    <w:rsid w:val="004D6FA5"/>
    <w:pPr>
      <w:spacing w:before="100" w:beforeAutospacing="1" w:after="100" w:afterAutospacing="1"/>
      <w:textAlignment w:val="top"/>
    </w:pPr>
    <w:rPr>
      <w:rFonts w:eastAsia="Times New Roman"/>
      <w:color w:val="4F81BD"/>
      <w:sz w:val="24"/>
      <w:szCs w:val="24"/>
      <w:lang w:eastAsia="en-GB"/>
    </w:rPr>
  </w:style>
  <w:style w:type="paragraph" w:customStyle="1" w:styleId="xl74">
    <w:name w:val="xl74"/>
    <w:basedOn w:val="Normal"/>
    <w:rsid w:val="004D6FA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eastAsia="Times New Roman"/>
      <w:b/>
      <w:bCs/>
      <w:color w:val="4F81BD"/>
      <w:sz w:val="24"/>
      <w:szCs w:val="24"/>
      <w:lang w:eastAsia="en-GB"/>
    </w:rPr>
  </w:style>
  <w:style w:type="paragraph" w:customStyle="1" w:styleId="xl75">
    <w:name w:val="xl75"/>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6">
    <w:name w:val="xl76"/>
    <w:basedOn w:val="Normal"/>
    <w:rsid w:val="004D6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7">
    <w:name w:val="xl77"/>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78">
    <w:name w:val="xl78"/>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79">
    <w:name w:val="xl79"/>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0">
    <w:name w:val="xl80"/>
    <w:basedOn w:val="Normal"/>
    <w:rsid w:val="004D6FA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1">
    <w:name w:val="xl81"/>
    <w:basedOn w:val="Normal"/>
    <w:rsid w:val="004D6FA5"/>
    <w:pPr>
      <w:pBdr>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2">
    <w:name w:val="xl82"/>
    <w:basedOn w:val="Normal"/>
    <w:rsid w:val="004D6FA5"/>
    <w:pPr>
      <w:pBdr>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83">
    <w:name w:val="xl83"/>
    <w:basedOn w:val="Normal"/>
    <w:rsid w:val="004D6FA5"/>
    <w:pPr>
      <w:pBdr>
        <w:left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4">
    <w:name w:val="xl84"/>
    <w:basedOn w:val="Normal"/>
    <w:rsid w:val="004D6FA5"/>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5">
    <w:name w:val="xl85"/>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6">
    <w:name w:val="xl86"/>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87">
    <w:name w:val="xl87"/>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en-GB"/>
    </w:rPr>
  </w:style>
  <w:style w:type="paragraph" w:customStyle="1" w:styleId="xl88">
    <w:name w:val="xl88"/>
    <w:basedOn w:val="Normal"/>
    <w:rsid w:val="004D6FA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en-GB"/>
    </w:rPr>
  </w:style>
  <w:style w:type="paragraph" w:customStyle="1" w:styleId="xl89">
    <w:name w:val="xl89"/>
    <w:basedOn w:val="Normal"/>
    <w:rsid w:val="004D6FA5"/>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0">
    <w:name w:val="xl90"/>
    <w:basedOn w:val="Normal"/>
    <w:rsid w:val="004D6FA5"/>
    <w:pPr>
      <w:pBdr>
        <w:left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1">
    <w:name w:val="xl91"/>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4F81BD"/>
      <w:sz w:val="24"/>
      <w:szCs w:val="24"/>
      <w:lang w:eastAsia="en-GB"/>
    </w:rPr>
  </w:style>
  <w:style w:type="paragraph" w:customStyle="1" w:styleId="xl92">
    <w:name w:val="xl92"/>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color w:val="4F81BD"/>
      <w:sz w:val="24"/>
      <w:szCs w:val="24"/>
      <w:lang w:eastAsia="en-GB"/>
    </w:rPr>
  </w:style>
  <w:style w:type="paragraph" w:customStyle="1" w:styleId="xl93">
    <w:name w:val="xl93"/>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4">
    <w:name w:val="xl94"/>
    <w:basedOn w:val="Normal"/>
    <w:rsid w:val="004D6FA5"/>
    <w:pPr>
      <w:pBdr>
        <w:left w:val="single" w:sz="4" w:space="0" w:color="auto"/>
        <w:right w:val="single" w:sz="4" w:space="0" w:color="auto"/>
      </w:pBdr>
      <w:spacing w:before="100" w:beforeAutospacing="1" w:after="100" w:afterAutospacing="1"/>
      <w:jc w:val="center"/>
      <w:textAlignment w:val="top"/>
    </w:pPr>
    <w:rPr>
      <w:rFonts w:eastAsia="Times New Roman"/>
      <w:i/>
      <w:iCs/>
      <w:sz w:val="24"/>
      <w:szCs w:val="24"/>
      <w:lang w:eastAsia="en-GB"/>
    </w:rPr>
  </w:style>
  <w:style w:type="paragraph" w:customStyle="1" w:styleId="xl95">
    <w:name w:val="xl95"/>
    <w:basedOn w:val="Normal"/>
    <w:rsid w:val="004D6FA5"/>
    <w:pPr>
      <w:pBdr>
        <w:left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6">
    <w:name w:val="xl96"/>
    <w:basedOn w:val="Normal"/>
    <w:rsid w:val="004D6FA5"/>
    <w:pPr>
      <w:spacing w:before="100" w:beforeAutospacing="1" w:after="100" w:afterAutospacing="1"/>
      <w:textAlignment w:val="top"/>
    </w:pPr>
    <w:rPr>
      <w:rFonts w:eastAsia="Times New Roman"/>
      <w:i/>
      <w:iCs/>
      <w:sz w:val="24"/>
      <w:szCs w:val="24"/>
      <w:lang w:eastAsia="en-GB"/>
    </w:rPr>
  </w:style>
  <w:style w:type="paragraph" w:customStyle="1" w:styleId="xl97">
    <w:name w:val="xl97"/>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4F81BD"/>
      <w:sz w:val="24"/>
      <w:szCs w:val="24"/>
      <w:lang w:eastAsia="en-GB"/>
    </w:rPr>
  </w:style>
  <w:style w:type="paragraph" w:customStyle="1" w:styleId="xl98">
    <w:name w:val="xl98"/>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99">
    <w:name w:val="xl99"/>
    <w:basedOn w:val="Normal"/>
    <w:rsid w:val="004D6FA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i/>
      <w:iCs/>
      <w:sz w:val="24"/>
      <w:szCs w:val="24"/>
      <w:lang w:eastAsia="en-GB"/>
    </w:rPr>
  </w:style>
  <w:style w:type="paragraph" w:customStyle="1" w:styleId="xl100">
    <w:name w:val="xl100"/>
    <w:basedOn w:val="Normal"/>
    <w:rsid w:val="004D6FA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24"/>
      <w:szCs w:val="24"/>
      <w:lang w:eastAsia="en-GB"/>
    </w:rPr>
  </w:style>
  <w:style w:type="paragraph" w:customStyle="1" w:styleId="xl101">
    <w:name w:val="xl101"/>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b/>
      <w:bCs/>
      <w:color w:val="FF0000"/>
      <w:sz w:val="24"/>
      <w:szCs w:val="24"/>
      <w:lang w:eastAsia="en-GB"/>
    </w:rPr>
  </w:style>
  <w:style w:type="paragraph" w:customStyle="1" w:styleId="xl102">
    <w:name w:val="xl102"/>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color w:val="4F81BD"/>
      <w:sz w:val="24"/>
      <w:szCs w:val="24"/>
      <w:lang w:eastAsia="en-GB"/>
    </w:rPr>
  </w:style>
  <w:style w:type="paragraph" w:customStyle="1" w:styleId="xl103">
    <w:name w:val="xl103"/>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sz w:val="24"/>
      <w:szCs w:val="24"/>
      <w:lang w:eastAsia="en-GB"/>
    </w:rPr>
  </w:style>
  <w:style w:type="paragraph" w:customStyle="1" w:styleId="xl104">
    <w:name w:val="xl104"/>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b/>
      <w:bCs/>
      <w:color w:val="FF0000"/>
      <w:sz w:val="24"/>
      <w:szCs w:val="24"/>
      <w:lang w:eastAsia="en-GB"/>
    </w:rPr>
  </w:style>
  <w:style w:type="paragraph" w:customStyle="1" w:styleId="xl105">
    <w:name w:val="xl105"/>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olor w:val="4F81BD"/>
      <w:sz w:val="24"/>
      <w:szCs w:val="24"/>
      <w:lang w:eastAsia="en-GB"/>
    </w:rPr>
  </w:style>
  <w:style w:type="paragraph" w:customStyle="1" w:styleId="xl106">
    <w:name w:val="xl106"/>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sz w:val="24"/>
      <w:szCs w:val="24"/>
      <w:lang w:eastAsia="en-GB"/>
    </w:rPr>
  </w:style>
  <w:style w:type="paragraph" w:customStyle="1" w:styleId="xl107">
    <w:name w:val="xl107"/>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eastAsia="Times New Roman"/>
      <w:sz w:val="24"/>
      <w:szCs w:val="24"/>
      <w:lang w:eastAsia="en-GB"/>
    </w:rPr>
  </w:style>
  <w:style w:type="paragraph" w:customStyle="1" w:styleId="xl108">
    <w:name w:val="xl108"/>
    <w:basedOn w:val="Normal"/>
    <w:rsid w:val="004D6FA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sz w:val="24"/>
      <w:szCs w:val="24"/>
      <w:lang w:eastAsia="en-GB"/>
    </w:rPr>
  </w:style>
  <w:style w:type="paragraph" w:customStyle="1" w:styleId="xl109">
    <w:name w:val="xl109"/>
    <w:basedOn w:val="Normal"/>
    <w:rsid w:val="004D6FA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0">
    <w:name w:val="xl110"/>
    <w:basedOn w:val="Normal"/>
    <w:rsid w:val="004D6FA5"/>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1">
    <w:name w:val="xl111"/>
    <w:basedOn w:val="Normal"/>
    <w:rsid w:val="004D6FA5"/>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2">
    <w:name w:val="xl112"/>
    <w:basedOn w:val="Normal"/>
    <w:rsid w:val="004D6FA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3">
    <w:name w:val="xl113"/>
    <w:basedOn w:val="Normal"/>
    <w:rsid w:val="004D6FA5"/>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4"/>
      <w:szCs w:val="24"/>
      <w:lang w:eastAsia="en-GB"/>
    </w:rPr>
  </w:style>
  <w:style w:type="paragraph" w:customStyle="1" w:styleId="xl114">
    <w:name w:val="xl114"/>
    <w:basedOn w:val="Normal"/>
    <w:rsid w:val="004D6FA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4F81BD"/>
      <w:sz w:val="24"/>
      <w:szCs w:val="24"/>
      <w:lang w:eastAsia="en-GB"/>
    </w:rPr>
  </w:style>
  <w:style w:type="paragraph" w:customStyle="1" w:styleId="xl115">
    <w:name w:val="xl115"/>
    <w:basedOn w:val="Normal"/>
    <w:rsid w:val="004D6FA5"/>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4F81BD"/>
      <w:sz w:val="24"/>
      <w:szCs w:val="24"/>
      <w:lang w:eastAsia="en-GB"/>
    </w:rPr>
  </w:style>
  <w:style w:type="character" w:styleId="CommentReference">
    <w:name w:val="annotation reference"/>
    <w:basedOn w:val="DefaultParagraphFont"/>
    <w:uiPriority w:val="99"/>
    <w:semiHidden/>
    <w:unhideWhenUsed/>
    <w:rsid w:val="004D6FA5"/>
    <w:rPr>
      <w:sz w:val="16"/>
      <w:szCs w:val="16"/>
    </w:rPr>
  </w:style>
  <w:style w:type="paragraph" w:styleId="CommentText">
    <w:name w:val="annotation text"/>
    <w:basedOn w:val="Normal"/>
    <w:link w:val="CommentTextChar"/>
    <w:uiPriority w:val="99"/>
    <w:semiHidden/>
    <w:unhideWhenUsed/>
    <w:rsid w:val="004D6FA5"/>
    <w:rPr>
      <w:szCs w:val="20"/>
    </w:rPr>
  </w:style>
  <w:style w:type="character" w:customStyle="1" w:styleId="CommentTextChar">
    <w:name w:val="Comment Text Char"/>
    <w:basedOn w:val="DefaultParagraphFont"/>
    <w:link w:val="CommentText"/>
    <w:uiPriority w:val="99"/>
    <w:semiHidden/>
    <w:rsid w:val="004D6FA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D6FA5"/>
    <w:rPr>
      <w:b/>
      <w:bCs/>
    </w:rPr>
  </w:style>
  <w:style w:type="character" w:customStyle="1" w:styleId="CommentSubjectChar">
    <w:name w:val="Comment Subject Char"/>
    <w:basedOn w:val="CommentTextChar"/>
    <w:link w:val="CommentSubject"/>
    <w:uiPriority w:val="99"/>
    <w:semiHidden/>
    <w:rsid w:val="004D6FA5"/>
    <w:rPr>
      <w:rFonts w:ascii="Times New Roman" w:hAnsi="Times New Roman"/>
      <w:b/>
      <w:bCs/>
      <w:lang w:eastAsia="en-US"/>
    </w:rPr>
  </w:style>
  <w:style w:type="paragraph" w:styleId="TableofFigures">
    <w:name w:val="table of figures"/>
    <w:basedOn w:val="Normal"/>
    <w:next w:val="Normal"/>
    <w:uiPriority w:val="99"/>
    <w:unhideWhenUsed/>
    <w:rsid w:val="004D6FA5"/>
    <w:pPr>
      <w:spacing w:after="60"/>
    </w:pPr>
    <w:rPr>
      <w:rFonts w:ascii="Arial" w:hAnsi="Arial"/>
    </w:rPr>
  </w:style>
  <w:style w:type="paragraph" w:styleId="TOC2">
    <w:name w:val="toc 2"/>
    <w:basedOn w:val="Normal"/>
    <w:next w:val="Normal"/>
    <w:autoRedefine/>
    <w:uiPriority w:val="39"/>
    <w:unhideWhenUsed/>
    <w:rsid w:val="004D6FA5"/>
    <w:pPr>
      <w:tabs>
        <w:tab w:val="right" w:pos="8830"/>
      </w:tabs>
      <w:spacing w:before="60" w:after="60"/>
      <w:ind w:right="432"/>
    </w:pPr>
    <w:rPr>
      <w:rFonts w:ascii="Arial" w:hAnsi="Arial"/>
      <w:b/>
      <w:color w:val="006C67" w:themeColor="accent1"/>
    </w:rPr>
  </w:style>
  <w:style w:type="paragraph" w:styleId="TOC1">
    <w:name w:val="toc 1"/>
    <w:basedOn w:val="Normal"/>
    <w:next w:val="Normal"/>
    <w:autoRedefine/>
    <w:uiPriority w:val="39"/>
    <w:unhideWhenUsed/>
    <w:rsid w:val="004D6FA5"/>
    <w:pPr>
      <w:tabs>
        <w:tab w:val="right" w:pos="8830"/>
      </w:tabs>
      <w:spacing w:before="100" w:after="100"/>
    </w:pPr>
    <w:rPr>
      <w:rFonts w:ascii="Arial" w:hAnsi="Arial"/>
      <w:b/>
      <w:color w:val="006C67" w:themeColor="accent1"/>
      <w:sz w:val="24"/>
    </w:rPr>
  </w:style>
  <w:style w:type="paragraph" w:styleId="TOC3">
    <w:name w:val="toc 3"/>
    <w:basedOn w:val="Normal"/>
    <w:next w:val="Normal"/>
    <w:autoRedefine/>
    <w:uiPriority w:val="39"/>
    <w:unhideWhenUsed/>
    <w:rsid w:val="00246C81"/>
    <w:pPr>
      <w:tabs>
        <w:tab w:val="right" w:pos="8830"/>
      </w:tabs>
      <w:spacing w:after="40"/>
      <w:ind w:right="3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689">
      <w:bodyDiv w:val="1"/>
      <w:marLeft w:val="0"/>
      <w:marRight w:val="0"/>
      <w:marTop w:val="0"/>
      <w:marBottom w:val="0"/>
      <w:divBdr>
        <w:top w:val="none" w:sz="0" w:space="0" w:color="auto"/>
        <w:left w:val="none" w:sz="0" w:space="0" w:color="auto"/>
        <w:bottom w:val="none" w:sz="0" w:space="0" w:color="auto"/>
        <w:right w:val="none" w:sz="0" w:space="0" w:color="auto"/>
      </w:divBdr>
    </w:div>
    <w:div w:id="191890740">
      <w:bodyDiv w:val="1"/>
      <w:marLeft w:val="0"/>
      <w:marRight w:val="0"/>
      <w:marTop w:val="0"/>
      <w:marBottom w:val="0"/>
      <w:divBdr>
        <w:top w:val="none" w:sz="0" w:space="0" w:color="auto"/>
        <w:left w:val="none" w:sz="0" w:space="0" w:color="auto"/>
        <w:bottom w:val="none" w:sz="0" w:space="0" w:color="auto"/>
        <w:right w:val="none" w:sz="0" w:space="0" w:color="auto"/>
      </w:divBdr>
    </w:div>
    <w:div w:id="236792163">
      <w:bodyDiv w:val="1"/>
      <w:marLeft w:val="0"/>
      <w:marRight w:val="0"/>
      <w:marTop w:val="0"/>
      <w:marBottom w:val="0"/>
      <w:divBdr>
        <w:top w:val="none" w:sz="0" w:space="0" w:color="auto"/>
        <w:left w:val="none" w:sz="0" w:space="0" w:color="auto"/>
        <w:bottom w:val="none" w:sz="0" w:space="0" w:color="auto"/>
        <w:right w:val="none" w:sz="0" w:space="0" w:color="auto"/>
      </w:divBdr>
    </w:div>
    <w:div w:id="360128140">
      <w:bodyDiv w:val="1"/>
      <w:marLeft w:val="0"/>
      <w:marRight w:val="0"/>
      <w:marTop w:val="0"/>
      <w:marBottom w:val="0"/>
      <w:divBdr>
        <w:top w:val="none" w:sz="0" w:space="0" w:color="auto"/>
        <w:left w:val="none" w:sz="0" w:space="0" w:color="auto"/>
        <w:bottom w:val="none" w:sz="0" w:space="0" w:color="auto"/>
        <w:right w:val="none" w:sz="0" w:space="0" w:color="auto"/>
      </w:divBdr>
    </w:div>
    <w:div w:id="365644078">
      <w:bodyDiv w:val="1"/>
      <w:marLeft w:val="0"/>
      <w:marRight w:val="0"/>
      <w:marTop w:val="0"/>
      <w:marBottom w:val="0"/>
      <w:divBdr>
        <w:top w:val="none" w:sz="0" w:space="0" w:color="auto"/>
        <w:left w:val="none" w:sz="0" w:space="0" w:color="auto"/>
        <w:bottom w:val="none" w:sz="0" w:space="0" w:color="auto"/>
        <w:right w:val="none" w:sz="0" w:space="0" w:color="auto"/>
      </w:divBdr>
    </w:div>
    <w:div w:id="380639651">
      <w:bodyDiv w:val="1"/>
      <w:marLeft w:val="0"/>
      <w:marRight w:val="0"/>
      <w:marTop w:val="0"/>
      <w:marBottom w:val="0"/>
      <w:divBdr>
        <w:top w:val="none" w:sz="0" w:space="0" w:color="auto"/>
        <w:left w:val="none" w:sz="0" w:space="0" w:color="auto"/>
        <w:bottom w:val="none" w:sz="0" w:space="0" w:color="auto"/>
        <w:right w:val="none" w:sz="0" w:space="0" w:color="auto"/>
      </w:divBdr>
    </w:div>
    <w:div w:id="433131940">
      <w:bodyDiv w:val="1"/>
      <w:marLeft w:val="0"/>
      <w:marRight w:val="0"/>
      <w:marTop w:val="0"/>
      <w:marBottom w:val="0"/>
      <w:divBdr>
        <w:top w:val="none" w:sz="0" w:space="0" w:color="auto"/>
        <w:left w:val="none" w:sz="0" w:space="0" w:color="auto"/>
        <w:bottom w:val="none" w:sz="0" w:space="0" w:color="auto"/>
        <w:right w:val="none" w:sz="0" w:space="0" w:color="auto"/>
      </w:divBdr>
    </w:div>
    <w:div w:id="648023173">
      <w:bodyDiv w:val="1"/>
      <w:marLeft w:val="0"/>
      <w:marRight w:val="0"/>
      <w:marTop w:val="0"/>
      <w:marBottom w:val="0"/>
      <w:divBdr>
        <w:top w:val="none" w:sz="0" w:space="0" w:color="auto"/>
        <w:left w:val="none" w:sz="0" w:space="0" w:color="auto"/>
        <w:bottom w:val="none" w:sz="0" w:space="0" w:color="auto"/>
        <w:right w:val="none" w:sz="0" w:space="0" w:color="auto"/>
      </w:divBdr>
    </w:div>
    <w:div w:id="709459051">
      <w:bodyDiv w:val="1"/>
      <w:marLeft w:val="0"/>
      <w:marRight w:val="0"/>
      <w:marTop w:val="0"/>
      <w:marBottom w:val="0"/>
      <w:divBdr>
        <w:top w:val="none" w:sz="0" w:space="0" w:color="auto"/>
        <w:left w:val="none" w:sz="0" w:space="0" w:color="auto"/>
        <w:bottom w:val="none" w:sz="0" w:space="0" w:color="auto"/>
        <w:right w:val="none" w:sz="0" w:space="0" w:color="auto"/>
      </w:divBdr>
    </w:div>
    <w:div w:id="710768161">
      <w:bodyDiv w:val="1"/>
      <w:marLeft w:val="0"/>
      <w:marRight w:val="0"/>
      <w:marTop w:val="0"/>
      <w:marBottom w:val="0"/>
      <w:divBdr>
        <w:top w:val="none" w:sz="0" w:space="0" w:color="auto"/>
        <w:left w:val="none" w:sz="0" w:space="0" w:color="auto"/>
        <w:bottom w:val="none" w:sz="0" w:space="0" w:color="auto"/>
        <w:right w:val="none" w:sz="0" w:space="0" w:color="auto"/>
      </w:divBdr>
    </w:div>
    <w:div w:id="766922809">
      <w:bodyDiv w:val="1"/>
      <w:marLeft w:val="0"/>
      <w:marRight w:val="0"/>
      <w:marTop w:val="0"/>
      <w:marBottom w:val="0"/>
      <w:divBdr>
        <w:top w:val="none" w:sz="0" w:space="0" w:color="auto"/>
        <w:left w:val="none" w:sz="0" w:space="0" w:color="auto"/>
        <w:bottom w:val="none" w:sz="0" w:space="0" w:color="auto"/>
        <w:right w:val="none" w:sz="0" w:space="0" w:color="auto"/>
      </w:divBdr>
    </w:div>
    <w:div w:id="775908151">
      <w:bodyDiv w:val="1"/>
      <w:marLeft w:val="0"/>
      <w:marRight w:val="0"/>
      <w:marTop w:val="0"/>
      <w:marBottom w:val="0"/>
      <w:divBdr>
        <w:top w:val="none" w:sz="0" w:space="0" w:color="auto"/>
        <w:left w:val="none" w:sz="0" w:space="0" w:color="auto"/>
        <w:bottom w:val="none" w:sz="0" w:space="0" w:color="auto"/>
        <w:right w:val="none" w:sz="0" w:space="0" w:color="auto"/>
      </w:divBdr>
    </w:div>
    <w:div w:id="797262307">
      <w:bodyDiv w:val="1"/>
      <w:marLeft w:val="0"/>
      <w:marRight w:val="0"/>
      <w:marTop w:val="0"/>
      <w:marBottom w:val="0"/>
      <w:divBdr>
        <w:top w:val="none" w:sz="0" w:space="0" w:color="auto"/>
        <w:left w:val="none" w:sz="0" w:space="0" w:color="auto"/>
        <w:bottom w:val="none" w:sz="0" w:space="0" w:color="auto"/>
        <w:right w:val="none" w:sz="0" w:space="0" w:color="auto"/>
      </w:divBdr>
    </w:div>
    <w:div w:id="872768930">
      <w:bodyDiv w:val="1"/>
      <w:marLeft w:val="0"/>
      <w:marRight w:val="0"/>
      <w:marTop w:val="0"/>
      <w:marBottom w:val="0"/>
      <w:divBdr>
        <w:top w:val="none" w:sz="0" w:space="0" w:color="auto"/>
        <w:left w:val="none" w:sz="0" w:space="0" w:color="auto"/>
        <w:bottom w:val="none" w:sz="0" w:space="0" w:color="auto"/>
        <w:right w:val="none" w:sz="0" w:space="0" w:color="auto"/>
      </w:divBdr>
    </w:div>
    <w:div w:id="896891979">
      <w:bodyDiv w:val="1"/>
      <w:marLeft w:val="0"/>
      <w:marRight w:val="0"/>
      <w:marTop w:val="0"/>
      <w:marBottom w:val="0"/>
      <w:divBdr>
        <w:top w:val="none" w:sz="0" w:space="0" w:color="auto"/>
        <w:left w:val="none" w:sz="0" w:space="0" w:color="auto"/>
        <w:bottom w:val="none" w:sz="0" w:space="0" w:color="auto"/>
        <w:right w:val="none" w:sz="0" w:space="0" w:color="auto"/>
      </w:divBdr>
    </w:div>
    <w:div w:id="904872058">
      <w:bodyDiv w:val="1"/>
      <w:marLeft w:val="0"/>
      <w:marRight w:val="0"/>
      <w:marTop w:val="0"/>
      <w:marBottom w:val="0"/>
      <w:divBdr>
        <w:top w:val="none" w:sz="0" w:space="0" w:color="auto"/>
        <w:left w:val="none" w:sz="0" w:space="0" w:color="auto"/>
        <w:bottom w:val="none" w:sz="0" w:space="0" w:color="auto"/>
        <w:right w:val="none" w:sz="0" w:space="0" w:color="auto"/>
      </w:divBdr>
    </w:div>
    <w:div w:id="1203833818">
      <w:bodyDiv w:val="1"/>
      <w:marLeft w:val="0"/>
      <w:marRight w:val="0"/>
      <w:marTop w:val="0"/>
      <w:marBottom w:val="0"/>
      <w:divBdr>
        <w:top w:val="none" w:sz="0" w:space="0" w:color="auto"/>
        <w:left w:val="none" w:sz="0" w:space="0" w:color="auto"/>
        <w:bottom w:val="none" w:sz="0" w:space="0" w:color="auto"/>
        <w:right w:val="none" w:sz="0" w:space="0" w:color="auto"/>
      </w:divBdr>
    </w:div>
    <w:div w:id="1248462728">
      <w:bodyDiv w:val="1"/>
      <w:marLeft w:val="0"/>
      <w:marRight w:val="0"/>
      <w:marTop w:val="0"/>
      <w:marBottom w:val="0"/>
      <w:divBdr>
        <w:top w:val="none" w:sz="0" w:space="0" w:color="auto"/>
        <w:left w:val="none" w:sz="0" w:space="0" w:color="auto"/>
        <w:bottom w:val="none" w:sz="0" w:space="0" w:color="auto"/>
        <w:right w:val="none" w:sz="0" w:space="0" w:color="auto"/>
      </w:divBdr>
    </w:div>
    <w:div w:id="1341734893">
      <w:bodyDiv w:val="1"/>
      <w:marLeft w:val="0"/>
      <w:marRight w:val="0"/>
      <w:marTop w:val="0"/>
      <w:marBottom w:val="0"/>
      <w:divBdr>
        <w:top w:val="none" w:sz="0" w:space="0" w:color="auto"/>
        <w:left w:val="none" w:sz="0" w:space="0" w:color="auto"/>
        <w:bottom w:val="none" w:sz="0" w:space="0" w:color="auto"/>
        <w:right w:val="none" w:sz="0" w:space="0" w:color="auto"/>
      </w:divBdr>
    </w:div>
    <w:div w:id="1346010170">
      <w:bodyDiv w:val="1"/>
      <w:marLeft w:val="0"/>
      <w:marRight w:val="0"/>
      <w:marTop w:val="0"/>
      <w:marBottom w:val="0"/>
      <w:divBdr>
        <w:top w:val="none" w:sz="0" w:space="0" w:color="auto"/>
        <w:left w:val="none" w:sz="0" w:space="0" w:color="auto"/>
        <w:bottom w:val="none" w:sz="0" w:space="0" w:color="auto"/>
        <w:right w:val="none" w:sz="0" w:space="0" w:color="auto"/>
      </w:divBdr>
    </w:div>
    <w:div w:id="1402363358">
      <w:bodyDiv w:val="1"/>
      <w:marLeft w:val="0"/>
      <w:marRight w:val="0"/>
      <w:marTop w:val="0"/>
      <w:marBottom w:val="0"/>
      <w:divBdr>
        <w:top w:val="none" w:sz="0" w:space="0" w:color="auto"/>
        <w:left w:val="none" w:sz="0" w:space="0" w:color="auto"/>
        <w:bottom w:val="none" w:sz="0" w:space="0" w:color="auto"/>
        <w:right w:val="none" w:sz="0" w:space="0" w:color="auto"/>
      </w:divBdr>
    </w:div>
    <w:div w:id="1404912464">
      <w:bodyDiv w:val="1"/>
      <w:marLeft w:val="0"/>
      <w:marRight w:val="0"/>
      <w:marTop w:val="0"/>
      <w:marBottom w:val="0"/>
      <w:divBdr>
        <w:top w:val="none" w:sz="0" w:space="0" w:color="auto"/>
        <w:left w:val="none" w:sz="0" w:space="0" w:color="auto"/>
        <w:bottom w:val="none" w:sz="0" w:space="0" w:color="auto"/>
        <w:right w:val="none" w:sz="0" w:space="0" w:color="auto"/>
      </w:divBdr>
    </w:div>
    <w:div w:id="1407066267">
      <w:bodyDiv w:val="1"/>
      <w:marLeft w:val="0"/>
      <w:marRight w:val="0"/>
      <w:marTop w:val="0"/>
      <w:marBottom w:val="0"/>
      <w:divBdr>
        <w:top w:val="none" w:sz="0" w:space="0" w:color="auto"/>
        <w:left w:val="none" w:sz="0" w:space="0" w:color="auto"/>
        <w:bottom w:val="none" w:sz="0" w:space="0" w:color="auto"/>
        <w:right w:val="none" w:sz="0" w:space="0" w:color="auto"/>
      </w:divBdr>
    </w:div>
    <w:div w:id="1477380984">
      <w:bodyDiv w:val="1"/>
      <w:marLeft w:val="0"/>
      <w:marRight w:val="0"/>
      <w:marTop w:val="0"/>
      <w:marBottom w:val="0"/>
      <w:divBdr>
        <w:top w:val="none" w:sz="0" w:space="0" w:color="auto"/>
        <w:left w:val="none" w:sz="0" w:space="0" w:color="auto"/>
        <w:bottom w:val="none" w:sz="0" w:space="0" w:color="auto"/>
        <w:right w:val="none" w:sz="0" w:space="0" w:color="auto"/>
      </w:divBdr>
    </w:div>
    <w:div w:id="1501890799">
      <w:bodyDiv w:val="1"/>
      <w:marLeft w:val="0"/>
      <w:marRight w:val="0"/>
      <w:marTop w:val="0"/>
      <w:marBottom w:val="0"/>
      <w:divBdr>
        <w:top w:val="none" w:sz="0" w:space="0" w:color="auto"/>
        <w:left w:val="none" w:sz="0" w:space="0" w:color="auto"/>
        <w:bottom w:val="none" w:sz="0" w:space="0" w:color="auto"/>
        <w:right w:val="none" w:sz="0" w:space="0" w:color="auto"/>
      </w:divBdr>
    </w:div>
    <w:div w:id="1509364610">
      <w:bodyDiv w:val="1"/>
      <w:marLeft w:val="0"/>
      <w:marRight w:val="0"/>
      <w:marTop w:val="0"/>
      <w:marBottom w:val="0"/>
      <w:divBdr>
        <w:top w:val="none" w:sz="0" w:space="0" w:color="auto"/>
        <w:left w:val="none" w:sz="0" w:space="0" w:color="auto"/>
        <w:bottom w:val="none" w:sz="0" w:space="0" w:color="auto"/>
        <w:right w:val="none" w:sz="0" w:space="0" w:color="auto"/>
      </w:divBdr>
    </w:div>
    <w:div w:id="1535190588">
      <w:bodyDiv w:val="1"/>
      <w:marLeft w:val="0"/>
      <w:marRight w:val="0"/>
      <w:marTop w:val="0"/>
      <w:marBottom w:val="0"/>
      <w:divBdr>
        <w:top w:val="none" w:sz="0" w:space="0" w:color="auto"/>
        <w:left w:val="none" w:sz="0" w:space="0" w:color="auto"/>
        <w:bottom w:val="none" w:sz="0" w:space="0" w:color="auto"/>
        <w:right w:val="none" w:sz="0" w:space="0" w:color="auto"/>
      </w:divBdr>
    </w:div>
    <w:div w:id="1539777931">
      <w:bodyDiv w:val="1"/>
      <w:marLeft w:val="0"/>
      <w:marRight w:val="0"/>
      <w:marTop w:val="0"/>
      <w:marBottom w:val="0"/>
      <w:divBdr>
        <w:top w:val="none" w:sz="0" w:space="0" w:color="auto"/>
        <w:left w:val="none" w:sz="0" w:space="0" w:color="auto"/>
        <w:bottom w:val="none" w:sz="0" w:space="0" w:color="auto"/>
        <w:right w:val="none" w:sz="0" w:space="0" w:color="auto"/>
      </w:divBdr>
    </w:div>
    <w:div w:id="1540581169">
      <w:bodyDiv w:val="1"/>
      <w:marLeft w:val="0"/>
      <w:marRight w:val="0"/>
      <w:marTop w:val="0"/>
      <w:marBottom w:val="0"/>
      <w:divBdr>
        <w:top w:val="none" w:sz="0" w:space="0" w:color="auto"/>
        <w:left w:val="none" w:sz="0" w:space="0" w:color="auto"/>
        <w:bottom w:val="none" w:sz="0" w:space="0" w:color="auto"/>
        <w:right w:val="none" w:sz="0" w:space="0" w:color="auto"/>
      </w:divBdr>
    </w:div>
    <w:div w:id="1651595114">
      <w:bodyDiv w:val="1"/>
      <w:marLeft w:val="0"/>
      <w:marRight w:val="0"/>
      <w:marTop w:val="0"/>
      <w:marBottom w:val="0"/>
      <w:divBdr>
        <w:top w:val="none" w:sz="0" w:space="0" w:color="auto"/>
        <w:left w:val="none" w:sz="0" w:space="0" w:color="auto"/>
        <w:bottom w:val="none" w:sz="0" w:space="0" w:color="auto"/>
        <w:right w:val="none" w:sz="0" w:space="0" w:color="auto"/>
      </w:divBdr>
    </w:div>
    <w:div w:id="1673753710">
      <w:bodyDiv w:val="1"/>
      <w:marLeft w:val="0"/>
      <w:marRight w:val="0"/>
      <w:marTop w:val="0"/>
      <w:marBottom w:val="0"/>
      <w:divBdr>
        <w:top w:val="none" w:sz="0" w:space="0" w:color="auto"/>
        <w:left w:val="none" w:sz="0" w:space="0" w:color="auto"/>
        <w:bottom w:val="none" w:sz="0" w:space="0" w:color="auto"/>
        <w:right w:val="none" w:sz="0" w:space="0" w:color="auto"/>
      </w:divBdr>
    </w:div>
    <w:div w:id="1733691685">
      <w:bodyDiv w:val="1"/>
      <w:marLeft w:val="0"/>
      <w:marRight w:val="0"/>
      <w:marTop w:val="0"/>
      <w:marBottom w:val="0"/>
      <w:divBdr>
        <w:top w:val="none" w:sz="0" w:space="0" w:color="auto"/>
        <w:left w:val="none" w:sz="0" w:space="0" w:color="auto"/>
        <w:bottom w:val="none" w:sz="0" w:space="0" w:color="auto"/>
        <w:right w:val="none" w:sz="0" w:space="0" w:color="auto"/>
      </w:divBdr>
    </w:div>
    <w:div w:id="1763336983">
      <w:bodyDiv w:val="1"/>
      <w:marLeft w:val="0"/>
      <w:marRight w:val="0"/>
      <w:marTop w:val="0"/>
      <w:marBottom w:val="0"/>
      <w:divBdr>
        <w:top w:val="none" w:sz="0" w:space="0" w:color="auto"/>
        <w:left w:val="none" w:sz="0" w:space="0" w:color="auto"/>
        <w:bottom w:val="none" w:sz="0" w:space="0" w:color="auto"/>
        <w:right w:val="none" w:sz="0" w:space="0" w:color="auto"/>
      </w:divBdr>
    </w:div>
    <w:div w:id="1793866139">
      <w:bodyDiv w:val="1"/>
      <w:marLeft w:val="0"/>
      <w:marRight w:val="0"/>
      <w:marTop w:val="0"/>
      <w:marBottom w:val="0"/>
      <w:divBdr>
        <w:top w:val="none" w:sz="0" w:space="0" w:color="auto"/>
        <w:left w:val="none" w:sz="0" w:space="0" w:color="auto"/>
        <w:bottom w:val="none" w:sz="0" w:space="0" w:color="auto"/>
        <w:right w:val="none" w:sz="0" w:space="0" w:color="auto"/>
      </w:divBdr>
    </w:div>
    <w:div w:id="1882937455">
      <w:bodyDiv w:val="1"/>
      <w:marLeft w:val="0"/>
      <w:marRight w:val="0"/>
      <w:marTop w:val="0"/>
      <w:marBottom w:val="0"/>
      <w:divBdr>
        <w:top w:val="none" w:sz="0" w:space="0" w:color="auto"/>
        <w:left w:val="none" w:sz="0" w:space="0" w:color="auto"/>
        <w:bottom w:val="none" w:sz="0" w:space="0" w:color="auto"/>
        <w:right w:val="none" w:sz="0" w:space="0" w:color="auto"/>
      </w:divBdr>
    </w:div>
    <w:div w:id="1896506019">
      <w:bodyDiv w:val="1"/>
      <w:marLeft w:val="0"/>
      <w:marRight w:val="0"/>
      <w:marTop w:val="0"/>
      <w:marBottom w:val="0"/>
      <w:divBdr>
        <w:top w:val="none" w:sz="0" w:space="0" w:color="auto"/>
        <w:left w:val="none" w:sz="0" w:space="0" w:color="auto"/>
        <w:bottom w:val="none" w:sz="0" w:space="0" w:color="auto"/>
        <w:right w:val="none" w:sz="0" w:space="0" w:color="auto"/>
      </w:divBdr>
    </w:div>
    <w:div w:id="2016612202">
      <w:bodyDiv w:val="1"/>
      <w:marLeft w:val="0"/>
      <w:marRight w:val="0"/>
      <w:marTop w:val="0"/>
      <w:marBottom w:val="0"/>
      <w:divBdr>
        <w:top w:val="none" w:sz="0" w:space="0" w:color="auto"/>
        <w:left w:val="none" w:sz="0" w:space="0" w:color="auto"/>
        <w:bottom w:val="none" w:sz="0" w:space="0" w:color="auto"/>
        <w:right w:val="none" w:sz="0" w:space="0" w:color="auto"/>
      </w:divBdr>
    </w:div>
    <w:div w:id="2033728584">
      <w:bodyDiv w:val="1"/>
      <w:marLeft w:val="0"/>
      <w:marRight w:val="0"/>
      <w:marTop w:val="0"/>
      <w:marBottom w:val="0"/>
      <w:divBdr>
        <w:top w:val="none" w:sz="0" w:space="0" w:color="auto"/>
        <w:left w:val="none" w:sz="0" w:space="0" w:color="auto"/>
        <w:bottom w:val="none" w:sz="0" w:space="0" w:color="auto"/>
        <w:right w:val="none" w:sz="0" w:space="0" w:color="auto"/>
      </w:divBdr>
    </w:div>
    <w:div w:id="2040280892">
      <w:bodyDiv w:val="1"/>
      <w:marLeft w:val="0"/>
      <w:marRight w:val="0"/>
      <w:marTop w:val="0"/>
      <w:marBottom w:val="0"/>
      <w:divBdr>
        <w:top w:val="none" w:sz="0" w:space="0" w:color="auto"/>
        <w:left w:val="none" w:sz="0" w:space="0" w:color="auto"/>
        <w:bottom w:val="none" w:sz="0" w:space="0" w:color="auto"/>
        <w:right w:val="none" w:sz="0" w:space="0" w:color="auto"/>
      </w:divBdr>
    </w:div>
    <w:div w:id="2045053198">
      <w:bodyDiv w:val="1"/>
      <w:marLeft w:val="0"/>
      <w:marRight w:val="0"/>
      <w:marTop w:val="0"/>
      <w:marBottom w:val="0"/>
      <w:divBdr>
        <w:top w:val="none" w:sz="0" w:space="0" w:color="auto"/>
        <w:left w:val="none" w:sz="0" w:space="0" w:color="auto"/>
        <w:bottom w:val="none" w:sz="0" w:space="0" w:color="auto"/>
        <w:right w:val="none" w:sz="0" w:space="0" w:color="auto"/>
      </w:divBdr>
    </w:div>
    <w:div w:id="2099786519">
      <w:bodyDiv w:val="1"/>
      <w:marLeft w:val="0"/>
      <w:marRight w:val="0"/>
      <w:marTop w:val="0"/>
      <w:marBottom w:val="0"/>
      <w:divBdr>
        <w:top w:val="none" w:sz="0" w:space="0" w:color="auto"/>
        <w:left w:val="none" w:sz="0" w:space="0" w:color="auto"/>
        <w:bottom w:val="none" w:sz="0" w:space="0" w:color="auto"/>
        <w:right w:val="none" w:sz="0" w:space="0" w:color="auto"/>
      </w:divBdr>
    </w:div>
    <w:div w:id="21239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databank.worldbank.org/data/views/variableSelection/selectvariables.aspx?source=world-development-indicators" TargetMode="External"/><Relationship Id="rId34" Type="http://schemas.openxmlformats.org/officeDocument/2006/relationships/chart" Target="charts/chart6.xml"/><Relationship Id="rId42" Type="http://schemas.openxmlformats.org/officeDocument/2006/relationships/hyperlink" Target="https://data.un.org/search.aspx?q=gross+value+added+datamart%5bsnaama%5d" TargetMode="External"/><Relationship Id="rId47" Type="http://schemas.openxmlformats.org/officeDocument/2006/relationships/chart" Target="charts/chart11.xml"/><Relationship Id="rId50" Type="http://schemas.openxmlformats.org/officeDocument/2006/relationships/chart" Target="charts/chart12.xml"/><Relationship Id="rId55" Type="http://schemas.openxmlformats.org/officeDocument/2006/relationships/chart" Target="charts/chart14.xml"/><Relationship Id="rId63" Type="http://schemas.openxmlformats.org/officeDocument/2006/relationships/chart" Target="charts/chart18.xml"/><Relationship Id="rId68" Type="http://schemas.openxmlformats.org/officeDocument/2006/relationships/chart" Target="charts/chart20.xml"/><Relationship Id="rId76" Type="http://schemas.openxmlformats.org/officeDocument/2006/relationships/image" Target="media/image11.png"/><Relationship Id="rId84" Type="http://schemas.openxmlformats.org/officeDocument/2006/relationships/chart" Target="charts/chart32.xml"/><Relationship Id="rId89" Type="http://schemas.openxmlformats.org/officeDocument/2006/relationships/chart" Target="charts/chart37.xm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9.png"/><Relationship Id="rId92" Type="http://schemas.openxmlformats.org/officeDocument/2006/relationships/chart" Target="charts/chart40.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chart" Target="charts/chart3.xml"/><Relationship Id="rId11" Type="http://schemas.openxmlformats.org/officeDocument/2006/relationships/footnotes" Target="footnotes.xml"/><Relationship Id="rId24" Type="http://schemas.openxmlformats.org/officeDocument/2006/relationships/hyperlink" Target="http://www.ilo.org/global/research/global-reports/weso/2015/lang--en/index.htm" TargetMode="External"/><Relationship Id="rId32" Type="http://schemas.openxmlformats.org/officeDocument/2006/relationships/chart" Target="charts/chart4.xml"/><Relationship Id="rId37" Type="http://schemas.openxmlformats.org/officeDocument/2006/relationships/hyperlink" Target="http://www.ilo.org/global/research/global-reports/weso/2015/lang--en/index.htm" TargetMode="External"/><Relationship Id="rId40" Type="http://schemas.openxmlformats.org/officeDocument/2006/relationships/hyperlink" Target="http://www.ilo.org/global/research/global-reports/global-employment-trends/2014/WCMS_234879/lang--en/index.htm" TargetMode="External"/><Relationship Id="rId45" Type="http://schemas.openxmlformats.org/officeDocument/2006/relationships/hyperlink" Target="http://databank.worldbank.org/data/views/variableSelection/selectvariables.aspx?source=world-development-indicators" TargetMode="External"/><Relationship Id="rId53" Type="http://schemas.openxmlformats.org/officeDocument/2006/relationships/image" Target="media/image3.png"/><Relationship Id="rId58" Type="http://schemas.openxmlformats.org/officeDocument/2006/relationships/image" Target="media/image4.png"/><Relationship Id="rId66" Type="http://schemas.openxmlformats.org/officeDocument/2006/relationships/hyperlink" Target="http://www.ilo.org/global/research/global-reports/weso/2015/lang--en/index.htm" TargetMode="External"/><Relationship Id="rId74" Type="http://schemas.openxmlformats.org/officeDocument/2006/relationships/chart" Target="charts/chart24.xml"/><Relationship Id="rId79" Type="http://schemas.openxmlformats.org/officeDocument/2006/relationships/chart" Target="charts/chart27.xml"/><Relationship Id="rId87" Type="http://schemas.openxmlformats.org/officeDocument/2006/relationships/chart" Target="charts/chart35.xml"/><Relationship Id="rId5" Type="http://schemas.openxmlformats.org/officeDocument/2006/relationships/customXml" Target="../customXml/item4.xml"/><Relationship Id="rId61" Type="http://schemas.openxmlformats.org/officeDocument/2006/relationships/hyperlink" Target="http://www.ilo.org/global/research/global-reports/global-employment-trends/2014/WCMS_234879/lang--en/index.htm" TargetMode="External"/><Relationship Id="rId82" Type="http://schemas.openxmlformats.org/officeDocument/2006/relationships/chart" Target="charts/chart30.xml"/><Relationship Id="rId90" Type="http://schemas.openxmlformats.org/officeDocument/2006/relationships/chart" Target="charts/chart38.xml"/><Relationship Id="rId95" Type="http://schemas.openxmlformats.org/officeDocument/2006/relationships/image" Target="media/image14.emf"/><Relationship Id="rId19" Type="http://schemas.openxmlformats.org/officeDocument/2006/relationships/hyperlink" Target="https://data.un.org/search.aspx?q=gross+value+added+datamart%5bsnaama%5d" TargetMode="External"/><Relationship Id="rId14" Type="http://schemas.openxmlformats.org/officeDocument/2006/relationships/footer" Target="footer1.xml"/><Relationship Id="rId22" Type="http://schemas.openxmlformats.org/officeDocument/2006/relationships/hyperlink" Target="http://www.ilo.org/global/research/global-reports/global-employment-trends/2014/WCMS_234879/lang--en/index.htm" TargetMode="External"/><Relationship Id="rId27" Type="http://schemas.openxmlformats.org/officeDocument/2006/relationships/chart" Target="charts/chart1.xml"/><Relationship Id="rId30" Type="http://schemas.openxmlformats.org/officeDocument/2006/relationships/hyperlink" Target="http://databank.worldbank.org/data/views/variableSelection/selectvariables.aspx?source=world-development-indicators" TargetMode="External"/><Relationship Id="rId35" Type="http://schemas.openxmlformats.org/officeDocument/2006/relationships/chart" Target="charts/chart7.xml"/><Relationship Id="rId43" Type="http://schemas.openxmlformats.org/officeDocument/2006/relationships/hyperlink" Target="http://www.ilo.org/global/research/global-reports/weso/2015/lang--en/index.htm" TargetMode="External"/><Relationship Id="rId48" Type="http://schemas.openxmlformats.org/officeDocument/2006/relationships/hyperlink" Target="https://data.un.org/search.aspx?q=gross+value+added+datamart%5bsnaama%5d" TargetMode="External"/><Relationship Id="rId56" Type="http://schemas.openxmlformats.org/officeDocument/2006/relationships/chart" Target="charts/chart15.xml"/><Relationship Id="rId64" Type="http://schemas.openxmlformats.org/officeDocument/2006/relationships/image" Target="media/image7.png"/><Relationship Id="rId69" Type="http://schemas.openxmlformats.org/officeDocument/2006/relationships/chart" Target="charts/chart21.xml"/><Relationship Id="rId77" Type="http://schemas.openxmlformats.org/officeDocument/2006/relationships/image" Target="media/image12.png"/><Relationship Id="rId8" Type="http://schemas.microsoft.com/office/2007/relationships/stylesWithEffects" Target="stylesWithEffects.xml"/><Relationship Id="rId51" Type="http://schemas.openxmlformats.org/officeDocument/2006/relationships/chart" Target="charts/chart13.xml"/><Relationship Id="rId72" Type="http://schemas.openxmlformats.org/officeDocument/2006/relationships/image" Target="media/image10.png"/><Relationship Id="rId80" Type="http://schemas.openxmlformats.org/officeDocument/2006/relationships/chart" Target="charts/chart28.xml"/><Relationship Id="rId85" Type="http://schemas.openxmlformats.org/officeDocument/2006/relationships/chart" Target="charts/chart33.xml"/><Relationship Id="rId93" Type="http://schemas.openxmlformats.org/officeDocument/2006/relationships/image" Target="media/image13.emf"/><Relationship Id="rId98"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databank.worldbank.org/data/views/variableSelection/selectvariables.aspx?source=world-development-indicators" TargetMode="Externa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chart" Target="charts/chart8.xml"/><Relationship Id="rId46" Type="http://schemas.openxmlformats.org/officeDocument/2006/relationships/hyperlink" Target="http://www.ilo.org/global/research/global-reports/global-employment-trends/2014/WCMS_234879/lang--en/index.htm" TargetMode="External"/><Relationship Id="rId59" Type="http://schemas.openxmlformats.org/officeDocument/2006/relationships/image" Target="media/image5.png"/><Relationship Id="rId67" Type="http://schemas.openxmlformats.org/officeDocument/2006/relationships/chart" Target="charts/chart19.xml"/><Relationship Id="rId20" Type="http://schemas.openxmlformats.org/officeDocument/2006/relationships/hyperlink" Target="http://www.ilo.org/global/research/global-reports/weso/2015/lang--en/index.htm" TargetMode="External"/><Relationship Id="rId41" Type="http://schemas.openxmlformats.org/officeDocument/2006/relationships/chart" Target="charts/chart9.xml"/><Relationship Id="rId54" Type="http://schemas.openxmlformats.org/officeDocument/2006/relationships/hyperlink" Target="http://www.ilo.org/global/research/global-reports/global-employment-trends/2014/WCMS_234879/lang--en/index.htm" TargetMode="External"/><Relationship Id="rId62" Type="http://schemas.openxmlformats.org/officeDocument/2006/relationships/chart" Target="charts/chart17.xml"/><Relationship Id="rId70" Type="http://schemas.openxmlformats.org/officeDocument/2006/relationships/chart" Target="charts/chart22.xml"/><Relationship Id="rId75" Type="http://schemas.openxmlformats.org/officeDocument/2006/relationships/chart" Target="charts/chart25.xml"/><Relationship Id="rId83" Type="http://schemas.openxmlformats.org/officeDocument/2006/relationships/chart" Target="charts/chart31.xml"/><Relationship Id="rId88" Type="http://schemas.openxmlformats.org/officeDocument/2006/relationships/chart" Target="charts/chart36.xml"/><Relationship Id="rId91" Type="http://schemas.openxmlformats.org/officeDocument/2006/relationships/chart" Target="charts/chart39.xml"/><Relationship Id="rId96" Type="http://schemas.openxmlformats.org/officeDocument/2006/relationships/hyperlink" Target="http://www.enterprisesurveys.org/"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ata.un.org/search.aspx?q=gross+value+added+datamart%5bsnaama%5d" TargetMode="External"/><Relationship Id="rId28" Type="http://schemas.openxmlformats.org/officeDocument/2006/relationships/chart" Target="charts/chart2.xml"/><Relationship Id="rId36" Type="http://schemas.openxmlformats.org/officeDocument/2006/relationships/hyperlink" Target="https://data.un.org/search.aspx?q=gross+value+added+datamart%5bsnaama%5d" TargetMode="External"/><Relationship Id="rId49" Type="http://schemas.openxmlformats.org/officeDocument/2006/relationships/hyperlink" Target="http://www.ilo.org/global/research/global-reports/weso/2015/lang--en/index.htm" TargetMode="External"/><Relationship Id="rId57" Type="http://schemas.openxmlformats.org/officeDocument/2006/relationships/chart" Target="charts/chart16.xml"/><Relationship Id="rId10" Type="http://schemas.openxmlformats.org/officeDocument/2006/relationships/webSettings" Target="webSettings.xml"/><Relationship Id="rId31" Type="http://schemas.openxmlformats.org/officeDocument/2006/relationships/hyperlink" Target="http://www.ilo.org/global/research/global-reports/global-employment-trends/2014/WCMS_234879/lang--en/index.htm" TargetMode="External"/><Relationship Id="rId44" Type="http://schemas.openxmlformats.org/officeDocument/2006/relationships/chart" Target="charts/chart10.xml"/><Relationship Id="rId52" Type="http://schemas.openxmlformats.org/officeDocument/2006/relationships/image" Target="media/image2.png"/><Relationship Id="rId60" Type="http://schemas.openxmlformats.org/officeDocument/2006/relationships/image" Target="media/image6.png"/><Relationship Id="rId65" Type="http://schemas.openxmlformats.org/officeDocument/2006/relationships/image" Target="media/image8.png"/><Relationship Id="rId73" Type="http://schemas.openxmlformats.org/officeDocument/2006/relationships/chart" Target="charts/chart23.xml"/><Relationship Id="rId78" Type="http://schemas.openxmlformats.org/officeDocument/2006/relationships/chart" Target="charts/chart26.xml"/><Relationship Id="rId81" Type="http://schemas.openxmlformats.org/officeDocument/2006/relationships/chart" Target="charts/chart29.xml"/><Relationship Id="rId86" Type="http://schemas.openxmlformats.org/officeDocument/2006/relationships/chart" Target="charts/chart34.xml"/><Relationship Id="rId94" Type="http://schemas.openxmlformats.org/officeDocument/2006/relationships/hyperlink" Target="http://www.enterprisesurveys.org/"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lo.org/global/research/global-reports/global-employment-trends/2014/WCMS_234879/lang--en/index.htm" TargetMode="External"/><Relationship Id="rId39" Type="http://schemas.openxmlformats.org/officeDocument/2006/relationships/hyperlink" Target="http://databank.worldbank.org/data/views/variableSelection/selectvariables.aspx?source=world-development-indic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progs.odinet.org.uk/iedg/Economic%20Transformation/SharedDocuments/Data%20analysis/Country%20data/Economic%20structures%20TFP%20and%20wages%20excels/W%20Bank%20and%20Gaza%20-%20non-trad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West%20Bank%20and%20Gaza%20-%20Tra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Trade\Occ.%20Pal.%20Territory%20-%20Trad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ouce-file2.ouce.ox.ac.uk\Users\postgrad\wolf4271\Desktop\SET%20analysis\SET%20figures(A-N).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progs.odinet.org.uk/iedg/Economic%20Transformation/SharedDocuments/Data%20analysis/Country%20data/Trade%20excels/West%20Bank%20and%20Gaza%20-%20Trad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Economic%20structures\W.%20Bank%20and%20Gaza%20-%20economic%20structure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ouce-file2.ouce.ox.ac.uk\Users\postgrad\wolf4271\Desktop\SET%20analysis\SET%20figures(A-N).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ouce-file2.ouce.ox.ac.uk\Users\postgrad\wolf4271\Desktop\SET%20analysis\SET%20figures(A-N).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progs.odinet.org.uk/iedg/Economic%20Transformation/SharedDocuments/Data%20analysis/Country%20data/Trade%20excels/West%20Bank%20and%20Gaza%20-%20Trad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JK%20SET%20figures(A-N).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JK%20SET%20figures(A-N).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ouce-file2.ouce.ox.ac.uk\Users\postgrad\wolf4271\Desktop\SET%20analysis\SET%20figures(A-N).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progs.odinet.org.uk/iedg/Economic%20Transformation/SharedDocuments/Data%20analysis/Country%20data/Trade%20excels/West%20Bank%20and%20Gaza%20-%20Trad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JK%20SET%20figures(A-N).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jkennan\Documents\1%20ODI\000%20DW%20DFID%20SET\JK%20Analysis%20&amp;%20notes\JK%20SET%20figures(A-N).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jkennan\Documents\1%20ODI\0182900F%20DW%20DFID%20SET\Indicator%20files%20-%20May%202015\Exports%20of%20goods%20and%20servic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jkennan\Documents\1%20ODI\0182900F%20DW%20DFID%20SET\Indicator%20files%20-%20May%202015\Services%20exports%20by%20sector%20(%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progs.odinet.org.uk/iedg/Economic%20Transformation/SharedDocuments/Data%20analysis/Country%20data/Economic%20structures%20TFP%20and%20wages%20excels/W%20Bank%20and%20Gaza%20-%20non-trad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kennan\Documents\1%20ODI\0182900F%20DW%20DFID%20SET\SET%20data%20update%202015\West%20Bank%20&amp;%20Gaza%20labour%20productiv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1996-2000</a:t>
            </a:r>
          </a:p>
        </c:rich>
      </c:tx>
      <c:layout/>
      <c:overlay val="0"/>
    </c:title>
    <c:autoTitleDeleted val="0"/>
    <c:plotArea>
      <c:layout/>
      <c:bubbleChart>
        <c:varyColors val="0"/>
        <c:ser>
          <c:idx val="0"/>
          <c:order val="0"/>
          <c:tx>
            <c:strRef>
              <c:f>'Rel. prod. cf employment'!$A$5</c:f>
              <c:strCache>
                <c:ptCount val="1"/>
                <c:pt idx="0">
                  <c:v>Agriculture</c:v>
                </c:pt>
              </c:strCache>
            </c:strRef>
          </c:tx>
          <c:spPr>
            <a:solidFill>
              <a:schemeClr val="accent1"/>
            </a:solidFill>
          </c:spPr>
          <c:invertIfNegative val="0"/>
          <c:xVal>
            <c:numRef>
              <c:f>'Rel. prod. cf employment'!$B$5</c:f>
              <c:numCache>
                <c:formatCode>#,##0.0_ ;\-#,##0.0\ </c:formatCode>
                <c:ptCount val="1"/>
                <c:pt idx="0">
                  <c:v>-0.60000038146980117</c:v>
                </c:pt>
              </c:numCache>
            </c:numRef>
          </c:xVal>
          <c:yVal>
            <c:numRef>
              <c:f>'Rel. prod. cf employment'!$C$5</c:f>
              <c:numCache>
                <c:formatCode>_-* #,##0.0_-;\-* #,##0.0_-;_-* "-"_-;_-@_-</c:formatCode>
                <c:ptCount val="1"/>
                <c:pt idx="0">
                  <c:v>0.7519580455758903</c:v>
                </c:pt>
              </c:numCache>
            </c:numRef>
          </c:yVal>
          <c:bubbleSize>
            <c:numRef>
              <c:f>'Rel. prod. cf employment'!$E$5</c:f>
              <c:numCache>
                <c:formatCode>_(* #,##0_);_(* \(#,##0\);_(* "-"_);_(@_)</c:formatCode>
                <c:ptCount val="1"/>
                <c:pt idx="0">
                  <c:v>75.561139238018484</c:v>
                </c:pt>
              </c:numCache>
            </c:numRef>
          </c:bubbleSize>
          <c:bubble3D val="1"/>
        </c:ser>
        <c:ser>
          <c:idx val="1"/>
          <c:order val="1"/>
          <c:tx>
            <c:strRef>
              <c:f>'Rel. prod. cf employment'!$A$6</c:f>
              <c:strCache>
                <c:ptCount val="1"/>
                <c:pt idx="0">
                  <c:v>Industry</c:v>
                </c:pt>
              </c:strCache>
            </c:strRef>
          </c:tx>
          <c:spPr>
            <a:solidFill>
              <a:schemeClr val="accent3"/>
            </a:solidFill>
            <a:ln w="25400">
              <a:noFill/>
            </a:ln>
          </c:spPr>
          <c:invertIfNegative val="0"/>
          <c:xVal>
            <c:numRef>
              <c:f>'Rel. prod. cf employment'!$B$6</c:f>
              <c:numCache>
                <c:formatCode>#,##0.0_ ;\-#,##0.0\ </c:formatCode>
                <c:ptCount val="1"/>
                <c:pt idx="0">
                  <c:v>6.0000019073486008</c:v>
                </c:pt>
              </c:numCache>
            </c:numRef>
          </c:xVal>
          <c:yVal>
            <c:numRef>
              <c:f>'Rel. prod. cf employment'!$C$6</c:f>
              <c:numCache>
                <c:formatCode>_-* #,##0.0_-;\-* #,##0.0_-;_-* "-"_-;_-@_-</c:formatCode>
                <c:ptCount val="1"/>
                <c:pt idx="0">
                  <c:v>0.68151907732703243</c:v>
                </c:pt>
              </c:numCache>
            </c:numRef>
          </c:yVal>
          <c:bubbleSize>
            <c:numRef>
              <c:f>'Rel. prod. cf employment'!$E$6</c:f>
              <c:numCache>
                <c:formatCode>_(* #,##0_);_(* \(#,##0\);_(* "-"_);_(@_)</c:formatCode>
                <c:ptCount val="1"/>
                <c:pt idx="0">
                  <c:v>189.73017089585031</c:v>
                </c:pt>
              </c:numCache>
            </c:numRef>
          </c:bubbleSize>
          <c:bubble3D val="1"/>
        </c:ser>
        <c:ser>
          <c:idx val="2"/>
          <c:order val="2"/>
          <c:tx>
            <c:strRef>
              <c:f>'Rel. prod. cf employment'!$A$7</c:f>
              <c:strCache>
                <c:ptCount val="1"/>
                <c:pt idx="0">
                  <c:v>Services</c:v>
                </c:pt>
              </c:strCache>
            </c:strRef>
          </c:tx>
          <c:spPr>
            <a:solidFill>
              <a:schemeClr val="accent5"/>
            </a:solidFill>
            <a:ln w="25400">
              <a:noFill/>
            </a:ln>
          </c:spPr>
          <c:invertIfNegative val="0"/>
          <c:xVal>
            <c:numRef>
              <c:f>'Rel. prod. cf employment'!$B$7</c:f>
              <c:numCache>
                <c:formatCode>#,##0.0_ ;\-#,##0.0\ </c:formatCode>
                <c:ptCount val="1"/>
                <c:pt idx="0">
                  <c:v>-5.399997711181598</c:v>
                </c:pt>
              </c:numCache>
            </c:numRef>
          </c:xVal>
          <c:yVal>
            <c:numRef>
              <c:f>'Rel. prod. cf employment'!$C$7</c:f>
              <c:numCache>
                <c:formatCode>_-* #,##0.0_-;\-* #,##0.0_-;_-* "-"_-;_-@_-</c:formatCode>
                <c:ptCount val="1"/>
                <c:pt idx="0">
                  <c:v>1.2765687027202346</c:v>
                </c:pt>
              </c:numCache>
            </c:numRef>
          </c:yVal>
          <c:bubbleSize>
            <c:numRef>
              <c:f>'Rel. prod. cf employment'!$E$7</c:f>
              <c:numCache>
                <c:formatCode>_(* #,##0_);_(* \(#,##0\);_(* "-"_);_(@_)</c:formatCode>
                <c:ptCount val="1"/>
                <c:pt idx="0">
                  <c:v>286.24987564585035</c:v>
                </c:pt>
              </c:numCache>
            </c:numRef>
          </c:bubbleSize>
          <c:bubble3D val="1"/>
        </c:ser>
        <c:dLbls>
          <c:showLegendKey val="0"/>
          <c:showVal val="0"/>
          <c:showCatName val="0"/>
          <c:showSerName val="0"/>
          <c:showPercent val="0"/>
          <c:showBubbleSize val="0"/>
        </c:dLbls>
        <c:bubbleScale val="100"/>
        <c:showNegBubbles val="0"/>
        <c:axId val="91174016"/>
        <c:axId val="91175936"/>
      </c:bubbleChart>
      <c:valAx>
        <c:axId val="91174016"/>
        <c:scaling>
          <c:orientation val="minMax"/>
        </c:scaling>
        <c:delete val="0"/>
        <c:axPos val="b"/>
        <c:title>
          <c:tx>
            <c:rich>
              <a:bodyPr/>
              <a:lstStyle/>
              <a:p>
                <a:pPr>
                  <a:defRPr sz="800" b="0"/>
                </a:pPr>
                <a:r>
                  <a:rPr lang="en-US" sz="800" b="0"/>
                  <a:t>Percentage point change in share of total employment, 1996-2000</a:t>
                </a:r>
              </a:p>
            </c:rich>
          </c:tx>
          <c:layout/>
          <c:overlay val="0"/>
        </c:title>
        <c:numFmt formatCode="#,##0.0_ ;\-#,##0.0\ " sourceLinked="1"/>
        <c:majorTickMark val="out"/>
        <c:minorTickMark val="none"/>
        <c:tickLblPos val="low"/>
        <c:crossAx val="91175936"/>
        <c:crosses val="autoZero"/>
        <c:crossBetween val="midCat"/>
      </c:valAx>
      <c:valAx>
        <c:axId val="91175936"/>
        <c:scaling>
          <c:orientation val="minMax"/>
        </c:scaling>
        <c:delete val="0"/>
        <c:axPos val="l"/>
        <c:majorGridlines/>
        <c:title>
          <c:tx>
            <c:rich>
              <a:bodyPr rot="-5400000" vert="horz"/>
              <a:lstStyle/>
              <a:p>
                <a:pPr>
                  <a:defRPr sz="800" b="0"/>
                </a:pPr>
                <a:r>
                  <a:rPr lang="en-US" sz="800" b="0"/>
                  <a:t>Relative productivity level, 2000</a:t>
                </a:r>
              </a:p>
            </c:rich>
          </c:tx>
          <c:layout/>
          <c:overlay val="0"/>
        </c:title>
        <c:numFmt formatCode="_-* #,##0.0_-;\-* #,##0.0_-;_-* &quot;-&quot;_-;_-@_-" sourceLinked="1"/>
        <c:majorTickMark val="out"/>
        <c:minorTickMark val="none"/>
        <c:tickLblPos val="low"/>
        <c:crossAx val="91174016"/>
        <c:crosses val="autoZero"/>
        <c:crossBetween val="midCat"/>
      </c:valAx>
    </c:plotArea>
    <c:legend>
      <c:legendPos val="r"/>
      <c:layout/>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areaChart>
        <c:grouping val="stacked"/>
        <c:varyColors val="0"/>
        <c:ser>
          <c:idx val="0"/>
          <c:order val="0"/>
          <c:tx>
            <c:strRef>
              <c:f>'Productivity gaps'!$I$5</c:f>
              <c:strCache>
                <c:ptCount val="1"/>
                <c:pt idx="0">
                  <c:v>Agriculture</c:v>
                </c:pt>
              </c:strCache>
            </c:strRef>
          </c:tx>
          <c:spPr>
            <a:solidFill>
              <a:schemeClr val="accent1"/>
            </a:solidFill>
          </c:spPr>
          <c:cat>
            <c:numRef>
              <c:f>'Productivity gaps'!$H$6:$H$16</c:f>
              <c:numCache>
                <c:formatCode>0.00</c:formatCode>
                <c:ptCount val="11"/>
                <c:pt idx="0">
                  <c:v>0</c:v>
                </c:pt>
                <c:pt idx="1">
                  <c:v>0</c:v>
                </c:pt>
                <c:pt idx="2">
                  <c:v>5.75</c:v>
                </c:pt>
                <c:pt idx="3">
                  <c:v>11.5</c:v>
                </c:pt>
                <c:pt idx="4">
                  <c:v>11.5</c:v>
                </c:pt>
                <c:pt idx="5">
                  <c:v>42.600000381469748</c:v>
                </c:pt>
                <c:pt idx="6">
                  <c:v>73.700000762939496</c:v>
                </c:pt>
                <c:pt idx="7">
                  <c:v>73.700000762939496</c:v>
                </c:pt>
                <c:pt idx="8">
                  <c:v>86.850000381469755</c:v>
                </c:pt>
                <c:pt idx="9">
                  <c:v>100</c:v>
                </c:pt>
                <c:pt idx="10">
                  <c:v>100</c:v>
                </c:pt>
              </c:numCache>
            </c:numRef>
          </c:cat>
          <c:val>
            <c:numRef>
              <c:f>'Productivity gaps'!$I$6:$I$16</c:f>
              <c:numCache>
                <c:formatCode>#,##0.0</c:formatCode>
                <c:ptCount val="11"/>
                <c:pt idx="0" formatCode="General">
                  <c:v>0</c:v>
                </c:pt>
                <c:pt idx="1">
                  <c:v>0.52207458936703632</c:v>
                </c:pt>
                <c:pt idx="2">
                  <c:v>0.52207458936703632</c:v>
                </c:pt>
                <c:pt idx="3">
                  <c:v>0.52207458936703632</c:v>
                </c:pt>
                <c:pt idx="4" formatCode="General">
                  <c:v>0</c:v>
                </c:pt>
              </c:numCache>
            </c:numRef>
          </c:val>
        </c:ser>
        <c:ser>
          <c:idx val="1"/>
          <c:order val="1"/>
          <c:tx>
            <c:strRef>
              <c:f>'Productivity gaps'!$J$5</c:f>
              <c:strCache>
                <c:ptCount val="1"/>
                <c:pt idx="0">
                  <c:v>Services</c:v>
                </c:pt>
              </c:strCache>
            </c:strRef>
          </c:tx>
          <c:spPr>
            <a:solidFill>
              <a:schemeClr val="accent6"/>
            </a:solidFill>
          </c:spPr>
          <c:cat>
            <c:numRef>
              <c:f>'Productivity gaps'!$H$6:$H$16</c:f>
              <c:numCache>
                <c:formatCode>0.00</c:formatCode>
                <c:ptCount val="11"/>
                <c:pt idx="0">
                  <c:v>0</c:v>
                </c:pt>
                <c:pt idx="1">
                  <c:v>0</c:v>
                </c:pt>
                <c:pt idx="2">
                  <c:v>5.75</c:v>
                </c:pt>
                <c:pt idx="3">
                  <c:v>11.5</c:v>
                </c:pt>
                <c:pt idx="4">
                  <c:v>11.5</c:v>
                </c:pt>
                <c:pt idx="5">
                  <c:v>42.600000381469748</c:v>
                </c:pt>
                <c:pt idx="6">
                  <c:v>73.700000762939496</c:v>
                </c:pt>
                <c:pt idx="7">
                  <c:v>73.700000762939496</c:v>
                </c:pt>
                <c:pt idx="8">
                  <c:v>86.850000381469755</c:v>
                </c:pt>
                <c:pt idx="9">
                  <c:v>100</c:v>
                </c:pt>
                <c:pt idx="10">
                  <c:v>100</c:v>
                </c:pt>
              </c:numCache>
            </c:numRef>
          </c:cat>
          <c:val>
            <c:numRef>
              <c:f>'Productivity gaps'!$J$6:$J$16</c:f>
              <c:numCache>
                <c:formatCode>General</c:formatCode>
                <c:ptCount val="11"/>
                <c:pt idx="3">
                  <c:v>0</c:v>
                </c:pt>
                <c:pt idx="4" formatCode="#,##0.0">
                  <c:v>1.0377085660693415</c:v>
                </c:pt>
                <c:pt idx="5" formatCode="#,##0.0">
                  <c:v>1.0377085660693415</c:v>
                </c:pt>
                <c:pt idx="6" formatCode="#,##0.0">
                  <c:v>1.0377085660693415</c:v>
                </c:pt>
                <c:pt idx="7">
                  <c:v>0</c:v>
                </c:pt>
              </c:numCache>
            </c:numRef>
          </c:val>
        </c:ser>
        <c:ser>
          <c:idx val="2"/>
          <c:order val="2"/>
          <c:tx>
            <c:strRef>
              <c:f>'Productivity gaps'!$K$5</c:f>
              <c:strCache>
                <c:ptCount val="1"/>
                <c:pt idx="0">
                  <c:v>Industry</c:v>
                </c:pt>
              </c:strCache>
            </c:strRef>
          </c:tx>
          <c:spPr>
            <a:solidFill>
              <a:schemeClr val="bg1">
                <a:lumMod val="75000"/>
              </a:schemeClr>
            </a:solidFill>
          </c:spPr>
          <c:cat>
            <c:numRef>
              <c:f>'Productivity gaps'!$H$6:$H$16</c:f>
              <c:numCache>
                <c:formatCode>0.00</c:formatCode>
                <c:ptCount val="11"/>
                <c:pt idx="0">
                  <c:v>0</c:v>
                </c:pt>
                <c:pt idx="1">
                  <c:v>0</c:v>
                </c:pt>
                <c:pt idx="2">
                  <c:v>5.75</c:v>
                </c:pt>
                <c:pt idx="3">
                  <c:v>11.5</c:v>
                </c:pt>
                <c:pt idx="4">
                  <c:v>11.5</c:v>
                </c:pt>
                <c:pt idx="5">
                  <c:v>42.600000381469748</c:v>
                </c:pt>
                <c:pt idx="6">
                  <c:v>73.700000762939496</c:v>
                </c:pt>
                <c:pt idx="7">
                  <c:v>73.700000762939496</c:v>
                </c:pt>
                <c:pt idx="8">
                  <c:v>86.850000381469755</c:v>
                </c:pt>
                <c:pt idx="9">
                  <c:v>100</c:v>
                </c:pt>
                <c:pt idx="10">
                  <c:v>100</c:v>
                </c:pt>
              </c:numCache>
            </c:numRef>
          </c:cat>
          <c:val>
            <c:numRef>
              <c:f>'Productivity gaps'!$K$6:$K$16</c:f>
              <c:numCache>
                <c:formatCode>General</c:formatCode>
                <c:ptCount val="11"/>
                <c:pt idx="6">
                  <c:v>0</c:v>
                </c:pt>
                <c:pt idx="7" formatCode="#,##0.0">
                  <c:v>1.1197973184560757</c:v>
                </c:pt>
                <c:pt idx="8" formatCode="#,##0.0">
                  <c:v>1.1197973184560757</c:v>
                </c:pt>
                <c:pt idx="9" formatCode="#,##0.0">
                  <c:v>1.1197973184560757</c:v>
                </c:pt>
                <c:pt idx="10">
                  <c:v>0</c:v>
                </c:pt>
              </c:numCache>
            </c:numRef>
          </c:val>
        </c:ser>
        <c:dLbls>
          <c:showLegendKey val="0"/>
          <c:showVal val="0"/>
          <c:showCatName val="0"/>
          <c:showSerName val="0"/>
          <c:showPercent val="0"/>
          <c:showBubbleSize val="0"/>
        </c:dLbls>
        <c:axId val="103448960"/>
        <c:axId val="103450880"/>
      </c:areaChart>
      <c:dateAx>
        <c:axId val="103448960"/>
        <c:scaling>
          <c:orientation val="minMax"/>
          <c:max val="101"/>
        </c:scaling>
        <c:delete val="0"/>
        <c:axPos val="b"/>
        <c:title>
          <c:tx>
            <c:rich>
              <a:bodyPr/>
              <a:lstStyle/>
              <a:p>
                <a:pPr>
                  <a:defRPr b="0"/>
                </a:pPr>
                <a:r>
                  <a:rPr lang="en-US" b="0"/>
                  <a:t>Cumulative share of total employment (%)</a:t>
                </a:r>
              </a:p>
            </c:rich>
          </c:tx>
          <c:overlay val="0"/>
        </c:title>
        <c:numFmt formatCode="0" sourceLinked="0"/>
        <c:majorTickMark val="out"/>
        <c:minorTickMark val="none"/>
        <c:tickLblPos val="nextTo"/>
        <c:crossAx val="103450880"/>
        <c:crosses val="autoZero"/>
        <c:auto val="0"/>
        <c:lblOffset val="100"/>
        <c:baseTimeUnit val="days"/>
        <c:majorUnit val="10"/>
        <c:majorTimeUnit val="days"/>
      </c:dateAx>
      <c:valAx>
        <c:axId val="103450880"/>
        <c:scaling>
          <c:orientation val="minMax"/>
        </c:scaling>
        <c:delete val="0"/>
        <c:axPos val="l"/>
        <c:majorGridlines/>
        <c:title>
          <c:tx>
            <c:rich>
              <a:bodyPr rot="-5400000" vert="horz"/>
              <a:lstStyle/>
              <a:p>
                <a:pPr>
                  <a:defRPr b="0"/>
                </a:pPr>
                <a:r>
                  <a:rPr lang="en-US" b="0"/>
                  <a:t>Relative productivity</a:t>
                </a:r>
              </a:p>
            </c:rich>
          </c:tx>
          <c:overlay val="0"/>
        </c:title>
        <c:numFmt formatCode="General" sourceLinked="1"/>
        <c:majorTickMark val="out"/>
        <c:minorTickMark val="none"/>
        <c:tickLblPos val="nextTo"/>
        <c:crossAx val="103448960"/>
        <c:crosses val="autoZero"/>
        <c:crossBetween val="midCat"/>
      </c:valAx>
    </c:plotArea>
    <c:legend>
      <c:legendPos val="r"/>
      <c:overlay val="0"/>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'Productivity gaps'!$I$5</c:f>
              <c:strCache>
                <c:ptCount val="1"/>
                <c:pt idx="0">
                  <c:v>Agriculture</c:v>
                </c:pt>
              </c:strCache>
            </c:strRef>
          </c:tx>
          <c:spPr>
            <a:solidFill>
              <a:srgbClr val="13CF44"/>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gaps'!$I$6:$I$27</c:f>
              <c:numCache>
                <c:formatCode>#,##0.0</c:formatCode>
                <c:ptCount val="22"/>
                <c:pt idx="0" formatCode="General">
                  <c:v>0</c:v>
                </c:pt>
                <c:pt idx="1">
                  <c:v>0.46242660091733589</c:v>
                </c:pt>
                <c:pt idx="2">
                  <c:v>0.46242660091733589</c:v>
                </c:pt>
                <c:pt idx="3">
                  <c:v>0.46242660091733589</c:v>
                </c:pt>
                <c:pt idx="4" formatCode="General">
                  <c:v>0</c:v>
                </c:pt>
              </c:numCache>
            </c:numRef>
          </c:val>
        </c:ser>
        <c:ser>
          <c:idx val="1"/>
          <c:order val="1"/>
          <c:tx>
            <c:strRef>
              <c:f>'Productivity gaps'!$J$5</c:f>
              <c:strCache>
                <c:ptCount val="1"/>
                <c:pt idx="0">
                  <c:v>Construction</c:v>
                </c:pt>
              </c:strCache>
            </c:strRef>
          </c:tx>
          <c:spPr>
            <a:solidFill>
              <a:srgbClr val="6666FF"/>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gaps'!$J$6:$J$27</c:f>
              <c:numCache>
                <c:formatCode>General</c:formatCode>
                <c:ptCount val="22"/>
                <c:pt idx="3">
                  <c:v>0</c:v>
                </c:pt>
                <c:pt idx="4" formatCode="#,##0.000">
                  <c:v>0.72472077614358388</c:v>
                </c:pt>
                <c:pt idx="5" formatCode="#,##0.000">
                  <c:v>0.72472077614358388</c:v>
                </c:pt>
                <c:pt idx="6" formatCode="#,##0.000">
                  <c:v>0.72472077614358388</c:v>
                </c:pt>
                <c:pt idx="7">
                  <c:v>0</c:v>
                </c:pt>
              </c:numCache>
            </c:numRef>
          </c:val>
        </c:ser>
        <c:ser>
          <c:idx val="2"/>
          <c:order val="2"/>
          <c:tx>
            <c:strRef>
              <c:f>'Productivity gaps'!$K$5</c:f>
              <c:strCache>
                <c:ptCount val="1"/>
                <c:pt idx="0">
                  <c:v>Other</c:v>
                </c:pt>
              </c:strCache>
            </c:strRef>
          </c:tx>
          <c:spPr>
            <a:solidFill>
              <a:srgbClr val="CC6600"/>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gaps'!$K$6:$K$27</c:f>
              <c:numCache>
                <c:formatCode>General</c:formatCode>
                <c:ptCount val="22"/>
                <c:pt idx="6">
                  <c:v>0</c:v>
                </c:pt>
                <c:pt idx="7" formatCode="#,##0.000">
                  <c:v>1.0456515266199127</c:v>
                </c:pt>
                <c:pt idx="8" formatCode="#,##0.000">
                  <c:v>1.0456515266199127</c:v>
                </c:pt>
                <c:pt idx="9" formatCode="#,##0.000">
                  <c:v>1.0456515266199127</c:v>
                </c:pt>
                <c:pt idx="10">
                  <c:v>0</c:v>
                </c:pt>
              </c:numCache>
            </c:numRef>
          </c:val>
        </c:ser>
        <c:ser>
          <c:idx val="3"/>
          <c:order val="3"/>
          <c:tx>
            <c:strRef>
              <c:f>'Productivity gaps'!$L$5</c:f>
              <c:strCache>
                <c:ptCount val="1"/>
                <c:pt idx="0">
                  <c:v>Wholesale, retail, hotels</c:v>
                </c:pt>
              </c:strCache>
            </c:strRef>
          </c:tx>
          <c:spPr>
            <a:solidFill>
              <a:srgbClr val="FF00FF"/>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gaps'!$L$6:$L$27</c:f>
              <c:numCache>
                <c:formatCode>General</c:formatCode>
                <c:ptCount val="22"/>
                <c:pt idx="9">
                  <c:v>0</c:v>
                </c:pt>
                <c:pt idx="10" formatCode="#,##0.0">
                  <c:v>1.1052072157224133</c:v>
                </c:pt>
                <c:pt idx="11" formatCode="#,##0.0">
                  <c:v>1.1052072157224133</c:v>
                </c:pt>
                <c:pt idx="12" formatCode="#,##0.0">
                  <c:v>1.1052072157224133</c:v>
                </c:pt>
                <c:pt idx="13">
                  <c:v>0</c:v>
                </c:pt>
              </c:numCache>
            </c:numRef>
          </c:val>
        </c:ser>
        <c:ser>
          <c:idx val="4"/>
          <c:order val="4"/>
          <c:tx>
            <c:strRef>
              <c:f>'Productivity gaps'!$M$5</c:f>
              <c:strCache>
                <c:ptCount val="1"/>
                <c:pt idx="0">
                  <c:v>Manufacturing</c:v>
                </c:pt>
              </c:strCache>
            </c:strRef>
          </c:tx>
          <c:spPr>
            <a:solidFill>
              <a:srgbClr val="66FFFF"/>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gaps'!$M$6:$M$27</c:f>
              <c:numCache>
                <c:formatCode>General</c:formatCode>
                <c:ptCount val="22"/>
                <c:pt idx="12">
                  <c:v>0</c:v>
                </c:pt>
                <c:pt idx="13" formatCode="#,##0.0">
                  <c:v>1.233471877791138</c:v>
                </c:pt>
                <c:pt idx="14" formatCode="#,##0.0">
                  <c:v>1.233471877791138</c:v>
                </c:pt>
                <c:pt idx="15" formatCode="#,##0.0">
                  <c:v>1.233471877791138</c:v>
                </c:pt>
                <c:pt idx="16">
                  <c:v>0</c:v>
                </c:pt>
              </c:numCache>
            </c:numRef>
          </c:val>
        </c:ser>
        <c:ser>
          <c:idx val="5"/>
          <c:order val="5"/>
          <c:tx>
            <c:strRef>
              <c:f>'Productivity gaps'!$N$5</c:f>
              <c:strCache>
                <c:ptCount val="1"/>
                <c:pt idx="0">
                  <c:v>Transport, storage, comms</c:v>
                </c:pt>
              </c:strCache>
            </c:strRef>
          </c:tx>
          <c:spPr>
            <a:solidFill>
              <a:srgbClr val="000000"/>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gaps'!$N$6:$N$27</c:f>
              <c:numCache>
                <c:formatCode>General</c:formatCode>
                <c:ptCount val="22"/>
                <c:pt idx="15">
                  <c:v>0</c:v>
                </c:pt>
                <c:pt idx="16" formatCode="#,##0.0">
                  <c:v>1.2566754088332048</c:v>
                </c:pt>
                <c:pt idx="17" formatCode="#,##0.0">
                  <c:v>1.2566754088332048</c:v>
                </c:pt>
                <c:pt idx="18" formatCode="#,##0.0">
                  <c:v>1.2566754088332048</c:v>
                </c:pt>
                <c:pt idx="19">
                  <c:v>0</c:v>
                </c:pt>
              </c:numCache>
            </c:numRef>
          </c:val>
        </c:ser>
        <c:ser>
          <c:idx val="6"/>
          <c:order val="6"/>
          <c:tx>
            <c:strRef>
              <c:f>'Productivity gaps'!$O$5</c:f>
              <c:strCache>
                <c:ptCount val="1"/>
                <c:pt idx="0">
                  <c:v>Mining &amp; utilities</c:v>
                </c:pt>
              </c:strCache>
            </c:strRef>
          </c:tx>
          <c:spPr>
            <a:solidFill>
              <a:srgbClr val="FFFF00"/>
            </a:solidFill>
            <a:ln w="3175">
              <a:solidFill>
                <a:schemeClr val="bg1">
                  <a:lumMod val="50000"/>
                </a:schemeClr>
              </a:solidFill>
            </a:ln>
          </c:spPr>
          <c:cat>
            <c:numRef>
              <c:f>'Productivity gaps'!$H$6:$H$27</c:f>
              <c:numCache>
                <c:formatCode>0.00</c:formatCode>
                <c:ptCount val="22"/>
                <c:pt idx="0">
                  <c:v>0</c:v>
                </c:pt>
                <c:pt idx="1">
                  <c:v>0</c:v>
                </c:pt>
                <c:pt idx="2">
                  <c:v>5.2631578947368416</c:v>
                </c:pt>
                <c:pt idx="3">
                  <c:v>10.526315789473683</c:v>
                </c:pt>
                <c:pt idx="4">
                  <c:v>10.526315789473683</c:v>
                </c:pt>
                <c:pt idx="5">
                  <c:v>18.298653610771115</c:v>
                </c:pt>
                <c:pt idx="6">
                  <c:v>26.070991432068546</c:v>
                </c:pt>
                <c:pt idx="7">
                  <c:v>26.070991432068546</c:v>
                </c:pt>
                <c:pt idx="8">
                  <c:v>43.635250917992664</c:v>
                </c:pt>
                <c:pt idx="9">
                  <c:v>61.199510403916776</c:v>
                </c:pt>
                <c:pt idx="10">
                  <c:v>61.199510403916776</c:v>
                </c:pt>
                <c:pt idx="11">
                  <c:v>70.99143206854346</c:v>
                </c:pt>
                <c:pt idx="12">
                  <c:v>80.783353733170145</c:v>
                </c:pt>
                <c:pt idx="13">
                  <c:v>80.783353733170145</c:v>
                </c:pt>
                <c:pt idx="14">
                  <c:v>86.597307221542238</c:v>
                </c:pt>
                <c:pt idx="15">
                  <c:v>92.41126070991433</c:v>
                </c:pt>
                <c:pt idx="16">
                  <c:v>92.41126070991433</c:v>
                </c:pt>
                <c:pt idx="17">
                  <c:v>95.654834761321922</c:v>
                </c:pt>
                <c:pt idx="18">
                  <c:v>98.898408812729514</c:v>
                </c:pt>
                <c:pt idx="19">
                  <c:v>98.898408812729514</c:v>
                </c:pt>
                <c:pt idx="20">
                  <c:v>99.449204406364771</c:v>
                </c:pt>
                <c:pt idx="21">
                  <c:v>100.00000000000003</c:v>
                </c:pt>
              </c:numCache>
            </c:numRef>
          </c:cat>
          <c:val>
            <c:numRef>
              <c:f>'Productivity gaps'!$O$6:$O$27</c:f>
              <c:numCache>
                <c:formatCode>General</c:formatCode>
                <c:ptCount val="22"/>
                <c:pt idx="18">
                  <c:v>0</c:v>
                </c:pt>
                <c:pt idx="19" formatCode="#,##0.0">
                  <c:v>2.7192228930061018</c:v>
                </c:pt>
                <c:pt idx="20" formatCode="#,##0.0">
                  <c:v>2.7192228930061018</c:v>
                </c:pt>
                <c:pt idx="21" formatCode="#,##0.0">
                  <c:v>2.7192228930061018</c:v>
                </c:pt>
              </c:numCache>
            </c:numRef>
          </c:val>
        </c:ser>
        <c:dLbls>
          <c:showLegendKey val="0"/>
          <c:showVal val="0"/>
          <c:showCatName val="0"/>
          <c:showSerName val="0"/>
          <c:showPercent val="0"/>
          <c:showBubbleSize val="0"/>
        </c:dLbls>
        <c:axId val="104039168"/>
        <c:axId val="104041088"/>
      </c:areaChart>
      <c:dateAx>
        <c:axId val="104039168"/>
        <c:scaling>
          <c:orientation val="minMax"/>
          <c:max val="100"/>
        </c:scaling>
        <c:delete val="0"/>
        <c:axPos val="b"/>
        <c:title>
          <c:tx>
            <c:rich>
              <a:bodyPr/>
              <a:lstStyle/>
              <a:p>
                <a:pPr>
                  <a:defRPr b="0"/>
                </a:pPr>
                <a:r>
                  <a:rPr lang="en-GB" b="0"/>
                  <a:t>Cumulative employment share (%)</a:t>
                </a:r>
              </a:p>
            </c:rich>
          </c:tx>
          <c:overlay val="0"/>
        </c:title>
        <c:numFmt formatCode="0" sourceLinked="0"/>
        <c:majorTickMark val="out"/>
        <c:minorTickMark val="none"/>
        <c:tickLblPos val="nextTo"/>
        <c:crossAx val="104041088"/>
        <c:crosses val="autoZero"/>
        <c:auto val="0"/>
        <c:lblOffset val="100"/>
        <c:baseTimeUnit val="days"/>
        <c:majorUnit val="10"/>
        <c:majorTimeUnit val="days"/>
      </c:dateAx>
      <c:valAx>
        <c:axId val="104041088"/>
        <c:scaling>
          <c:orientation val="minMax"/>
        </c:scaling>
        <c:delete val="0"/>
        <c:axPos val="l"/>
        <c:majorGridlines/>
        <c:title>
          <c:tx>
            <c:rich>
              <a:bodyPr rot="-5400000" vert="horz"/>
              <a:lstStyle/>
              <a:p>
                <a:pPr>
                  <a:defRPr b="0"/>
                </a:pPr>
                <a:r>
                  <a:rPr lang="en-US" b="0"/>
                  <a:t>Relative productivity</a:t>
                </a:r>
              </a:p>
            </c:rich>
          </c:tx>
          <c:overlay val="0"/>
        </c:title>
        <c:numFmt formatCode="General" sourceLinked="1"/>
        <c:majorTickMark val="out"/>
        <c:minorTickMark val="none"/>
        <c:tickLblPos val="nextTo"/>
        <c:crossAx val="104039168"/>
        <c:crosses val="autoZero"/>
        <c:crossBetween val="midCat"/>
      </c:valAx>
    </c:plotArea>
    <c:legend>
      <c:legendPos val="r"/>
      <c:overlay val="0"/>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b="0"/>
            </a:pPr>
            <a:r>
              <a:rPr lang="en-US" sz="800" b="0"/>
              <a:t>Male</a:t>
            </a:r>
          </a:p>
        </c:rich>
      </c:tx>
      <c:layout>
        <c:manualLayout>
          <c:xMode val="edge"/>
          <c:yMode val="edge"/>
          <c:x val="0.53454986208218025"/>
          <c:y val="2.7777777777777776E-2"/>
        </c:manualLayout>
      </c:layout>
      <c:overlay val="0"/>
    </c:title>
    <c:autoTitleDeleted val="0"/>
    <c:plotArea>
      <c:layout/>
      <c:barChart>
        <c:barDir val="col"/>
        <c:grouping val="percentStacked"/>
        <c:varyColors val="0"/>
        <c:ser>
          <c:idx val="0"/>
          <c:order val="0"/>
          <c:tx>
            <c:strRef>
              <c:f>'Emp by sex'!$C$6</c:f>
              <c:strCache>
                <c:ptCount val="1"/>
                <c:pt idx="0">
                  <c:v>Agriculture</c:v>
                </c:pt>
              </c:strCache>
            </c:strRef>
          </c:tx>
          <c:spPr>
            <a:solidFill>
              <a:srgbClr val="006C67"/>
            </a:solidFill>
          </c:spPr>
          <c:invertIfNegative val="0"/>
          <c:cat>
            <c:numRef>
              <c:f>'Emp by sex'!$A$7:$A$11</c:f>
              <c:numCache>
                <c:formatCode>0</c:formatCode>
                <c:ptCount val="5"/>
                <c:pt idx="0">
                  <c:v>1991</c:v>
                </c:pt>
                <c:pt idx="1">
                  <c:v>2000</c:v>
                </c:pt>
                <c:pt idx="2">
                  <c:v>2005</c:v>
                </c:pt>
                <c:pt idx="3">
                  <c:v>2010</c:v>
                </c:pt>
                <c:pt idx="4">
                  <c:v>2012</c:v>
                </c:pt>
              </c:numCache>
            </c:numRef>
          </c:cat>
          <c:val>
            <c:numRef>
              <c:f>'Emp by sex'!$C$7:$C$11</c:f>
              <c:numCache>
                <c:formatCode>0.0</c:formatCode>
                <c:ptCount val="5"/>
                <c:pt idx="0">
                  <c:v>13.865439414978027</c:v>
                </c:pt>
                <c:pt idx="1">
                  <c:v>9.8319511413574219</c:v>
                </c:pt>
                <c:pt idx="2">
                  <c:v>11.02118968963623</c:v>
                </c:pt>
                <c:pt idx="3">
                  <c:v>9.9220685958862305</c:v>
                </c:pt>
                <c:pt idx="4">
                  <c:v>8.9228696823120117</c:v>
                </c:pt>
              </c:numCache>
            </c:numRef>
          </c:val>
        </c:ser>
        <c:ser>
          <c:idx val="1"/>
          <c:order val="1"/>
          <c:tx>
            <c:strRef>
              <c:f>'Emp by sex'!$D$6</c:f>
              <c:strCache>
                <c:ptCount val="1"/>
                <c:pt idx="0">
                  <c:v>Industry</c:v>
                </c:pt>
              </c:strCache>
            </c:strRef>
          </c:tx>
          <c:spPr>
            <a:solidFill>
              <a:srgbClr val="E0E0E0"/>
            </a:solidFill>
          </c:spPr>
          <c:invertIfNegative val="0"/>
          <c:cat>
            <c:numRef>
              <c:f>'Emp by sex'!$A$7:$A$11</c:f>
              <c:numCache>
                <c:formatCode>0</c:formatCode>
                <c:ptCount val="5"/>
                <c:pt idx="0">
                  <c:v>1991</c:v>
                </c:pt>
                <c:pt idx="1">
                  <c:v>2000</c:v>
                </c:pt>
                <c:pt idx="2">
                  <c:v>2005</c:v>
                </c:pt>
                <c:pt idx="3">
                  <c:v>2010</c:v>
                </c:pt>
                <c:pt idx="4">
                  <c:v>2012</c:v>
                </c:pt>
              </c:numCache>
            </c:numRef>
          </c:cat>
          <c:val>
            <c:numRef>
              <c:f>'Emp by sex'!$D$7:$D$11</c:f>
              <c:numCache>
                <c:formatCode>0.0</c:formatCode>
                <c:ptCount val="5"/>
                <c:pt idx="0">
                  <c:v>20.434303283691406</c:v>
                </c:pt>
                <c:pt idx="1">
                  <c:v>38.627731323242187</c:v>
                </c:pt>
                <c:pt idx="2">
                  <c:v>29.796159744262695</c:v>
                </c:pt>
                <c:pt idx="3">
                  <c:v>27.997596740722656</c:v>
                </c:pt>
                <c:pt idx="4">
                  <c:v>29.896076202392578</c:v>
                </c:pt>
              </c:numCache>
            </c:numRef>
          </c:val>
        </c:ser>
        <c:ser>
          <c:idx val="2"/>
          <c:order val="2"/>
          <c:tx>
            <c:strRef>
              <c:f>'Emp by sex'!$E$6</c:f>
              <c:strCache>
                <c:ptCount val="1"/>
                <c:pt idx="0">
                  <c:v>Services</c:v>
                </c:pt>
              </c:strCache>
            </c:strRef>
          </c:tx>
          <c:spPr>
            <a:solidFill>
              <a:srgbClr val="F7941E"/>
            </a:solidFill>
          </c:spPr>
          <c:invertIfNegative val="0"/>
          <c:cat>
            <c:numRef>
              <c:f>'Emp by sex'!$A$7:$A$11</c:f>
              <c:numCache>
                <c:formatCode>0</c:formatCode>
                <c:ptCount val="5"/>
                <c:pt idx="0">
                  <c:v>1991</c:v>
                </c:pt>
                <c:pt idx="1">
                  <c:v>2000</c:v>
                </c:pt>
                <c:pt idx="2">
                  <c:v>2005</c:v>
                </c:pt>
                <c:pt idx="3">
                  <c:v>2010</c:v>
                </c:pt>
                <c:pt idx="4">
                  <c:v>2012</c:v>
                </c:pt>
              </c:numCache>
            </c:numRef>
          </c:cat>
          <c:val>
            <c:numRef>
              <c:f>'Emp by sex'!$E$7:$E$11</c:f>
              <c:numCache>
                <c:formatCode>0.0</c:formatCode>
                <c:ptCount val="5"/>
                <c:pt idx="0">
                  <c:v>65.700248718261719</c:v>
                </c:pt>
                <c:pt idx="1">
                  <c:v>51.540317535400391</c:v>
                </c:pt>
                <c:pt idx="2">
                  <c:v>59.182647705078125</c:v>
                </c:pt>
                <c:pt idx="3">
                  <c:v>62.080326080322266</c:v>
                </c:pt>
                <c:pt idx="4">
                  <c:v>61.181049346923828</c:v>
                </c:pt>
              </c:numCache>
            </c:numRef>
          </c:val>
        </c:ser>
        <c:dLbls>
          <c:showLegendKey val="0"/>
          <c:showVal val="0"/>
          <c:showCatName val="0"/>
          <c:showSerName val="0"/>
          <c:showPercent val="0"/>
          <c:showBubbleSize val="0"/>
        </c:dLbls>
        <c:gapWidth val="150"/>
        <c:overlap val="100"/>
        <c:axId val="104049664"/>
        <c:axId val="104059648"/>
      </c:barChart>
      <c:catAx>
        <c:axId val="104049664"/>
        <c:scaling>
          <c:orientation val="minMax"/>
        </c:scaling>
        <c:delete val="0"/>
        <c:axPos val="b"/>
        <c:numFmt formatCode="0" sourceLinked="1"/>
        <c:majorTickMark val="out"/>
        <c:minorTickMark val="none"/>
        <c:tickLblPos val="nextTo"/>
        <c:crossAx val="104059648"/>
        <c:crosses val="autoZero"/>
        <c:auto val="1"/>
        <c:lblAlgn val="ctr"/>
        <c:lblOffset val="100"/>
        <c:noMultiLvlLbl val="0"/>
      </c:catAx>
      <c:valAx>
        <c:axId val="104059648"/>
        <c:scaling>
          <c:orientation val="minMax"/>
        </c:scaling>
        <c:delete val="0"/>
        <c:axPos val="l"/>
        <c:majorGridlines/>
        <c:title>
          <c:tx>
            <c:rich>
              <a:bodyPr rot="-5400000" vert="horz"/>
              <a:lstStyle/>
              <a:p>
                <a:pPr>
                  <a:defRPr b="0"/>
                </a:pPr>
                <a:r>
                  <a:rPr lang="en-US" b="0"/>
                  <a:t>Percent of workforce</a:t>
                </a:r>
              </a:p>
            </c:rich>
          </c:tx>
          <c:overlay val="0"/>
        </c:title>
        <c:numFmt formatCode="0%" sourceLinked="1"/>
        <c:majorTickMark val="out"/>
        <c:minorTickMark val="none"/>
        <c:tickLblPos val="nextTo"/>
        <c:crossAx val="104049664"/>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b="0"/>
            </a:pPr>
            <a:r>
              <a:rPr lang="en-US" sz="800" b="0"/>
              <a:t>Female</a:t>
            </a:r>
          </a:p>
        </c:rich>
      </c:tx>
      <c:layout>
        <c:manualLayout>
          <c:xMode val="edge"/>
          <c:yMode val="edge"/>
          <c:x val="0.26298095716758807"/>
          <c:y val="3.2407407407407406E-2"/>
        </c:manualLayout>
      </c:layout>
      <c:overlay val="0"/>
    </c:title>
    <c:autoTitleDeleted val="0"/>
    <c:plotArea>
      <c:layout/>
      <c:barChart>
        <c:barDir val="col"/>
        <c:grouping val="percentStacked"/>
        <c:varyColors val="0"/>
        <c:ser>
          <c:idx val="0"/>
          <c:order val="0"/>
          <c:tx>
            <c:strRef>
              <c:f>'Emp by sex'!$G$6</c:f>
              <c:strCache>
                <c:ptCount val="1"/>
                <c:pt idx="0">
                  <c:v>Agriculture</c:v>
                </c:pt>
              </c:strCache>
            </c:strRef>
          </c:tx>
          <c:spPr>
            <a:solidFill>
              <a:srgbClr val="006C67"/>
            </a:solidFill>
          </c:spPr>
          <c:invertIfNegative val="0"/>
          <c:cat>
            <c:numRef>
              <c:f>'Emp by sex'!$A$7:$A$11</c:f>
              <c:numCache>
                <c:formatCode>0</c:formatCode>
                <c:ptCount val="5"/>
                <c:pt idx="0">
                  <c:v>1991</c:v>
                </c:pt>
                <c:pt idx="1">
                  <c:v>2000</c:v>
                </c:pt>
                <c:pt idx="2">
                  <c:v>2005</c:v>
                </c:pt>
                <c:pt idx="3">
                  <c:v>2010</c:v>
                </c:pt>
                <c:pt idx="4">
                  <c:v>2012</c:v>
                </c:pt>
              </c:numCache>
            </c:numRef>
          </c:cat>
          <c:val>
            <c:numRef>
              <c:f>'Emp by sex'!$G$7:$G$11</c:f>
              <c:numCache>
                <c:formatCode>0.0</c:formatCode>
                <c:ptCount val="5"/>
                <c:pt idx="0">
                  <c:v>25.171379089355469</c:v>
                </c:pt>
                <c:pt idx="1">
                  <c:v>34.636924743652344</c:v>
                </c:pt>
                <c:pt idx="2">
                  <c:v>32.503997802734375</c:v>
                </c:pt>
                <c:pt idx="3">
                  <c:v>21.412874221801758</c:v>
                </c:pt>
                <c:pt idx="4">
                  <c:v>23.711032867431641</c:v>
                </c:pt>
              </c:numCache>
            </c:numRef>
          </c:val>
        </c:ser>
        <c:ser>
          <c:idx val="1"/>
          <c:order val="1"/>
          <c:tx>
            <c:strRef>
              <c:f>'Emp by sex'!$H$6</c:f>
              <c:strCache>
                <c:ptCount val="1"/>
                <c:pt idx="0">
                  <c:v>Industry</c:v>
                </c:pt>
              </c:strCache>
            </c:strRef>
          </c:tx>
          <c:spPr>
            <a:solidFill>
              <a:srgbClr val="E0E0E0"/>
            </a:solidFill>
            <a:ln>
              <a:noFill/>
            </a:ln>
          </c:spPr>
          <c:invertIfNegative val="0"/>
          <c:cat>
            <c:numRef>
              <c:f>'Emp by sex'!$A$7:$A$11</c:f>
              <c:numCache>
                <c:formatCode>0</c:formatCode>
                <c:ptCount val="5"/>
                <c:pt idx="0">
                  <c:v>1991</c:v>
                </c:pt>
                <c:pt idx="1">
                  <c:v>2000</c:v>
                </c:pt>
                <c:pt idx="2">
                  <c:v>2005</c:v>
                </c:pt>
                <c:pt idx="3">
                  <c:v>2010</c:v>
                </c:pt>
                <c:pt idx="4">
                  <c:v>2012</c:v>
                </c:pt>
              </c:numCache>
            </c:numRef>
          </c:cat>
          <c:val>
            <c:numRef>
              <c:f>'Emp by sex'!$H$7:$H$11</c:f>
              <c:numCache>
                <c:formatCode>0.0</c:formatCode>
                <c:ptCount val="5"/>
                <c:pt idx="0">
                  <c:v>20.739324569702148</c:v>
                </c:pt>
                <c:pt idx="1">
                  <c:v>11.222234725952148</c:v>
                </c:pt>
                <c:pt idx="2">
                  <c:v>8.4132699966430664</c:v>
                </c:pt>
                <c:pt idx="3">
                  <c:v>7.8137493133544922</c:v>
                </c:pt>
                <c:pt idx="4">
                  <c:v>8.8129501342773437</c:v>
                </c:pt>
              </c:numCache>
            </c:numRef>
          </c:val>
        </c:ser>
        <c:ser>
          <c:idx val="2"/>
          <c:order val="2"/>
          <c:tx>
            <c:strRef>
              <c:f>'Emp by sex'!$I$6</c:f>
              <c:strCache>
                <c:ptCount val="1"/>
                <c:pt idx="0">
                  <c:v>Services</c:v>
                </c:pt>
              </c:strCache>
            </c:strRef>
          </c:tx>
          <c:spPr>
            <a:solidFill>
              <a:srgbClr val="F7941E"/>
            </a:solidFill>
          </c:spPr>
          <c:invertIfNegative val="0"/>
          <c:cat>
            <c:numRef>
              <c:f>'Emp by sex'!$A$7:$A$11</c:f>
              <c:numCache>
                <c:formatCode>0</c:formatCode>
                <c:ptCount val="5"/>
                <c:pt idx="0">
                  <c:v>1991</c:v>
                </c:pt>
                <c:pt idx="1">
                  <c:v>2000</c:v>
                </c:pt>
                <c:pt idx="2">
                  <c:v>2005</c:v>
                </c:pt>
                <c:pt idx="3">
                  <c:v>2010</c:v>
                </c:pt>
                <c:pt idx="4">
                  <c:v>2012</c:v>
                </c:pt>
              </c:numCache>
            </c:numRef>
          </c:cat>
          <c:val>
            <c:numRef>
              <c:f>'Emp by sex'!$I$7:$I$11</c:f>
              <c:numCache>
                <c:formatCode>0.0</c:formatCode>
                <c:ptCount val="5"/>
                <c:pt idx="0">
                  <c:v>54.089290618896484</c:v>
                </c:pt>
                <c:pt idx="1">
                  <c:v>54.140834808349609</c:v>
                </c:pt>
                <c:pt idx="2">
                  <c:v>59.082729339599609</c:v>
                </c:pt>
                <c:pt idx="3">
                  <c:v>70.77337646484375</c:v>
                </c:pt>
                <c:pt idx="4">
                  <c:v>67.47601318359375</c:v>
                </c:pt>
              </c:numCache>
            </c:numRef>
          </c:val>
        </c:ser>
        <c:dLbls>
          <c:showLegendKey val="0"/>
          <c:showVal val="0"/>
          <c:showCatName val="0"/>
          <c:showSerName val="0"/>
          <c:showPercent val="0"/>
          <c:showBubbleSize val="0"/>
        </c:dLbls>
        <c:gapWidth val="150"/>
        <c:overlap val="100"/>
        <c:axId val="103516416"/>
        <c:axId val="103522304"/>
      </c:barChart>
      <c:catAx>
        <c:axId val="103516416"/>
        <c:scaling>
          <c:orientation val="minMax"/>
        </c:scaling>
        <c:delete val="0"/>
        <c:axPos val="b"/>
        <c:numFmt formatCode="0" sourceLinked="1"/>
        <c:majorTickMark val="out"/>
        <c:minorTickMark val="none"/>
        <c:tickLblPos val="nextTo"/>
        <c:crossAx val="103522304"/>
        <c:crosses val="autoZero"/>
        <c:auto val="1"/>
        <c:lblAlgn val="ctr"/>
        <c:lblOffset val="100"/>
        <c:noMultiLvlLbl val="0"/>
      </c:catAx>
      <c:valAx>
        <c:axId val="103522304"/>
        <c:scaling>
          <c:orientation val="minMax"/>
        </c:scaling>
        <c:delete val="1"/>
        <c:axPos val="l"/>
        <c:majorGridlines/>
        <c:numFmt formatCode="0%" sourceLinked="1"/>
        <c:majorTickMark val="out"/>
        <c:minorTickMark val="none"/>
        <c:tickLblPos val="nextTo"/>
        <c:crossAx val="103516416"/>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a:pPr>
            <a:r>
              <a:rPr lang="en-US" sz="800"/>
              <a:t>Agriculture</a:t>
            </a:r>
          </a:p>
        </c:rich>
      </c:tx>
      <c:layout>
        <c:manualLayout>
          <c:xMode val="edge"/>
          <c:yMode val="edge"/>
          <c:x val="0.43303974358974356"/>
          <c:y val="2.7777777777777776E-2"/>
        </c:manualLayout>
      </c:layout>
      <c:overlay val="0"/>
    </c:title>
    <c:autoTitleDeleted val="0"/>
    <c:plotArea>
      <c:layout/>
      <c:barChart>
        <c:barDir val="col"/>
        <c:grouping val="clustered"/>
        <c:varyColors val="0"/>
        <c:ser>
          <c:idx val="0"/>
          <c:order val="0"/>
          <c:tx>
            <c:v>Male</c:v>
          </c:tx>
          <c:spPr>
            <a:solidFill>
              <a:srgbClr val="006C67"/>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sex'!$C$36:$C$40</c:f>
              <c:numCache>
                <c:formatCode>0%</c:formatCode>
                <c:ptCount val="5"/>
                <c:pt idx="0">
                  <c:v>0.78167995320929795</c:v>
                </c:pt>
                <c:pt idx="1">
                  <c:v>0.62793245834446509</c:v>
                </c:pt>
                <c:pt idx="2">
                  <c:v>0.5988479771421138</c:v>
                </c:pt>
                <c:pt idx="3">
                  <c:v>0.66543340531744122</c:v>
                </c:pt>
                <c:pt idx="4">
                  <c:v>0.62253138241716532</c:v>
                </c:pt>
              </c:numCache>
            </c:numRef>
          </c:val>
        </c:ser>
        <c:ser>
          <c:idx val="1"/>
          <c:order val="1"/>
          <c:tx>
            <c:v>Female</c:v>
          </c:tx>
          <c:spPr>
            <a:solidFill>
              <a:srgbClr val="F7941E"/>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sex'!$D$36:$D$40</c:f>
              <c:numCache>
                <c:formatCode>0%</c:formatCode>
                <c:ptCount val="5"/>
                <c:pt idx="0">
                  <c:v>0.21832022991023117</c:v>
                </c:pt>
                <c:pt idx="1">
                  <c:v>0.37206767692822768</c:v>
                </c:pt>
                <c:pt idx="2">
                  <c:v>0.40115202285788615</c:v>
                </c:pt>
                <c:pt idx="3">
                  <c:v>0.33456659468255878</c:v>
                </c:pt>
                <c:pt idx="4">
                  <c:v>0.37746872609647886</c:v>
                </c:pt>
              </c:numCache>
            </c:numRef>
          </c:val>
        </c:ser>
        <c:dLbls>
          <c:showLegendKey val="0"/>
          <c:showVal val="0"/>
          <c:showCatName val="0"/>
          <c:showSerName val="0"/>
          <c:showPercent val="0"/>
          <c:showBubbleSize val="0"/>
        </c:dLbls>
        <c:gapWidth val="150"/>
        <c:axId val="103559936"/>
        <c:axId val="103561472"/>
      </c:barChart>
      <c:catAx>
        <c:axId val="103559936"/>
        <c:scaling>
          <c:orientation val="minMax"/>
        </c:scaling>
        <c:delete val="0"/>
        <c:axPos val="b"/>
        <c:numFmt formatCode="General" sourceLinked="1"/>
        <c:majorTickMark val="out"/>
        <c:minorTickMark val="none"/>
        <c:tickLblPos val="nextTo"/>
        <c:crossAx val="103561472"/>
        <c:crosses val="autoZero"/>
        <c:auto val="1"/>
        <c:lblAlgn val="ctr"/>
        <c:lblOffset val="100"/>
        <c:noMultiLvlLbl val="0"/>
      </c:catAx>
      <c:valAx>
        <c:axId val="103561472"/>
        <c:scaling>
          <c:orientation val="minMax"/>
          <c:max val="1"/>
        </c:scaling>
        <c:delete val="0"/>
        <c:axPos val="l"/>
        <c:majorGridlines/>
        <c:numFmt formatCode="0%" sourceLinked="1"/>
        <c:majorTickMark val="out"/>
        <c:minorTickMark val="none"/>
        <c:tickLblPos val="nextTo"/>
        <c:crossAx val="10355993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a:pPr>
            <a:r>
              <a:rPr lang="en-US" sz="800"/>
              <a:t>Industry</a:t>
            </a:r>
          </a:p>
        </c:rich>
      </c:tx>
      <c:layout>
        <c:manualLayout>
          <c:xMode val="edge"/>
          <c:yMode val="edge"/>
          <c:x val="0.38402339181286549"/>
          <c:y val="2.7777777777777776E-2"/>
        </c:manualLayout>
      </c:layout>
      <c:overlay val="0"/>
    </c:title>
    <c:autoTitleDeleted val="0"/>
    <c:plotArea>
      <c:layout/>
      <c:barChart>
        <c:barDir val="col"/>
        <c:grouping val="clustered"/>
        <c:varyColors val="0"/>
        <c:ser>
          <c:idx val="0"/>
          <c:order val="0"/>
          <c:tx>
            <c:v>Male</c:v>
          </c:tx>
          <c:spPr>
            <a:solidFill>
              <a:srgbClr val="006C67"/>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sex'!$E$36:$E$40</c:f>
              <c:numCache>
                <c:formatCode>0%</c:formatCode>
                <c:ptCount val="5"/>
                <c:pt idx="0">
                  <c:v>0.8649438763634254</c:v>
                </c:pt>
                <c:pt idx="1">
                  <c:v>0.953412496105292</c:v>
                </c:pt>
                <c:pt idx="2">
                  <c:v>0.93973164168289891</c:v>
                </c:pt>
                <c:pt idx="3">
                  <c:v>0.93895016670605203</c:v>
                </c:pt>
                <c:pt idx="4">
                  <c:v>0.93697542894301455</c:v>
                </c:pt>
              </c:numCache>
            </c:numRef>
          </c:val>
        </c:ser>
        <c:ser>
          <c:idx val="1"/>
          <c:order val="1"/>
          <c:tx>
            <c:v>Female</c:v>
          </c:tx>
          <c:spPr>
            <a:solidFill>
              <a:srgbClr val="F7941E"/>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sex'!$F$36:$F$40</c:f>
              <c:numCache>
                <c:formatCode>0%</c:formatCode>
                <c:ptCount val="5"/>
                <c:pt idx="0">
                  <c:v>0.13505610988768948</c:v>
                </c:pt>
                <c:pt idx="1">
                  <c:v>4.6587608450627649E-2</c:v>
                </c:pt>
                <c:pt idx="2">
                  <c:v>6.0268768954735152E-2</c:v>
                </c:pt>
                <c:pt idx="3">
                  <c:v>6.1050119386366099E-2</c:v>
                </c:pt>
                <c:pt idx="4">
                  <c:v>6.3024424818103206E-2</c:v>
                </c:pt>
              </c:numCache>
            </c:numRef>
          </c:val>
        </c:ser>
        <c:dLbls>
          <c:showLegendKey val="0"/>
          <c:showVal val="0"/>
          <c:showCatName val="0"/>
          <c:showSerName val="0"/>
          <c:showPercent val="0"/>
          <c:showBubbleSize val="0"/>
        </c:dLbls>
        <c:gapWidth val="150"/>
        <c:axId val="103586432"/>
        <c:axId val="103588224"/>
      </c:barChart>
      <c:catAx>
        <c:axId val="103586432"/>
        <c:scaling>
          <c:orientation val="minMax"/>
        </c:scaling>
        <c:delete val="0"/>
        <c:axPos val="b"/>
        <c:numFmt formatCode="General" sourceLinked="1"/>
        <c:majorTickMark val="out"/>
        <c:minorTickMark val="none"/>
        <c:tickLblPos val="nextTo"/>
        <c:crossAx val="103588224"/>
        <c:crosses val="autoZero"/>
        <c:auto val="1"/>
        <c:lblAlgn val="ctr"/>
        <c:lblOffset val="100"/>
        <c:noMultiLvlLbl val="0"/>
      </c:catAx>
      <c:valAx>
        <c:axId val="103588224"/>
        <c:scaling>
          <c:orientation val="minMax"/>
          <c:max val="1"/>
        </c:scaling>
        <c:delete val="1"/>
        <c:axPos val="l"/>
        <c:majorGridlines/>
        <c:numFmt formatCode="0%" sourceLinked="1"/>
        <c:majorTickMark val="out"/>
        <c:minorTickMark val="none"/>
        <c:tickLblPos val="nextTo"/>
        <c:crossAx val="10358643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a:pPr>
            <a:r>
              <a:rPr lang="en-US" sz="800"/>
              <a:t>Services</a:t>
            </a:r>
          </a:p>
        </c:rich>
      </c:tx>
      <c:layout>
        <c:manualLayout>
          <c:xMode val="edge"/>
          <c:yMode val="edge"/>
          <c:x val="0.28404773082942097"/>
          <c:y val="2.7777777777777776E-2"/>
        </c:manualLayout>
      </c:layout>
      <c:overlay val="0"/>
    </c:title>
    <c:autoTitleDeleted val="0"/>
    <c:plotArea>
      <c:layout/>
      <c:barChart>
        <c:barDir val="col"/>
        <c:grouping val="clustered"/>
        <c:varyColors val="0"/>
        <c:ser>
          <c:idx val="0"/>
          <c:order val="0"/>
          <c:tx>
            <c:v>Male</c:v>
          </c:tx>
          <c:spPr>
            <a:solidFill>
              <a:srgbClr val="006C67"/>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sex'!$G$36:$G$40</c:f>
              <c:numCache>
                <c:formatCode>0%</c:formatCode>
                <c:ptCount val="5"/>
                <c:pt idx="0">
                  <c:v>0.887579957285904</c:v>
                </c:pt>
                <c:pt idx="1">
                  <c:v>0.84984865423280953</c:v>
                </c:pt>
                <c:pt idx="2">
                  <c:v>0.81516089647673862</c:v>
                </c:pt>
                <c:pt idx="3">
                  <c:v>0.7901417378439457</c:v>
                </c:pt>
                <c:pt idx="4">
                  <c:v>0.79894205363216131</c:v>
                </c:pt>
              </c:numCache>
            </c:numRef>
          </c:val>
        </c:ser>
        <c:ser>
          <c:idx val="1"/>
          <c:order val="1"/>
          <c:tx>
            <c:v>Female</c:v>
          </c:tx>
          <c:spPr>
            <a:solidFill>
              <a:srgbClr val="F7941E"/>
            </a:solidFill>
          </c:spPr>
          <c:invertIfNegative val="0"/>
          <c:cat>
            <c:numRef>
              <c:f>'Emp by sex'!$A$36:$A$40</c:f>
              <c:numCache>
                <c:formatCode>General</c:formatCode>
                <c:ptCount val="5"/>
                <c:pt idx="0">
                  <c:v>1991</c:v>
                </c:pt>
                <c:pt idx="1">
                  <c:v>2000</c:v>
                </c:pt>
                <c:pt idx="2">
                  <c:v>2005</c:v>
                </c:pt>
                <c:pt idx="3">
                  <c:v>2010</c:v>
                </c:pt>
                <c:pt idx="4">
                  <c:v>2012</c:v>
                </c:pt>
              </c:numCache>
            </c:numRef>
          </c:cat>
          <c:val>
            <c:numRef>
              <c:f>'Emp by sex'!$H$36:$H$40</c:f>
              <c:numCache>
                <c:formatCode>0%</c:formatCode>
                <c:ptCount val="5"/>
                <c:pt idx="0">
                  <c:v>0.11241991107007718</c:v>
                </c:pt>
                <c:pt idx="1">
                  <c:v>0.15015120606877841</c:v>
                </c:pt>
                <c:pt idx="2">
                  <c:v>0.18483898782346408</c:v>
                </c:pt>
                <c:pt idx="3">
                  <c:v>0.20985832730191259</c:v>
                </c:pt>
                <c:pt idx="4">
                  <c:v>0.20105804792159074</c:v>
                </c:pt>
              </c:numCache>
            </c:numRef>
          </c:val>
        </c:ser>
        <c:dLbls>
          <c:showLegendKey val="0"/>
          <c:showVal val="0"/>
          <c:showCatName val="0"/>
          <c:showSerName val="0"/>
          <c:showPercent val="0"/>
          <c:showBubbleSize val="0"/>
        </c:dLbls>
        <c:gapWidth val="150"/>
        <c:axId val="103609472"/>
        <c:axId val="103611008"/>
      </c:barChart>
      <c:catAx>
        <c:axId val="103609472"/>
        <c:scaling>
          <c:orientation val="minMax"/>
        </c:scaling>
        <c:delete val="0"/>
        <c:axPos val="b"/>
        <c:numFmt formatCode="General" sourceLinked="1"/>
        <c:majorTickMark val="out"/>
        <c:minorTickMark val="none"/>
        <c:tickLblPos val="nextTo"/>
        <c:crossAx val="103611008"/>
        <c:crosses val="autoZero"/>
        <c:auto val="1"/>
        <c:lblAlgn val="ctr"/>
        <c:lblOffset val="100"/>
        <c:noMultiLvlLbl val="0"/>
      </c:catAx>
      <c:valAx>
        <c:axId val="103611008"/>
        <c:scaling>
          <c:orientation val="minMax"/>
          <c:max val="1"/>
        </c:scaling>
        <c:delete val="1"/>
        <c:axPos val="l"/>
        <c:majorGridlines/>
        <c:numFmt formatCode="0%" sourceLinked="1"/>
        <c:majorTickMark val="out"/>
        <c:minorTickMark val="none"/>
        <c:tickLblPos val="nextTo"/>
        <c:crossAx val="103609472"/>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a:pPr>
            <a:r>
              <a:rPr lang="en-US" sz="800"/>
              <a:t>Male</a:t>
            </a:r>
          </a:p>
        </c:rich>
      </c:tx>
      <c:layout>
        <c:manualLayout>
          <c:xMode val="edge"/>
          <c:yMode val="edge"/>
          <c:x val="0.33084711286089241"/>
          <c:y val="2.7777777777777776E-2"/>
        </c:manualLayout>
      </c:layout>
      <c:overlay val="0"/>
    </c:title>
    <c:autoTitleDeleted val="0"/>
    <c:plotArea>
      <c:layout/>
      <c:barChart>
        <c:barDir val="col"/>
        <c:grouping val="percentStacked"/>
        <c:varyColors val="0"/>
        <c:ser>
          <c:idx val="0"/>
          <c:order val="0"/>
          <c:tx>
            <c:strRef>
              <c:f>'Sectoral employ by sex'!$A$6</c:f>
              <c:strCache>
                <c:ptCount val="1"/>
                <c:pt idx="0">
                  <c:v>Agriculture</c:v>
                </c:pt>
              </c:strCache>
            </c:strRef>
          </c:tx>
          <c:spPr>
            <a:solidFill>
              <a:schemeClr val="accent1"/>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sex'!$B$6:$F$6</c:f>
              <c:numCache>
                <c:formatCode>General</c:formatCode>
                <c:ptCount val="5"/>
                <c:pt idx="0">
                  <c:v>13.600000000000001</c:v>
                </c:pt>
                <c:pt idx="1">
                  <c:v>10.200000000000001</c:v>
                </c:pt>
                <c:pt idx="2">
                  <c:v>10.5</c:v>
                </c:pt>
                <c:pt idx="3">
                  <c:v>9.6000000000000014</c:v>
                </c:pt>
                <c:pt idx="4">
                  <c:v>8.1</c:v>
                </c:pt>
              </c:numCache>
            </c:numRef>
          </c:val>
        </c:ser>
        <c:ser>
          <c:idx val="1"/>
          <c:order val="1"/>
          <c:tx>
            <c:strRef>
              <c:f>'Sectoral employ by sex'!$A$7</c:f>
              <c:strCache>
                <c:ptCount val="1"/>
                <c:pt idx="0">
                  <c:v>Mining and utilities</c:v>
                </c:pt>
              </c:strCache>
            </c:strRef>
          </c:tx>
          <c:spPr>
            <a:solidFill>
              <a:schemeClr val="tx1"/>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sex'!$B$7:$F$7</c:f>
              <c:numCache>
                <c:formatCode>General</c:formatCode>
                <c:ptCount val="5"/>
                <c:pt idx="0">
                  <c:v>1.4000000000000001</c:v>
                </c:pt>
                <c:pt idx="1">
                  <c:v>0.5</c:v>
                </c:pt>
                <c:pt idx="2">
                  <c:v>0.7</c:v>
                </c:pt>
                <c:pt idx="3">
                  <c:v>0.8</c:v>
                </c:pt>
                <c:pt idx="4">
                  <c:v>1.3000000000000003</c:v>
                </c:pt>
              </c:numCache>
            </c:numRef>
          </c:val>
        </c:ser>
        <c:ser>
          <c:idx val="2"/>
          <c:order val="2"/>
          <c:tx>
            <c:strRef>
              <c:f>'Sectoral employ by sex'!$A$8</c:f>
              <c:strCache>
                <c:ptCount val="1"/>
                <c:pt idx="0">
                  <c:v>Manufacturing</c:v>
                </c:pt>
              </c:strCache>
            </c:strRef>
          </c:tx>
          <c:spPr>
            <a:solidFill>
              <a:schemeClr val="accent4"/>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sex'!$B$8:$F$8</c:f>
              <c:numCache>
                <c:formatCode>General</c:formatCode>
                <c:ptCount val="5"/>
                <c:pt idx="0">
                  <c:v>18.3</c:v>
                </c:pt>
                <c:pt idx="1">
                  <c:v>14.600000000000001</c:v>
                </c:pt>
                <c:pt idx="2">
                  <c:v>13.9</c:v>
                </c:pt>
                <c:pt idx="3">
                  <c:v>13.200000000000001</c:v>
                </c:pt>
                <c:pt idx="4">
                  <c:v>12.100000000000001</c:v>
                </c:pt>
              </c:numCache>
            </c:numRef>
          </c:val>
        </c:ser>
        <c:ser>
          <c:idx val="3"/>
          <c:order val="3"/>
          <c:tx>
            <c:strRef>
              <c:f>'Sectoral employ by sex'!$A$9</c:f>
              <c:strCache>
                <c:ptCount val="1"/>
                <c:pt idx="0">
                  <c:v>Construction</c:v>
                </c:pt>
              </c:strCache>
            </c:strRef>
          </c:tx>
          <c:spPr>
            <a:solidFill>
              <a:schemeClr val="accent5">
                <a:lumMod val="50000"/>
              </a:schemeClr>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sex'!$B$9:$F$9</c:f>
              <c:numCache>
                <c:formatCode>General</c:formatCode>
                <c:ptCount val="5"/>
                <c:pt idx="0">
                  <c:v>11.600000000000001</c:v>
                </c:pt>
                <c:pt idx="1">
                  <c:v>23</c:v>
                </c:pt>
                <c:pt idx="2">
                  <c:v>15.700000000000001</c:v>
                </c:pt>
                <c:pt idx="3">
                  <c:v>16.3</c:v>
                </c:pt>
                <c:pt idx="4">
                  <c:v>19.100000000000001</c:v>
                </c:pt>
              </c:numCache>
            </c:numRef>
          </c:val>
        </c:ser>
        <c:ser>
          <c:idx val="4"/>
          <c:order val="4"/>
          <c:tx>
            <c:strRef>
              <c:f>'Sectoral employ by sex'!$A$10</c:f>
              <c:strCache>
                <c:ptCount val="1"/>
                <c:pt idx="0">
                  <c:v>Wholesale, retail, hotels</c:v>
                </c:pt>
              </c:strCache>
            </c:strRef>
          </c:tx>
          <c:spPr>
            <a:solidFill>
              <a:schemeClr val="accent2"/>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sex'!$B$10:$F$10</c:f>
              <c:numCache>
                <c:formatCode>General</c:formatCode>
                <c:ptCount val="5"/>
                <c:pt idx="0">
                  <c:v>20.900000000000002</c:v>
                </c:pt>
                <c:pt idx="1">
                  <c:v>19</c:v>
                </c:pt>
                <c:pt idx="2">
                  <c:v>21.9</c:v>
                </c:pt>
                <c:pt idx="3">
                  <c:v>23</c:v>
                </c:pt>
                <c:pt idx="4">
                  <c:v>22.3</c:v>
                </c:pt>
              </c:numCache>
            </c:numRef>
          </c:val>
        </c:ser>
        <c:ser>
          <c:idx val="5"/>
          <c:order val="5"/>
          <c:tx>
            <c:strRef>
              <c:f>'Sectoral employ by sex'!$A$11</c:f>
              <c:strCache>
                <c:ptCount val="1"/>
                <c:pt idx="0">
                  <c:v>Transport, storage, comms</c:v>
                </c:pt>
              </c:strCache>
            </c:strRef>
          </c:tx>
          <c:spPr>
            <a:solidFill>
              <a:schemeClr val="bg1">
                <a:lumMod val="50000"/>
              </a:schemeClr>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sex'!$B$11:$F$11</c:f>
              <c:numCache>
                <c:formatCode>General</c:formatCode>
                <c:ptCount val="5"/>
                <c:pt idx="0">
                  <c:v>5.5</c:v>
                </c:pt>
                <c:pt idx="1">
                  <c:v>5.7</c:v>
                </c:pt>
                <c:pt idx="2">
                  <c:v>6.9</c:v>
                </c:pt>
                <c:pt idx="3">
                  <c:v>7.2</c:v>
                </c:pt>
                <c:pt idx="4">
                  <c:v>7.7</c:v>
                </c:pt>
              </c:numCache>
            </c:numRef>
          </c:val>
        </c:ser>
        <c:ser>
          <c:idx val="6"/>
          <c:order val="6"/>
          <c:tx>
            <c:strRef>
              <c:f>'Sectoral employ by sex'!$A$12</c:f>
              <c:strCache>
                <c:ptCount val="1"/>
                <c:pt idx="0">
                  <c:v>Other</c:v>
                </c:pt>
              </c:strCache>
            </c:strRef>
          </c:tx>
          <c:spPr>
            <a:solidFill>
              <a:schemeClr val="accent5"/>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sex'!$B$12:$F$12</c:f>
              <c:numCache>
                <c:formatCode>General</c:formatCode>
                <c:ptCount val="5"/>
                <c:pt idx="0">
                  <c:v>28.599999999999998</c:v>
                </c:pt>
                <c:pt idx="1">
                  <c:v>26.900000000000002</c:v>
                </c:pt>
                <c:pt idx="2">
                  <c:v>30.400000000000002</c:v>
                </c:pt>
                <c:pt idx="3">
                  <c:v>29.7</c:v>
                </c:pt>
                <c:pt idx="4">
                  <c:v>29.299999999999997</c:v>
                </c:pt>
              </c:numCache>
            </c:numRef>
          </c:val>
        </c:ser>
        <c:dLbls>
          <c:showLegendKey val="0"/>
          <c:showVal val="0"/>
          <c:showCatName val="0"/>
          <c:showSerName val="0"/>
          <c:showPercent val="0"/>
          <c:showBubbleSize val="0"/>
        </c:dLbls>
        <c:gapWidth val="150"/>
        <c:overlap val="100"/>
        <c:axId val="103664256"/>
        <c:axId val="103682432"/>
      </c:barChart>
      <c:catAx>
        <c:axId val="103664256"/>
        <c:scaling>
          <c:orientation val="minMax"/>
        </c:scaling>
        <c:delete val="0"/>
        <c:axPos val="b"/>
        <c:numFmt formatCode="General" sourceLinked="1"/>
        <c:majorTickMark val="out"/>
        <c:minorTickMark val="none"/>
        <c:tickLblPos val="nextTo"/>
        <c:crossAx val="103682432"/>
        <c:crosses val="autoZero"/>
        <c:auto val="1"/>
        <c:lblAlgn val="ctr"/>
        <c:lblOffset val="100"/>
        <c:noMultiLvlLbl val="0"/>
      </c:catAx>
      <c:valAx>
        <c:axId val="103682432"/>
        <c:scaling>
          <c:orientation val="minMax"/>
          <c:max val="1"/>
          <c:min val="0"/>
        </c:scaling>
        <c:delete val="0"/>
        <c:axPos val="l"/>
        <c:majorGridlines/>
        <c:numFmt formatCode="0%" sourceLinked="1"/>
        <c:majorTickMark val="out"/>
        <c:minorTickMark val="none"/>
        <c:tickLblPos val="nextTo"/>
        <c:crossAx val="103664256"/>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800"/>
            </a:pPr>
            <a:r>
              <a:rPr lang="en-US" sz="800"/>
              <a:t>Female</a:t>
            </a:r>
          </a:p>
        </c:rich>
      </c:tx>
      <c:layout>
        <c:manualLayout>
          <c:xMode val="edge"/>
          <c:yMode val="edge"/>
          <c:x val="0.27175012014343275"/>
          <c:y val="2.7777777777777776E-2"/>
        </c:manualLayout>
      </c:layout>
      <c:overlay val="0"/>
    </c:title>
    <c:autoTitleDeleted val="0"/>
    <c:plotArea>
      <c:layout/>
      <c:barChart>
        <c:barDir val="col"/>
        <c:grouping val="percentStacked"/>
        <c:varyColors val="0"/>
        <c:ser>
          <c:idx val="0"/>
          <c:order val="0"/>
          <c:tx>
            <c:strRef>
              <c:f>'Sectoral employ by sex'!$A$6</c:f>
              <c:strCache>
                <c:ptCount val="1"/>
                <c:pt idx="0">
                  <c:v>Agriculture</c:v>
                </c:pt>
              </c:strCache>
            </c:strRef>
          </c:tx>
          <c:spPr>
            <a:solidFill>
              <a:schemeClr val="accent1"/>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sex'!$G$6:$K$6</c:f>
              <c:numCache>
                <c:formatCode>General</c:formatCode>
                <c:ptCount val="5"/>
                <c:pt idx="0">
                  <c:v>29.3</c:v>
                </c:pt>
                <c:pt idx="1">
                  <c:v>34.5</c:v>
                </c:pt>
                <c:pt idx="2">
                  <c:v>32.5</c:v>
                </c:pt>
                <c:pt idx="3">
                  <c:v>21.8</c:v>
                </c:pt>
                <c:pt idx="4">
                  <c:v>20.900000000000002</c:v>
                </c:pt>
              </c:numCache>
            </c:numRef>
          </c:val>
        </c:ser>
        <c:ser>
          <c:idx val="1"/>
          <c:order val="1"/>
          <c:tx>
            <c:strRef>
              <c:f>'Sectoral employ by sex'!$A$7</c:f>
              <c:strCache>
                <c:ptCount val="1"/>
                <c:pt idx="0">
                  <c:v>Mining and utilities</c:v>
                </c:pt>
              </c:strCache>
            </c:strRef>
          </c:tx>
          <c:spPr>
            <a:solidFill>
              <a:schemeClr val="tx1"/>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sex'!$G$7:$K$7</c:f>
              <c:numCache>
                <c:formatCode>General</c:formatCode>
                <c:ptCount val="5"/>
                <c:pt idx="0">
                  <c:v>0.2</c:v>
                </c:pt>
                <c:pt idx="1">
                  <c:v>0.30000000000000004</c:v>
                </c:pt>
                <c:pt idx="2">
                  <c:v>0.1</c:v>
                </c:pt>
                <c:pt idx="3">
                  <c:v>0.1</c:v>
                </c:pt>
                <c:pt idx="4">
                  <c:v>0.4</c:v>
                </c:pt>
              </c:numCache>
            </c:numRef>
          </c:val>
        </c:ser>
        <c:ser>
          <c:idx val="2"/>
          <c:order val="2"/>
          <c:tx>
            <c:strRef>
              <c:f>'Sectoral employ by sex'!$A$8</c:f>
              <c:strCache>
                <c:ptCount val="1"/>
                <c:pt idx="0">
                  <c:v>Manufacturing</c:v>
                </c:pt>
              </c:strCache>
            </c:strRef>
          </c:tx>
          <c:spPr>
            <a:solidFill>
              <a:schemeClr val="accent4"/>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sex'!$G$8:$K$8</c:f>
              <c:numCache>
                <c:formatCode>General</c:formatCode>
                <c:ptCount val="5"/>
                <c:pt idx="0">
                  <c:v>18.2</c:v>
                </c:pt>
                <c:pt idx="1">
                  <c:v>10.9</c:v>
                </c:pt>
                <c:pt idx="2">
                  <c:v>8.1</c:v>
                </c:pt>
                <c:pt idx="3">
                  <c:v>10.3</c:v>
                </c:pt>
                <c:pt idx="4">
                  <c:v>9.8000000000000007</c:v>
                </c:pt>
              </c:numCache>
            </c:numRef>
          </c:val>
        </c:ser>
        <c:ser>
          <c:idx val="3"/>
          <c:order val="3"/>
          <c:tx>
            <c:strRef>
              <c:f>'Sectoral employ by sex'!$A$9</c:f>
              <c:strCache>
                <c:ptCount val="1"/>
                <c:pt idx="0">
                  <c:v>Construction</c:v>
                </c:pt>
              </c:strCache>
            </c:strRef>
          </c:tx>
          <c:spPr>
            <a:solidFill>
              <a:schemeClr val="accent5">
                <a:lumMod val="50000"/>
              </a:schemeClr>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sex'!$G$9:$K$9</c:f>
              <c:numCache>
                <c:formatCode>General</c:formatCode>
                <c:ptCount val="5"/>
                <c:pt idx="0">
                  <c:v>0.5</c:v>
                </c:pt>
                <c:pt idx="1">
                  <c:v>0.30000000000000004</c:v>
                </c:pt>
                <c:pt idx="2">
                  <c:v>0.30000000000000004</c:v>
                </c:pt>
                <c:pt idx="3">
                  <c:v>0.30000000000000004</c:v>
                </c:pt>
                <c:pt idx="4">
                  <c:v>0.2</c:v>
                </c:pt>
              </c:numCache>
            </c:numRef>
          </c:val>
        </c:ser>
        <c:ser>
          <c:idx val="4"/>
          <c:order val="4"/>
          <c:tx>
            <c:strRef>
              <c:f>'Sectoral employ by sex'!$A$10</c:f>
              <c:strCache>
                <c:ptCount val="1"/>
                <c:pt idx="0">
                  <c:v>Wholesale, retail, hotels</c:v>
                </c:pt>
              </c:strCache>
            </c:strRef>
          </c:tx>
          <c:spPr>
            <a:solidFill>
              <a:schemeClr val="accent2"/>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sex'!$G$10:$K$10</c:f>
              <c:numCache>
                <c:formatCode>General</c:formatCode>
                <c:ptCount val="5"/>
                <c:pt idx="0">
                  <c:v>7.5000000000000009</c:v>
                </c:pt>
                <c:pt idx="1">
                  <c:v>7.8</c:v>
                </c:pt>
                <c:pt idx="2">
                  <c:v>8.2999999999999989</c:v>
                </c:pt>
                <c:pt idx="3">
                  <c:v>8</c:v>
                </c:pt>
                <c:pt idx="4">
                  <c:v>8.4</c:v>
                </c:pt>
              </c:numCache>
            </c:numRef>
          </c:val>
        </c:ser>
        <c:ser>
          <c:idx val="5"/>
          <c:order val="5"/>
          <c:tx>
            <c:strRef>
              <c:f>'Sectoral employ by sex'!$A$11</c:f>
              <c:strCache>
                <c:ptCount val="1"/>
                <c:pt idx="0">
                  <c:v>Transport, storage, comms</c:v>
                </c:pt>
              </c:strCache>
            </c:strRef>
          </c:tx>
          <c:spPr>
            <a:solidFill>
              <a:schemeClr val="bg1">
                <a:lumMod val="50000"/>
              </a:schemeClr>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sex'!$G$11:$K$11</c:f>
              <c:numCache>
                <c:formatCode>General</c:formatCode>
                <c:ptCount val="5"/>
                <c:pt idx="0">
                  <c:v>0.60000000000000009</c:v>
                </c:pt>
                <c:pt idx="1">
                  <c:v>0.8</c:v>
                </c:pt>
                <c:pt idx="2">
                  <c:v>0.60000000000000009</c:v>
                </c:pt>
                <c:pt idx="3">
                  <c:v>0.9</c:v>
                </c:pt>
                <c:pt idx="4">
                  <c:v>1.3</c:v>
                </c:pt>
              </c:numCache>
            </c:numRef>
          </c:val>
        </c:ser>
        <c:ser>
          <c:idx val="6"/>
          <c:order val="6"/>
          <c:tx>
            <c:strRef>
              <c:f>'Sectoral employ by sex'!$A$12</c:f>
              <c:strCache>
                <c:ptCount val="1"/>
                <c:pt idx="0">
                  <c:v>Other</c:v>
                </c:pt>
              </c:strCache>
            </c:strRef>
          </c:tx>
          <c:spPr>
            <a:solidFill>
              <a:schemeClr val="accent5"/>
            </a:solidFill>
          </c:spPr>
          <c:invertIfNegative val="0"/>
          <c:cat>
            <c:numRef>
              <c:f>'Sectoral employ by sex'!$B$5:$F$5</c:f>
              <c:numCache>
                <c:formatCode>General</c:formatCode>
                <c:ptCount val="5"/>
                <c:pt idx="0">
                  <c:v>1991</c:v>
                </c:pt>
                <c:pt idx="1">
                  <c:v>2000</c:v>
                </c:pt>
                <c:pt idx="2">
                  <c:v>2005</c:v>
                </c:pt>
                <c:pt idx="3">
                  <c:v>2010</c:v>
                </c:pt>
                <c:pt idx="4">
                  <c:v>2013</c:v>
                </c:pt>
              </c:numCache>
            </c:numRef>
          </c:cat>
          <c:val>
            <c:numRef>
              <c:f>'Sectoral employ by sex'!$G$12:$K$12</c:f>
              <c:numCache>
                <c:formatCode>General</c:formatCode>
                <c:ptCount val="5"/>
                <c:pt idx="0">
                  <c:v>43.6</c:v>
                </c:pt>
                <c:pt idx="1">
                  <c:v>45.4</c:v>
                </c:pt>
                <c:pt idx="2">
                  <c:v>50.100000000000009</c:v>
                </c:pt>
                <c:pt idx="3">
                  <c:v>58.7</c:v>
                </c:pt>
                <c:pt idx="4">
                  <c:v>59</c:v>
                </c:pt>
              </c:numCache>
            </c:numRef>
          </c:val>
        </c:ser>
        <c:dLbls>
          <c:showLegendKey val="0"/>
          <c:showVal val="0"/>
          <c:showCatName val="0"/>
          <c:showSerName val="0"/>
          <c:showPercent val="0"/>
          <c:showBubbleSize val="0"/>
        </c:dLbls>
        <c:gapWidth val="150"/>
        <c:overlap val="100"/>
        <c:axId val="103720064"/>
        <c:axId val="103721600"/>
      </c:barChart>
      <c:catAx>
        <c:axId val="103720064"/>
        <c:scaling>
          <c:orientation val="minMax"/>
        </c:scaling>
        <c:delete val="0"/>
        <c:axPos val="b"/>
        <c:numFmt formatCode="General" sourceLinked="1"/>
        <c:majorTickMark val="out"/>
        <c:minorTickMark val="none"/>
        <c:tickLblPos val="nextTo"/>
        <c:crossAx val="103721600"/>
        <c:crosses val="autoZero"/>
        <c:auto val="1"/>
        <c:lblAlgn val="ctr"/>
        <c:lblOffset val="100"/>
        <c:noMultiLvlLbl val="0"/>
      </c:catAx>
      <c:valAx>
        <c:axId val="103721600"/>
        <c:scaling>
          <c:orientation val="minMax"/>
          <c:max val="1"/>
          <c:min val="0"/>
        </c:scaling>
        <c:delete val="1"/>
        <c:axPos val="l"/>
        <c:majorGridlines/>
        <c:numFmt formatCode="0%" sourceLinked="1"/>
        <c:majorTickMark val="out"/>
        <c:minorTickMark val="none"/>
        <c:tickLblPos val="nextTo"/>
        <c:crossAx val="103720064"/>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'X graphs'!$B$3</c:f>
              <c:strCache>
                <c:ptCount val="1"/>
                <c:pt idx="0">
                  <c:v>Exports</c:v>
                </c:pt>
              </c:strCache>
            </c:strRef>
          </c:tx>
          <c:marker>
            <c:symbol val="none"/>
          </c:marker>
          <c:cat>
            <c:numRef>
              <c:f>'X graphs'!$A$4:$A$9</c:f>
              <c:numCache>
                <c:formatCode>General</c:formatCode>
                <c:ptCount val="6"/>
                <c:pt idx="0">
                  <c:v>2007</c:v>
                </c:pt>
                <c:pt idx="1">
                  <c:v>2008</c:v>
                </c:pt>
                <c:pt idx="2">
                  <c:v>2009</c:v>
                </c:pt>
                <c:pt idx="3">
                  <c:v>2010</c:v>
                </c:pt>
                <c:pt idx="4">
                  <c:v>2011</c:v>
                </c:pt>
                <c:pt idx="5">
                  <c:v>2012</c:v>
                </c:pt>
              </c:numCache>
            </c:numRef>
          </c:cat>
          <c:val>
            <c:numRef>
              <c:f>'X graphs'!$B$4:$B$9</c:f>
              <c:numCache>
                <c:formatCode>_-* #,##0_-;\-* #,##0_-;_-* "-"??_-;_-@_-</c:formatCode>
                <c:ptCount val="6"/>
                <c:pt idx="0">
                  <c:v>347648.9</c:v>
                </c:pt>
                <c:pt idx="1">
                  <c:v>389942.72600000002</c:v>
                </c:pt>
                <c:pt idx="2">
                  <c:v>364289.32699999999</c:v>
                </c:pt>
                <c:pt idx="3">
                  <c:v>409671.37300000002</c:v>
                </c:pt>
                <c:pt idx="4">
                  <c:v>470830.14</c:v>
                </c:pt>
                <c:pt idx="5">
                  <c:v>556024.92500000005</c:v>
                </c:pt>
              </c:numCache>
            </c:numRef>
          </c:val>
          <c:smooth val="0"/>
        </c:ser>
        <c:ser>
          <c:idx val="1"/>
          <c:order val="1"/>
          <c:tx>
            <c:strRef>
              <c:f>'X graphs'!$C$3</c:f>
              <c:strCache>
                <c:ptCount val="1"/>
                <c:pt idx="0">
                  <c:v>Imports</c:v>
                </c:pt>
              </c:strCache>
            </c:strRef>
          </c:tx>
          <c:spPr>
            <a:ln>
              <a:solidFill>
                <a:schemeClr val="accent6"/>
              </a:solidFill>
            </a:ln>
          </c:spPr>
          <c:marker>
            <c:symbol val="none"/>
          </c:marker>
          <c:cat>
            <c:numRef>
              <c:f>'X graphs'!$A$4:$A$9</c:f>
              <c:numCache>
                <c:formatCode>General</c:formatCode>
                <c:ptCount val="6"/>
                <c:pt idx="0">
                  <c:v>2007</c:v>
                </c:pt>
                <c:pt idx="1">
                  <c:v>2008</c:v>
                </c:pt>
                <c:pt idx="2">
                  <c:v>2009</c:v>
                </c:pt>
                <c:pt idx="3">
                  <c:v>2010</c:v>
                </c:pt>
                <c:pt idx="4">
                  <c:v>2011</c:v>
                </c:pt>
                <c:pt idx="5">
                  <c:v>2012</c:v>
                </c:pt>
              </c:numCache>
            </c:numRef>
          </c:cat>
          <c:val>
            <c:numRef>
              <c:f>'X graphs'!$C$4:$C$9</c:f>
              <c:numCache>
                <c:formatCode>_-* #,##0_-;\-* #,##0_-;_-* "-"??_-;_-@_-</c:formatCode>
                <c:ptCount val="6"/>
                <c:pt idx="0">
                  <c:v>3141279.29</c:v>
                </c:pt>
                <c:pt idx="1">
                  <c:v>3568673.594</c:v>
                </c:pt>
                <c:pt idx="2">
                  <c:v>3600785.3739999998</c:v>
                </c:pt>
                <c:pt idx="3">
                  <c:v>3958511.5159999998</c:v>
                </c:pt>
                <c:pt idx="4">
                  <c:v>4221105.7</c:v>
                </c:pt>
                <c:pt idx="5">
                  <c:v>4697355.9419999998</c:v>
                </c:pt>
              </c:numCache>
            </c:numRef>
          </c:val>
          <c:smooth val="0"/>
        </c:ser>
        <c:dLbls>
          <c:showLegendKey val="0"/>
          <c:showVal val="0"/>
          <c:showCatName val="0"/>
          <c:showSerName val="0"/>
          <c:showPercent val="0"/>
          <c:showBubbleSize val="0"/>
        </c:dLbls>
        <c:marker val="1"/>
        <c:smooth val="0"/>
        <c:axId val="104144256"/>
        <c:axId val="104150144"/>
      </c:lineChart>
      <c:catAx>
        <c:axId val="104144256"/>
        <c:scaling>
          <c:orientation val="minMax"/>
        </c:scaling>
        <c:delete val="0"/>
        <c:axPos val="b"/>
        <c:numFmt formatCode="General" sourceLinked="1"/>
        <c:majorTickMark val="out"/>
        <c:minorTickMark val="none"/>
        <c:tickLblPos val="nextTo"/>
        <c:crossAx val="104150144"/>
        <c:crosses val="autoZero"/>
        <c:auto val="1"/>
        <c:lblAlgn val="ctr"/>
        <c:lblOffset val="100"/>
        <c:noMultiLvlLbl val="0"/>
      </c:catAx>
      <c:valAx>
        <c:axId val="104150144"/>
        <c:scaling>
          <c:orientation val="minMax"/>
        </c:scaling>
        <c:delete val="0"/>
        <c:axPos val="l"/>
        <c:majorGridlines/>
        <c:title>
          <c:tx>
            <c:rich>
              <a:bodyPr rot="-5400000" vert="horz"/>
              <a:lstStyle/>
              <a:p>
                <a:pPr>
                  <a:defRPr b="0"/>
                </a:pPr>
                <a:r>
                  <a:rPr lang="en-US" b="0"/>
                  <a:t>US$ billion</a:t>
                </a:r>
              </a:p>
            </c:rich>
          </c:tx>
          <c:overlay val="0"/>
        </c:title>
        <c:numFmt formatCode="#,##0.0" sourceLinked="0"/>
        <c:majorTickMark val="out"/>
        <c:minorTickMark val="none"/>
        <c:tickLblPos val="nextTo"/>
        <c:crossAx val="104144256"/>
        <c:crosses val="autoZero"/>
        <c:crossBetween val="between"/>
        <c:majorUnit val="500000"/>
        <c:dispUnits>
          <c:builtInUnit val="millions"/>
        </c:dispUnits>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2000-06</a:t>
            </a:r>
          </a:p>
        </c:rich>
      </c:tx>
      <c:layout/>
      <c:overlay val="0"/>
    </c:title>
    <c:autoTitleDeleted val="0"/>
    <c:plotArea>
      <c:layout/>
      <c:bubbleChart>
        <c:varyColors val="0"/>
        <c:ser>
          <c:idx val="0"/>
          <c:order val="0"/>
          <c:tx>
            <c:strRef>
              <c:f>'Rel. prod. cf employment'!$A$20</c:f>
              <c:strCache>
                <c:ptCount val="1"/>
                <c:pt idx="0">
                  <c:v>Agriculture</c:v>
                </c:pt>
              </c:strCache>
            </c:strRef>
          </c:tx>
          <c:spPr>
            <a:solidFill>
              <a:schemeClr val="accent1"/>
            </a:solidFill>
          </c:spPr>
          <c:invertIfNegative val="0"/>
          <c:xVal>
            <c:numRef>
              <c:f>'Rel. prod. cf employment'!$B$20</c:f>
              <c:numCache>
                <c:formatCode>#,##0.0_ ;\-#,##0.0\ </c:formatCode>
                <c:ptCount val="1"/>
                <c:pt idx="0">
                  <c:v>2.4000005722046023</c:v>
                </c:pt>
              </c:numCache>
            </c:numRef>
          </c:xVal>
          <c:yVal>
            <c:numRef>
              <c:f>'Rel. prod. cf employment'!$C$20</c:f>
              <c:numCache>
                <c:formatCode>_-* #,##0.0_-;\-* #,##0.0_-;_-* "-"_-;_-@_-</c:formatCode>
                <c:ptCount val="1"/>
                <c:pt idx="0">
                  <c:v>0.42838581173622253</c:v>
                </c:pt>
              </c:numCache>
            </c:numRef>
          </c:yVal>
          <c:bubbleSize>
            <c:numRef>
              <c:f>'Rel. prod. cf employment'!$E$20</c:f>
              <c:numCache>
                <c:formatCode>_(* #,##0_);_(* \(#,##0\);_(* "-"_);_(@_)</c:formatCode>
                <c:ptCount val="1"/>
                <c:pt idx="0">
                  <c:v>101.24800477894691</c:v>
                </c:pt>
              </c:numCache>
            </c:numRef>
          </c:bubbleSize>
          <c:bubble3D val="1"/>
        </c:ser>
        <c:ser>
          <c:idx val="1"/>
          <c:order val="1"/>
          <c:tx>
            <c:strRef>
              <c:f>'Rel. prod. cf employment'!$A$21</c:f>
              <c:strCache>
                <c:ptCount val="1"/>
                <c:pt idx="0">
                  <c:v>Industry</c:v>
                </c:pt>
              </c:strCache>
            </c:strRef>
          </c:tx>
          <c:spPr>
            <a:solidFill>
              <a:schemeClr val="accent3"/>
            </a:solidFill>
            <a:ln w="25400">
              <a:noFill/>
            </a:ln>
          </c:spPr>
          <c:invertIfNegative val="0"/>
          <c:xVal>
            <c:numRef>
              <c:f>'Rel. prod. cf employment'!$B$21</c:f>
              <c:numCache>
                <c:formatCode>#,##0.0_ ;\-#,##0.0\ </c:formatCode>
                <c:ptCount val="1"/>
                <c:pt idx="0">
                  <c:v>-10.500001907348601</c:v>
                </c:pt>
              </c:numCache>
            </c:numRef>
          </c:xVal>
          <c:yVal>
            <c:numRef>
              <c:f>'Rel. prod. cf employment'!$C$21</c:f>
              <c:numCache>
                <c:formatCode>_-* #,##0.0_-;\-* #,##0.0_-;_-* "-"_-;_-@_-</c:formatCode>
                <c:ptCount val="1"/>
                <c:pt idx="0">
                  <c:v>1.0663068059385905</c:v>
                </c:pt>
              </c:numCache>
            </c:numRef>
          </c:yVal>
          <c:bubbleSize>
            <c:numRef>
              <c:f>'Rel. prod. cf employment'!$E$21</c:f>
              <c:numCache>
                <c:formatCode>_(* #,##0_);_(* \(#,##0\);_(* "-"_);_(@_)</c:formatCode>
                <c:ptCount val="1"/>
                <c:pt idx="0">
                  <c:v>150.29982722105311</c:v>
                </c:pt>
              </c:numCache>
            </c:numRef>
          </c:bubbleSize>
          <c:bubble3D val="1"/>
        </c:ser>
        <c:ser>
          <c:idx val="2"/>
          <c:order val="2"/>
          <c:tx>
            <c:strRef>
              <c:f>'Rel. prod. cf employment'!$A$22</c:f>
              <c:strCache>
                <c:ptCount val="1"/>
                <c:pt idx="0">
                  <c:v>Services</c:v>
                </c:pt>
              </c:strCache>
            </c:strRef>
          </c:tx>
          <c:spPr>
            <a:solidFill>
              <a:schemeClr val="accent5"/>
            </a:solidFill>
            <a:ln w="25400">
              <a:noFill/>
            </a:ln>
          </c:spPr>
          <c:invertIfNegative val="0"/>
          <c:xVal>
            <c:numRef>
              <c:f>'Rel. prod. cf employment'!$B$22</c:f>
              <c:numCache>
                <c:formatCode>#,##0.0_ ;\-#,##0.0\ </c:formatCode>
                <c:ptCount val="1"/>
                <c:pt idx="0">
                  <c:v>8.0999984741211009</c:v>
                </c:pt>
              </c:numCache>
            </c:numRef>
          </c:xVal>
          <c:yVal>
            <c:numRef>
              <c:f>'Rel. prod. cf employment'!$C$22</c:f>
              <c:numCache>
                <c:formatCode>_-* #,##0.0_-;\-* #,##0.0_-;_-* "-"_-;_-@_-</c:formatCode>
                <c:ptCount val="1"/>
                <c:pt idx="0">
                  <c:v>1.1269709335410341</c:v>
                </c:pt>
              </c:numCache>
            </c:numRef>
          </c:yVal>
          <c:bubbleSize>
            <c:numRef>
              <c:f>'Rel. prod. cf employment'!$E$22</c:f>
              <c:numCache>
                <c:formatCode>_(* #,##0_);_(* \(#,##0\);_(* "-"_);_(@_)</c:formatCode>
                <c:ptCount val="1"/>
                <c:pt idx="0">
                  <c:v>377.32174800000001</c:v>
                </c:pt>
              </c:numCache>
            </c:numRef>
          </c:bubbleSize>
          <c:bubble3D val="1"/>
        </c:ser>
        <c:dLbls>
          <c:showLegendKey val="0"/>
          <c:showVal val="0"/>
          <c:showCatName val="0"/>
          <c:showSerName val="0"/>
          <c:showPercent val="0"/>
          <c:showBubbleSize val="0"/>
        </c:dLbls>
        <c:bubbleScale val="100"/>
        <c:showNegBubbles val="0"/>
        <c:axId val="93392896"/>
        <c:axId val="93394816"/>
      </c:bubbleChart>
      <c:valAx>
        <c:axId val="93392896"/>
        <c:scaling>
          <c:orientation val="minMax"/>
        </c:scaling>
        <c:delete val="0"/>
        <c:axPos val="b"/>
        <c:title>
          <c:tx>
            <c:rich>
              <a:bodyPr/>
              <a:lstStyle/>
              <a:p>
                <a:pPr>
                  <a:defRPr sz="800" b="0"/>
                </a:pPr>
                <a:r>
                  <a:rPr lang="en-US" sz="800" b="0"/>
                  <a:t>Percentage point change in share of total employment, 2000-06</a:t>
                </a:r>
              </a:p>
            </c:rich>
          </c:tx>
          <c:layout/>
          <c:overlay val="0"/>
        </c:title>
        <c:numFmt formatCode="#,##0.0_ ;\-#,##0.0\ " sourceLinked="1"/>
        <c:majorTickMark val="out"/>
        <c:minorTickMark val="none"/>
        <c:tickLblPos val="low"/>
        <c:crossAx val="93394816"/>
        <c:crosses val="autoZero"/>
        <c:crossBetween val="midCat"/>
      </c:valAx>
      <c:valAx>
        <c:axId val="93394816"/>
        <c:scaling>
          <c:orientation val="minMax"/>
        </c:scaling>
        <c:delete val="0"/>
        <c:axPos val="l"/>
        <c:majorGridlines/>
        <c:title>
          <c:tx>
            <c:rich>
              <a:bodyPr rot="-5400000" vert="horz"/>
              <a:lstStyle/>
              <a:p>
                <a:pPr>
                  <a:defRPr sz="800" b="0"/>
                </a:pPr>
                <a:r>
                  <a:rPr lang="en-US" sz="800" b="0"/>
                  <a:t>Relative productivity level, 2006</a:t>
                </a:r>
              </a:p>
            </c:rich>
          </c:tx>
          <c:layout/>
          <c:overlay val="0"/>
        </c:title>
        <c:numFmt formatCode="_-* #,##0.0_-;\-* #,##0.0_-;_-* &quot;-&quot;_-;_-@_-" sourceLinked="1"/>
        <c:majorTickMark val="out"/>
        <c:minorTickMark val="none"/>
        <c:tickLblPos val="low"/>
        <c:crossAx val="93392896"/>
        <c:crosses val="autoZero"/>
        <c:crossBetween val="midCat"/>
      </c:valAx>
    </c:plotArea>
    <c:legend>
      <c:legendPos val="r"/>
      <c:layout/>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Average 2007-8</a:t>
            </a:r>
          </a:p>
        </c:rich>
      </c:tx>
      <c:overlay val="0"/>
    </c:title>
    <c:autoTitleDeleted val="0"/>
    <c:plotArea>
      <c:layout/>
      <c:bubbleChart>
        <c:varyColors val="0"/>
        <c:ser>
          <c:idx val="0"/>
          <c:order val="0"/>
          <c:spPr>
            <a:solidFill>
              <a:schemeClr val="accent2"/>
            </a:solidFill>
          </c:spPr>
          <c:invertIfNegative val="0"/>
          <c:dLbls>
            <c:txPr>
              <a:bodyPr/>
              <a:lstStyle/>
              <a:p>
                <a:pPr>
                  <a:defRPr sz="700"/>
                </a:pPr>
                <a:endParaRPr lang="en-US"/>
              </a:p>
            </c:txPr>
            <c:dLblPos val="ctr"/>
            <c:showLegendKey val="0"/>
            <c:showVal val="0"/>
            <c:showCatName val="0"/>
            <c:showSerName val="0"/>
            <c:showPercent val="0"/>
            <c:showBubbleSize val="1"/>
            <c:showLeaderLines val="0"/>
          </c:dLbls>
          <c:xVal>
            <c:numRef>
              <c:f>'X graphs'!$A$27:$A$47</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'X graphs'!$B$27:$B$47</c:f>
              <c:numCache>
                <c:formatCode>0.0%</c:formatCode>
                <c:ptCount val="21"/>
                <c:pt idx="0">
                  <c:v>7.2022650721161778E-3</c:v>
                </c:pt>
                <c:pt idx="1">
                  <c:v>4.7340985121151119E-2</c:v>
                </c:pt>
                <c:pt idx="2">
                  <c:v>4.9726498526329238E-2</c:v>
                </c:pt>
                <c:pt idx="3">
                  <c:v>4.8375579718682345E-2</c:v>
                </c:pt>
                <c:pt idx="4">
                  <c:v>2.3998217037975614E-2</c:v>
                </c:pt>
                <c:pt idx="5">
                  <c:v>1.700312485825729E-2</c:v>
                </c:pt>
                <c:pt idx="6">
                  <c:v>9.4116620465738418E-2</c:v>
                </c:pt>
                <c:pt idx="7">
                  <c:v>9.9778007246937028E-3</c:v>
                </c:pt>
                <c:pt idx="8">
                  <c:v>5.3961549347076802E-2</c:v>
                </c:pt>
                <c:pt idx="9">
                  <c:v>2.5291944655423598E-2</c:v>
                </c:pt>
                <c:pt idx="10">
                  <c:v>2.9482461204448151E-2</c:v>
                </c:pt>
                <c:pt idx="11">
                  <c:v>6.8246507774336232E-2</c:v>
                </c:pt>
                <c:pt idx="12">
                  <c:v>0.26106960215971303</c:v>
                </c:pt>
                <c:pt idx="13">
                  <c:v>2.7076347621297892E-4</c:v>
                </c:pt>
                <c:pt idx="14">
                  <c:v>0.15272383193197295</c:v>
                </c:pt>
                <c:pt idx="15">
                  <c:v>1.1545198736993646E-2</c:v>
                </c:pt>
                <c:pt idx="16">
                  <c:v>8.7360833060904763E-4</c:v>
                </c:pt>
                <c:pt idx="17">
                  <c:v>1.6496415558601323E-4</c:v>
                </c:pt>
                <c:pt idx="18">
                  <c:v>0</c:v>
                </c:pt>
                <c:pt idx="19">
                  <c:v>9.8253448035632379E-2</c:v>
                </c:pt>
                <c:pt idx="20">
                  <c:v>3.7502866705105406E-4</c:v>
                </c:pt>
              </c:numCache>
            </c:numRef>
          </c:yVal>
          <c:bubbleSize>
            <c:numRef>
              <c:f>'X graphs'!$C$27:$C$47</c:f>
              <c:numCache>
                <c:formatCode>General</c:formatCode>
                <c:ptCount val="21"/>
                <c:pt idx="0">
                  <c:v>20</c:v>
                </c:pt>
                <c:pt idx="1">
                  <c:v>99</c:v>
                </c:pt>
                <c:pt idx="2">
                  <c:v>11</c:v>
                </c:pt>
                <c:pt idx="3">
                  <c:v>70</c:v>
                </c:pt>
                <c:pt idx="4">
                  <c:v>17</c:v>
                </c:pt>
                <c:pt idx="5">
                  <c:v>62</c:v>
                </c:pt>
                <c:pt idx="6">
                  <c:v>43</c:v>
                </c:pt>
                <c:pt idx="7">
                  <c:v>13</c:v>
                </c:pt>
                <c:pt idx="8">
                  <c:v>28</c:v>
                </c:pt>
                <c:pt idx="9">
                  <c:v>30</c:v>
                </c:pt>
                <c:pt idx="10">
                  <c:v>92</c:v>
                </c:pt>
                <c:pt idx="11">
                  <c:v>19</c:v>
                </c:pt>
                <c:pt idx="12">
                  <c:v>44</c:v>
                </c:pt>
                <c:pt idx="13">
                  <c:v>4</c:v>
                </c:pt>
                <c:pt idx="14">
                  <c:v>111</c:v>
                </c:pt>
                <c:pt idx="15">
                  <c:v>107</c:v>
                </c:pt>
                <c:pt idx="16">
                  <c:v>11</c:v>
                </c:pt>
                <c:pt idx="17">
                  <c:v>11</c:v>
                </c:pt>
                <c:pt idx="18">
                  <c:v>0</c:v>
                </c:pt>
                <c:pt idx="19">
                  <c:v>42</c:v>
                </c:pt>
                <c:pt idx="20">
                  <c:v>2</c:v>
                </c:pt>
              </c:numCache>
            </c:numRef>
          </c:bubbleSize>
          <c:bubble3D val="1"/>
        </c:ser>
        <c:dLbls>
          <c:showLegendKey val="0"/>
          <c:showVal val="1"/>
          <c:showCatName val="0"/>
          <c:showSerName val="0"/>
          <c:showPercent val="0"/>
          <c:showBubbleSize val="0"/>
        </c:dLbls>
        <c:bubbleScale val="100"/>
        <c:showNegBubbles val="0"/>
        <c:axId val="104175488"/>
        <c:axId val="104182912"/>
      </c:bubbleChart>
      <c:valAx>
        <c:axId val="104175488"/>
        <c:scaling>
          <c:orientation val="minMax"/>
          <c:max val="21"/>
          <c:min val="0"/>
        </c:scaling>
        <c:delete val="0"/>
        <c:axPos val="b"/>
        <c:majorGridlines/>
        <c:title>
          <c:tx>
            <c:rich>
              <a:bodyPr/>
              <a:lstStyle/>
              <a:p>
                <a:pPr>
                  <a:defRPr b="0"/>
                </a:pPr>
                <a:r>
                  <a:rPr lang="en-US" b="0"/>
                  <a:t>HS Section</a:t>
                </a:r>
              </a:p>
            </c:rich>
          </c:tx>
          <c:overlay val="0"/>
        </c:title>
        <c:numFmt formatCode="General" sourceLinked="1"/>
        <c:majorTickMark val="out"/>
        <c:minorTickMark val="none"/>
        <c:tickLblPos val="low"/>
        <c:crossAx val="104182912"/>
        <c:crosses val="autoZero"/>
        <c:crossBetween val="midCat"/>
        <c:majorUnit val="1"/>
      </c:valAx>
      <c:valAx>
        <c:axId val="104182912"/>
        <c:scaling>
          <c:orientation val="minMax"/>
          <c:max val="0.30000000000000004"/>
          <c:min val="0"/>
        </c:scaling>
        <c:delete val="0"/>
        <c:axPos val="l"/>
        <c:majorGridlines/>
        <c:title>
          <c:tx>
            <c:rich>
              <a:bodyPr rot="-5400000" vert="horz"/>
              <a:lstStyle/>
              <a:p>
                <a:pPr>
                  <a:defRPr b="0"/>
                </a:pPr>
                <a:r>
                  <a:rPr lang="en-US" b="0"/>
                  <a:t>Share</a:t>
                </a:r>
                <a:r>
                  <a:rPr lang="en-US" b="0" baseline="0"/>
                  <a:t> of total export value</a:t>
                </a:r>
                <a:endParaRPr lang="en-US" b="0"/>
              </a:p>
            </c:rich>
          </c:tx>
          <c:overlay val="0"/>
        </c:title>
        <c:numFmt formatCode="0%" sourceLinked="0"/>
        <c:majorTickMark val="out"/>
        <c:minorTickMark val="none"/>
        <c:tickLblPos val="nextTo"/>
        <c:crossAx val="104175488"/>
        <c:crosses val="autoZero"/>
        <c:crossBetween val="midCat"/>
        <c:majorUnit val="5.000000000000001E-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Average 2009-12</a:t>
            </a:r>
          </a:p>
        </c:rich>
      </c:tx>
      <c:overlay val="0"/>
    </c:title>
    <c:autoTitleDeleted val="0"/>
    <c:plotArea>
      <c:layout/>
      <c:bubbleChart>
        <c:varyColors val="0"/>
        <c:ser>
          <c:idx val="0"/>
          <c:order val="0"/>
          <c:spPr>
            <a:solidFill>
              <a:schemeClr val="accent2"/>
            </a:solidFill>
          </c:spPr>
          <c:invertIfNegative val="0"/>
          <c:dLbls>
            <c:txPr>
              <a:bodyPr/>
              <a:lstStyle/>
              <a:p>
                <a:pPr>
                  <a:defRPr sz="700"/>
                </a:pPr>
                <a:endParaRPr lang="en-US"/>
              </a:p>
            </c:txPr>
            <c:dLblPos val="ctr"/>
            <c:showLegendKey val="0"/>
            <c:showVal val="0"/>
            <c:showCatName val="0"/>
            <c:showSerName val="0"/>
            <c:showPercent val="0"/>
            <c:showBubbleSize val="1"/>
            <c:showLeaderLines val="0"/>
          </c:dLbls>
          <c:xVal>
            <c:numRef>
              <c:f>'X graphs'!$A$51:$A$71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'X graphs'!$B$51:$B$71</c:f>
              <c:numCache>
                <c:formatCode>0.0%</c:formatCode>
                <c:ptCount val="21"/>
                <c:pt idx="0">
                  <c:v>1.3062105882867135E-2</c:v>
                </c:pt>
                <c:pt idx="1">
                  <c:v>5.9186238904641524E-2</c:v>
                </c:pt>
                <c:pt idx="2">
                  <c:v>3.9558439056750001E-2</c:v>
                </c:pt>
                <c:pt idx="3">
                  <c:v>5.1762126177414471E-2</c:v>
                </c:pt>
                <c:pt idx="4">
                  <c:v>2.0964230569648731E-2</c:v>
                </c:pt>
                <c:pt idx="5">
                  <c:v>2.8890710972352528E-2</c:v>
                </c:pt>
                <c:pt idx="6">
                  <c:v>9.3677884946363713E-2</c:v>
                </c:pt>
                <c:pt idx="7">
                  <c:v>5.3146469260439057E-3</c:v>
                </c:pt>
                <c:pt idx="8">
                  <c:v>3.9739399744590759E-2</c:v>
                </c:pt>
                <c:pt idx="9">
                  <c:v>2.5484141694815984E-2</c:v>
                </c:pt>
                <c:pt idx="10">
                  <c:v>1.3627553162670151E-2</c:v>
                </c:pt>
                <c:pt idx="11">
                  <c:v>6.2312647551366687E-2</c:v>
                </c:pt>
                <c:pt idx="12">
                  <c:v>0.25906650458130454</c:v>
                </c:pt>
                <c:pt idx="13">
                  <c:v>2.1527039630429775E-4</c:v>
                </c:pt>
                <c:pt idx="14">
                  <c:v>0.15729621549813089</c:v>
                </c:pt>
                <c:pt idx="15">
                  <c:v>8.3266643419286045E-3</c:v>
                </c:pt>
                <c:pt idx="16">
                  <c:v>3.4679221289293932E-3</c:v>
                </c:pt>
                <c:pt idx="17">
                  <c:v>4.5555242860555883E-4</c:v>
                </c:pt>
                <c:pt idx="18">
                  <c:v>0</c:v>
                </c:pt>
                <c:pt idx="19">
                  <c:v>0.11655337826319487</c:v>
                </c:pt>
                <c:pt idx="20">
                  <c:v>1.0383667720763033E-3</c:v>
                </c:pt>
              </c:numCache>
            </c:numRef>
          </c:yVal>
          <c:bubbleSize>
            <c:numRef>
              <c:f>'X graphs'!$C$51:$C$71</c:f>
              <c:numCache>
                <c:formatCode>General</c:formatCode>
                <c:ptCount val="21"/>
                <c:pt idx="0">
                  <c:v>27</c:v>
                </c:pt>
                <c:pt idx="1">
                  <c:v>109</c:v>
                </c:pt>
                <c:pt idx="2">
                  <c:v>12</c:v>
                </c:pt>
                <c:pt idx="3">
                  <c:v>67</c:v>
                </c:pt>
                <c:pt idx="4">
                  <c:v>23</c:v>
                </c:pt>
                <c:pt idx="5">
                  <c:v>71</c:v>
                </c:pt>
                <c:pt idx="6">
                  <c:v>47</c:v>
                </c:pt>
                <c:pt idx="7">
                  <c:v>23</c:v>
                </c:pt>
                <c:pt idx="8">
                  <c:v>32</c:v>
                </c:pt>
                <c:pt idx="9">
                  <c:v>39</c:v>
                </c:pt>
                <c:pt idx="10">
                  <c:v>102</c:v>
                </c:pt>
                <c:pt idx="11">
                  <c:v>20</c:v>
                </c:pt>
                <c:pt idx="12">
                  <c:v>53</c:v>
                </c:pt>
                <c:pt idx="13">
                  <c:v>6</c:v>
                </c:pt>
                <c:pt idx="14">
                  <c:v>120</c:v>
                </c:pt>
                <c:pt idx="15">
                  <c:v>97</c:v>
                </c:pt>
                <c:pt idx="16">
                  <c:v>14</c:v>
                </c:pt>
                <c:pt idx="17">
                  <c:v>12</c:v>
                </c:pt>
                <c:pt idx="18">
                  <c:v>0</c:v>
                </c:pt>
                <c:pt idx="19">
                  <c:v>49</c:v>
                </c:pt>
                <c:pt idx="20">
                  <c:v>2</c:v>
                </c:pt>
              </c:numCache>
            </c:numRef>
          </c:bubbleSize>
          <c:bubble3D val="1"/>
        </c:ser>
        <c:dLbls>
          <c:showLegendKey val="0"/>
          <c:showVal val="1"/>
          <c:showCatName val="0"/>
          <c:showSerName val="0"/>
          <c:showPercent val="0"/>
          <c:showBubbleSize val="0"/>
        </c:dLbls>
        <c:bubbleScale val="100"/>
        <c:showNegBubbles val="0"/>
        <c:axId val="104207104"/>
        <c:axId val="104218624"/>
      </c:bubbleChart>
      <c:valAx>
        <c:axId val="104207104"/>
        <c:scaling>
          <c:orientation val="minMax"/>
          <c:max val="21"/>
          <c:min val="0"/>
        </c:scaling>
        <c:delete val="0"/>
        <c:axPos val="b"/>
        <c:majorGridlines/>
        <c:title>
          <c:tx>
            <c:rich>
              <a:bodyPr/>
              <a:lstStyle/>
              <a:p>
                <a:pPr>
                  <a:defRPr b="0"/>
                </a:pPr>
                <a:r>
                  <a:rPr lang="en-US" b="0"/>
                  <a:t>HS Section</a:t>
                </a:r>
              </a:p>
            </c:rich>
          </c:tx>
          <c:overlay val="0"/>
        </c:title>
        <c:numFmt formatCode="General" sourceLinked="1"/>
        <c:majorTickMark val="out"/>
        <c:minorTickMark val="none"/>
        <c:tickLblPos val="low"/>
        <c:crossAx val="104218624"/>
        <c:crosses val="autoZero"/>
        <c:crossBetween val="midCat"/>
        <c:majorUnit val="1"/>
      </c:valAx>
      <c:valAx>
        <c:axId val="104218624"/>
        <c:scaling>
          <c:orientation val="minMax"/>
          <c:max val="0.30000000000000004"/>
          <c:min val="0"/>
        </c:scaling>
        <c:delete val="0"/>
        <c:axPos val="l"/>
        <c:majorGridlines/>
        <c:title>
          <c:tx>
            <c:rich>
              <a:bodyPr rot="-5400000" vert="horz"/>
              <a:lstStyle/>
              <a:p>
                <a:pPr>
                  <a:defRPr b="0"/>
                </a:pPr>
                <a:r>
                  <a:rPr lang="en-US" b="0"/>
                  <a:t>Share</a:t>
                </a:r>
                <a:r>
                  <a:rPr lang="en-US" b="0" baseline="0"/>
                  <a:t> of total export value</a:t>
                </a:r>
                <a:endParaRPr lang="en-US" b="0"/>
              </a:p>
            </c:rich>
          </c:tx>
          <c:overlay val="0"/>
        </c:title>
        <c:numFmt formatCode="0%" sourceLinked="0"/>
        <c:majorTickMark val="out"/>
        <c:minorTickMark val="none"/>
        <c:tickLblPos val="nextTo"/>
        <c:crossAx val="104207104"/>
        <c:crosses val="autoZero"/>
        <c:crossBetween val="midCat"/>
        <c:majorUnit val="5.000000000000001E-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val>
            <c:numRef>
              <c:f>'X graphs'!$D$101:$D$121</c:f>
              <c:numCache>
                <c:formatCode>0.0</c:formatCode>
                <c:ptCount val="21"/>
                <c:pt idx="0">
                  <c:v>0.5859840810750957</c:v>
                </c:pt>
                <c:pt idx="1">
                  <c:v>1.1845253783490404</c:v>
                </c:pt>
                <c:pt idx="2">
                  <c:v>-1.0168059469579236</c:v>
                </c:pt>
                <c:pt idx="3">
                  <c:v>0.33865464587321259</c:v>
                </c:pt>
                <c:pt idx="4">
                  <c:v>-0.3033986468326883</c:v>
                </c:pt>
                <c:pt idx="5">
                  <c:v>1.1887586114095239</c:v>
                </c:pt>
                <c:pt idx="6">
                  <c:v>-4.3873551937470556E-2</c:v>
                </c:pt>
                <c:pt idx="7">
                  <c:v>-0.46631537986497973</c:v>
                </c:pt>
                <c:pt idx="8">
                  <c:v>-1.4222149602486043</c:v>
                </c:pt>
                <c:pt idx="9">
                  <c:v>1.9219703939238678E-2</c:v>
                </c:pt>
                <c:pt idx="10">
                  <c:v>-1.5854908041778</c:v>
                </c:pt>
                <c:pt idx="11">
                  <c:v>-0.59338602229695447</c:v>
                </c:pt>
                <c:pt idx="12">
                  <c:v>-0.2003097578408497</c:v>
                </c:pt>
                <c:pt idx="13">
                  <c:v>-5.5493079908681174E-3</c:v>
                </c:pt>
                <c:pt idx="14">
                  <c:v>0.45723835661579393</c:v>
                </c:pt>
                <c:pt idx="15">
                  <c:v>-0.32185343950650419</c:v>
                </c:pt>
                <c:pt idx="16">
                  <c:v>0.25943137983203457</c:v>
                </c:pt>
                <c:pt idx="17">
                  <c:v>2.9058827301954561E-2</c:v>
                </c:pt>
                <c:pt idx="18">
                  <c:v>0</c:v>
                </c:pt>
                <c:pt idx="19">
                  <c:v>1.8299930227562489</c:v>
                </c:pt>
                <c:pt idx="20">
                  <c:v>6.6333810502524918E-2</c:v>
                </c:pt>
              </c:numCache>
            </c:numRef>
          </c:val>
        </c:ser>
        <c:dLbls>
          <c:showLegendKey val="0"/>
          <c:showVal val="0"/>
          <c:showCatName val="0"/>
          <c:showSerName val="0"/>
          <c:showPercent val="0"/>
          <c:showBubbleSize val="0"/>
        </c:dLbls>
        <c:gapWidth val="49"/>
        <c:axId val="104237696"/>
        <c:axId val="104260352"/>
      </c:barChart>
      <c:catAx>
        <c:axId val="104237696"/>
        <c:scaling>
          <c:orientation val="minMax"/>
        </c:scaling>
        <c:delete val="0"/>
        <c:axPos val="b"/>
        <c:title>
          <c:tx>
            <c:rich>
              <a:bodyPr/>
              <a:lstStyle/>
              <a:p>
                <a:pPr>
                  <a:defRPr b="0"/>
                </a:pPr>
                <a:r>
                  <a:rPr lang="en-US" b="0"/>
                  <a:t>HS Section</a:t>
                </a:r>
              </a:p>
            </c:rich>
          </c:tx>
          <c:overlay val="0"/>
        </c:title>
        <c:majorTickMark val="out"/>
        <c:minorTickMark val="none"/>
        <c:tickLblPos val="low"/>
        <c:crossAx val="104260352"/>
        <c:crosses val="autoZero"/>
        <c:auto val="1"/>
        <c:lblAlgn val="ctr"/>
        <c:lblOffset val="100"/>
        <c:noMultiLvlLbl val="0"/>
      </c:catAx>
      <c:valAx>
        <c:axId val="104260352"/>
        <c:scaling>
          <c:orientation val="minMax"/>
          <c:max val="2"/>
          <c:min val="-2"/>
        </c:scaling>
        <c:delete val="0"/>
        <c:axPos val="l"/>
        <c:majorGridlines/>
        <c:title>
          <c:tx>
            <c:rich>
              <a:bodyPr rot="-5400000" vert="horz"/>
              <a:lstStyle/>
              <a:p>
                <a:pPr>
                  <a:defRPr b="0"/>
                </a:pPr>
                <a:r>
                  <a:rPr lang="en-US" b="0"/>
                  <a:t>Percentage points</a:t>
                </a:r>
              </a:p>
            </c:rich>
          </c:tx>
          <c:overlay val="0"/>
        </c:title>
        <c:numFmt formatCode="0.0" sourceLinked="1"/>
        <c:majorTickMark val="out"/>
        <c:minorTickMark val="none"/>
        <c:tickLblPos val="nextTo"/>
        <c:crossAx val="10423769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Average 2007-8</a:t>
            </a:r>
          </a:p>
        </c:rich>
      </c:tx>
      <c:overlay val="0"/>
    </c:title>
    <c:autoTitleDeleted val="0"/>
    <c:plotArea>
      <c:layout/>
      <c:bubbleChart>
        <c:varyColors val="0"/>
        <c:ser>
          <c:idx val="0"/>
          <c:order val="0"/>
          <c:spPr>
            <a:solidFill>
              <a:schemeClr val="accent2"/>
            </a:solidFill>
          </c:spPr>
          <c:invertIfNegative val="0"/>
          <c:dLbls>
            <c:txPr>
              <a:bodyPr/>
              <a:lstStyle/>
              <a:p>
                <a:pPr>
                  <a:defRPr sz="700"/>
                </a:pPr>
                <a:endParaRPr lang="en-US"/>
              </a:p>
            </c:txPr>
            <c:dLblPos val="ctr"/>
            <c:showLegendKey val="0"/>
            <c:showVal val="0"/>
            <c:showCatName val="0"/>
            <c:showSerName val="0"/>
            <c:showPercent val="0"/>
            <c:showBubbleSize val="1"/>
            <c:showLeaderLines val="0"/>
          </c:dLbls>
          <c:xVal>
            <c:numRef>
              <c:f>'M graphs'!$A$28:$A$48</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'M graphs'!$B$28:$B$48</c:f>
              <c:numCache>
                <c:formatCode>0.0%</c:formatCode>
                <c:ptCount val="21"/>
                <c:pt idx="0">
                  <c:v>3.299595082879727E-2</c:v>
                </c:pt>
                <c:pt idx="1">
                  <c:v>6.9098770502520432E-2</c:v>
                </c:pt>
                <c:pt idx="2">
                  <c:v>5.1708893910675712E-3</c:v>
                </c:pt>
                <c:pt idx="3">
                  <c:v>8.5671026237420497E-2</c:v>
                </c:pt>
                <c:pt idx="4">
                  <c:v>0.42963204198258453</c:v>
                </c:pt>
                <c:pt idx="5">
                  <c:v>5.6767650685103942E-2</c:v>
                </c:pt>
                <c:pt idx="6">
                  <c:v>2.1329165010603512E-2</c:v>
                </c:pt>
                <c:pt idx="7">
                  <c:v>2.3311417691527021E-3</c:v>
                </c:pt>
                <c:pt idx="8">
                  <c:v>1.527320757148568E-2</c:v>
                </c:pt>
                <c:pt idx="9">
                  <c:v>1.8281011646379616E-2</c:v>
                </c:pt>
                <c:pt idx="10">
                  <c:v>1.9759039114570831E-2</c:v>
                </c:pt>
                <c:pt idx="11">
                  <c:v>4.3154541707761812E-3</c:v>
                </c:pt>
                <c:pt idx="12">
                  <c:v>3.1819675429985692E-2</c:v>
                </c:pt>
                <c:pt idx="13">
                  <c:v>4.5023579940785052E-4</c:v>
                </c:pt>
                <c:pt idx="14">
                  <c:v>4.8781930737079995E-2</c:v>
                </c:pt>
                <c:pt idx="15">
                  <c:v>6.465863990851603E-2</c:v>
                </c:pt>
                <c:pt idx="16">
                  <c:v>6.2738282790413519E-2</c:v>
                </c:pt>
                <c:pt idx="17">
                  <c:v>2.1442930529369714E-2</c:v>
                </c:pt>
                <c:pt idx="18">
                  <c:v>2.0897383812852956E-5</c:v>
                </c:pt>
                <c:pt idx="19">
                  <c:v>9.4423803527618668E-3</c:v>
                </c:pt>
                <c:pt idx="20">
                  <c:v>1.9678158189697581E-5</c:v>
                </c:pt>
              </c:numCache>
            </c:numRef>
          </c:yVal>
          <c:bubbleSize>
            <c:numRef>
              <c:f>'M graphs'!$C$28:$C$48</c:f>
              <c:numCache>
                <c:formatCode>#,##0</c:formatCode>
                <c:ptCount val="21"/>
                <c:pt idx="0">
                  <c:v>73</c:v>
                </c:pt>
                <c:pt idx="1">
                  <c:v>168</c:v>
                </c:pt>
                <c:pt idx="2">
                  <c:v>27</c:v>
                </c:pt>
                <c:pt idx="3">
                  <c:v>135</c:v>
                </c:pt>
                <c:pt idx="4">
                  <c:v>65</c:v>
                </c:pt>
                <c:pt idx="5">
                  <c:v>390</c:v>
                </c:pt>
                <c:pt idx="6">
                  <c:v>154</c:v>
                </c:pt>
                <c:pt idx="7">
                  <c:v>36</c:v>
                </c:pt>
                <c:pt idx="8">
                  <c:v>50</c:v>
                </c:pt>
                <c:pt idx="9">
                  <c:v>113</c:v>
                </c:pt>
                <c:pt idx="10">
                  <c:v>534</c:v>
                </c:pt>
                <c:pt idx="11">
                  <c:v>43</c:v>
                </c:pt>
                <c:pt idx="12">
                  <c:v>113</c:v>
                </c:pt>
                <c:pt idx="13">
                  <c:v>17</c:v>
                </c:pt>
                <c:pt idx="14">
                  <c:v>365</c:v>
                </c:pt>
                <c:pt idx="15">
                  <c:v>586</c:v>
                </c:pt>
                <c:pt idx="16">
                  <c:v>68</c:v>
                </c:pt>
                <c:pt idx="17">
                  <c:v>185</c:v>
                </c:pt>
                <c:pt idx="18">
                  <c:v>3</c:v>
                </c:pt>
                <c:pt idx="19">
                  <c:v>110</c:v>
                </c:pt>
                <c:pt idx="20">
                  <c:v>3</c:v>
                </c:pt>
              </c:numCache>
            </c:numRef>
          </c:bubbleSize>
          <c:bubble3D val="1"/>
        </c:ser>
        <c:dLbls>
          <c:showLegendKey val="0"/>
          <c:showVal val="1"/>
          <c:showCatName val="0"/>
          <c:showSerName val="0"/>
          <c:showPercent val="0"/>
          <c:showBubbleSize val="0"/>
        </c:dLbls>
        <c:bubbleScale val="100"/>
        <c:showNegBubbles val="0"/>
        <c:axId val="106677376"/>
        <c:axId val="106766720"/>
      </c:bubbleChart>
      <c:valAx>
        <c:axId val="106677376"/>
        <c:scaling>
          <c:orientation val="minMax"/>
          <c:max val="21"/>
          <c:min val="0"/>
        </c:scaling>
        <c:delete val="0"/>
        <c:axPos val="b"/>
        <c:majorGridlines/>
        <c:title>
          <c:tx>
            <c:rich>
              <a:bodyPr/>
              <a:lstStyle/>
              <a:p>
                <a:pPr>
                  <a:defRPr b="0"/>
                </a:pPr>
                <a:r>
                  <a:rPr lang="en-US" b="0"/>
                  <a:t>HS Section</a:t>
                </a:r>
              </a:p>
            </c:rich>
          </c:tx>
          <c:overlay val="0"/>
        </c:title>
        <c:numFmt formatCode="General" sourceLinked="1"/>
        <c:majorTickMark val="out"/>
        <c:minorTickMark val="none"/>
        <c:tickLblPos val="low"/>
        <c:crossAx val="106766720"/>
        <c:crosses val="autoZero"/>
        <c:crossBetween val="midCat"/>
        <c:majorUnit val="1"/>
      </c:valAx>
      <c:valAx>
        <c:axId val="106766720"/>
        <c:scaling>
          <c:orientation val="minMax"/>
          <c:max val="0.45"/>
          <c:min val="0"/>
        </c:scaling>
        <c:delete val="0"/>
        <c:axPos val="l"/>
        <c:majorGridlines/>
        <c:title>
          <c:tx>
            <c:rich>
              <a:bodyPr rot="-5400000" vert="horz"/>
              <a:lstStyle/>
              <a:p>
                <a:pPr>
                  <a:defRPr b="0"/>
                </a:pPr>
                <a:r>
                  <a:rPr lang="en-US" b="0"/>
                  <a:t>Share</a:t>
                </a:r>
                <a:r>
                  <a:rPr lang="en-US" b="0" baseline="0"/>
                  <a:t> of total import value</a:t>
                </a:r>
                <a:endParaRPr lang="en-US" b="0"/>
              </a:p>
            </c:rich>
          </c:tx>
          <c:overlay val="0"/>
        </c:title>
        <c:numFmt formatCode="0%" sourceLinked="0"/>
        <c:majorTickMark val="out"/>
        <c:minorTickMark val="none"/>
        <c:tickLblPos val="nextTo"/>
        <c:crossAx val="106677376"/>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Average 2009-12</a:t>
            </a:r>
          </a:p>
        </c:rich>
      </c:tx>
      <c:overlay val="0"/>
    </c:title>
    <c:autoTitleDeleted val="0"/>
    <c:plotArea>
      <c:layout/>
      <c:bubbleChart>
        <c:varyColors val="0"/>
        <c:ser>
          <c:idx val="0"/>
          <c:order val="0"/>
          <c:spPr>
            <a:solidFill>
              <a:schemeClr val="accent2"/>
            </a:solidFill>
          </c:spPr>
          <c:invertIfNegative val="0"/>
          <c:dLbls>
            <c:txPr>
              <a:bodyPr/>
              <a:lstStyle/>
              <a:p>
                <a:pPr>
                  <a:defRPr sz="700"/>
                </a:pPr>
                <a:endParaRPr lang="en-US"/>
              </a:p>
            </c:txPr>
            <c:dLblPos val="ctr"/>
            <c:showLegendKey val="0"/>
            <c:showVal val="0"/>
            <c:showCatName val="0"/>
            <c:showSerName val="0"/>
            <c:showPercent val="0"/>
            <c:showBubbleSize val="1"/>
            <c:showLeaderLines val="0"/>
          </c:dLbls>
          <c:xVal>
            <c:numRef>
              <c:f>'M graphs'!$A$52:$A$72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'M graphs'!$B$52:$B$72</c:f>
              <c:numCache>
                <c:formatCode>0.0%</c:formatCode>
                <c:ptCount val="21"/>
                <c:pt idx="0">
                  <c:v>4.1722876507796693E-2</c:v>
                </c:pt>
                <c:pt idx="1">
                  <c:v>7.0396906495518913E-2</c:v>
                </c:pt>
                <c:pt idx="2">
                  <c:v>5.6117193329439253E-3</c:v>
                </c:pt>
                <c:pt idx="3">
                  <c:v>0.10993536645164559</c:v>
                </c:pt>
                <c:pt idx="4">
                  <c:v>0.35359847117992843</c:v>
                </c:pt>
                <c:pt idx="5">
                  <c:v>6.2986343631558833E-2</c:v>
                </c:pt>
                <c:pt idx="6">
                  <c:v>3.0610534563788424E-2</c:v>
                </c:pt>
                <c:pt idx="7">
                  <c:v>2.8934215803587604E-3</c:v>
                </c:pt>
                <c:pt idx="8">
                  <c:v>2.0249682580639718E-2</c:v>
                </c:pt>
                <c:pt idx="9">
                  <c:v>2.1128891307987965E-2</c:v>
                </c:pt>
                <c:pt idx="10">
                  <c:v>2.1450783236620672E-2</c:v>
                </c:pt>
                <c:pt idx="11">
                  <c:v>4.2471296267525323E-3</c:v>
                </c:pt>
                <c:pt idx="12">
                  <c:v>3.6436909626204064E-2</c:v>
                </c:pt>
                <c:pt idx="13">
                  <c:v>6.3792483563525327E-4</c:v>
                </c:pt>
                <c:pt idx="14">
                  <c:v>5.4691127575495588E-2</c:v>
                </c:pt>
                <c:pt idx="15">
                  <c:v>8.6066464531833656E-2</c:v>
                </c:pt>
                <c:pt idx="16">
                  <c:v>5.305607188597726E-2</c:v>
                </c:pt>
                <c:pt idx="17">
                  <c:v>1.2837230202363636E-2</c:v>
                </c:pt>
                <c:pt idx="18">
                  <c:v>0</c:v>
                </c:pt>
                <c:pt idx="19">
                  <c:v>1.143264137800179E-2</c:v>
                </c:pt>
                <c:pt idx="20">
                  <c:v>9.5034689483060247E-6</c:v>
                </c:pt>
              </c:numCache>
            </c:numRef>
          </c:yVal>
          <c:bubbleSize>
            <c:numRef>
              <c:f>'M graphs'!$C$52:$C$72</c:f>
              <c:numCache>
                <c:formatCode>General</c:formatCode>
                <c:ptCount val="21"/>
                <c:pt idx="0">
                  <c:v>80</c:v>
                </c:pt>
                <c:pt idx="1">
                  <c:v>189</c:v>
                </c:pt>
                <c:pt idx="2">
                  <c:v>33</c:v>
                </c:pt>
                <c:pt idx="3">
                  <c:v>145</c:v>
                </c:pt>
                <c:pt idx="4">
                  <c:v>78</c:v>
                </c:pt>
                <c:pt idx="5">
                  <c:v>461</c:v>
                </c:pt>
                <c:pt idx="6">
                  <c:v>179</c:v>
                </c:pt>
                <c:pt idx="7">
                  <c:v>43</c:v>
                </c:pt>
                <c:pt idx="8">
                  <c:v>57</c:v>
                </c:pt>
                <c:pt idx="9">
                  <c:v>122</c:v>
                </c:pt>
                <c:pt idx="10">
                  <c:v>602</c:v>
                </c:pt>
                <c:pt idx="11">
                  <c:v>47</c:v>
                </c:pt>
                <c:pt idx="12">
                  <c:v>120</c:v>
                </c:pt>
                <c:pt idx="13">
                  <c:v>21</c:v>
                </c:pt>
                <c:pt idx="14">
                  <c:v>396</c:v>
                </c:pt>
                <c:pt idx="15">
                  <c:v>653</c:v>
                </c:pt>
                <c:pt idx="16">
                  <c:v>70</c:v>
                </c:pt>
                <c:pt idx="17">
                  <c:v>192</c:v>
                </c:pt>
                <c:pt idx="18">
                  <c:v>0</c:v>
                </c:pt>
                <c:pt idx="19">
                  <c:v>110</c:v>
                </c:pt>
                <c:pt idx="20">
                  <c:v>4</c:v>
                </c:pt>
              </c:numCache>
            </c:numRef>
          </c:bubbleSize>
          <c:bubble3D val="1"/>
        </c:ser>
        <c:dLbls>
          <c:showLegendKey val="0"/>
          <c:showVal val="1"/>
          <c:showCatName val="0"/>
          <c:showSerName val="0"/>
          <c:showPercent val="0"/>
          <c:showBubbleSize val="0"/>
        </c:dLbls>
        <c:bubbleScale val="100"/>
        <c:showNegBubbles val="0"/>
        <c:axId val="106771584"/>
        <c:axId val="106789888"/>
      </c:bubbleChart>
      <c:valAx>
        <c:axId val="106771584"/>
        <c:scaling>
          <c:orientation val="minMax"/>
          <c:max val="21"/>
          <c:min val="0"/>
        </c:scaling>
        <c:delete val="0"/>
        <c:axPos val="b"/>
        <c:majorGridlines/>
        <c:title>
          <c:tx>
            <c:rich>
              <a:bodyPr/>
              <a:lstStyle/>
              <a:p>
                <a:pPr>
                  <a:defRPr b="0"/>
                </a:pPr>
                <a:r>
                  <a:rPr lang="en-US" b="0"/>
                  <a:t>HS Section</a:t>
                </a:r>
              </a:p>
            </c:rich>
          </c:tx>
          <c:overlay val="0"/>
        </c:title>
        <c:numFmt formatCode="General" sourceLinked="1"/>
        <c:majorTickMark val="out"/>
        <c:minorTickMark val="none"/>
        <c:tickLblPos val="low"/>
        <c:crossAx val="106789888"/>
        <c:crosses val="autoZero"/>
        <c:crossBetween val="midCat"/>
        <c:majorUnit val="1"/>
      </c:valAx>
      <c:valAx>
        <c:axId val="106789888"/>
        <c:scaling>
          <c:orientation val="minMax"/>
          <c:max val="0.45"/>
          <c:min val="0"/>
        </c:scaling>
        <c:delete val="0"/>
        <c:axPos val="l"/>
        <c:majorGridlines/>
        <c:title>
          <c:tx>
            <c:rich>
              <a:bodyPr rot="-5400000" vert="horz"/>
              <a:lstStyle/>
              <a:p>
                <a:pPr>
                  <a:defRPr b="0"/>
                </a:pPr>
                <a:r>
                  <a:rPr lang="en-US" b="0"/>
                  <a:t>Share</a:t>
                </a:r>
                <a:r>
                  <a:rPr lang="en-US" b="0" baseline="0"/>
                  <a:t> of total import value</a:t>
                </a:r>
                <a:endParaRPr lang="en-US" b="0"/>
              </a:p>
            </c:rich>
          </c:tx>
          <c:overlay val="0"/>
        </c:title>
        <c:numFmt formatCode="0%" sourceLinked="0"/>
        <c:majorTickMark val="out"/>
        <c:minorTickMark val="none"/>
        <c:tickLblPos val="nextTo"/>
        <c:crossAx val="106771584"/>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val>
            <c:numRef>
              <c:f>'M graphs'!$D$104:$D$124</c:f>
              <c:numCache>
                <c:formatCode>0.0</c:formatCode>
                <c:ptCount val="21"/>
                <c:pt idx="0">
                  <c:v>0.87269256789994221</c:v>
                </c:pt>
                <c:pt idx="1">
                  <c:v>0.12981359929984809</c:v>
                </c:pt>
                <c:pt idx="2">
                  <c:v>4.4082994187635408E-2</c:v>
                </c:pt>
                <c:pt idx="3">
                  <c:v>2.4264340214225091</c:v>
                </c:pt>
                <c:pt idx="4">
                  <c:v>-7.6033570802656101</c:v>
                </c:pt>
                <c:pt idx="5">
                  <c:v>0.62186929464548912</c:v>
                </c:pt>
                <c:pt idx="6">
                  <c:v>0.92813695531849127</c:v>
                </c:pt>
                <c:pt idx="7">
                  <c:v>5.622798112060582E-2</c:v>
                </c:pt>
                <c:pt idx="8">
                  <c:v>0.49764750091540377</c:v>
                </c:pt>
                <c:pt idx="9">
                  <c:v>0.2847879661608349</c:v>
                </c:pt>
                <c:pt idx="10">
                  <c:v>0.16917441220498408</c:v>
                </c:pt>
                <c:pt idx="11">
                  <c:v>-6.8324544023648862E-3</c:v>
                </c:pt>
                <c:pt idx="12">
                  <c:v>0.46172341962183727</c:v>
                </c:pt>
                <c:pt idx="13">
                  <c:v>1.8768903622740276E-2</c:v>
                </c:pt>
                <c:pt idx="14">
                  <c:v>0.59091968384155924</c:v>
                </c:pt>
                <c:pt idx="15">
                  <c:v>2.1407824623317624</c:v>
                </c:pt>
                <c:pt idx="16">
                  <c:v>-0.96822109044362592</c:v>
                </c:pt>
                <c:pt idx="17">
                  <c:v>-0.86057003270060772</c:v>
                </c:pt>
                <c:pt idx="18">
                  <c:v>-2.0897383812852957E-3</c:v>
                </c:pt>
                <c:pt idx="19">
                  <c:v>0.1990261025239923</c:v>
                </c:pt>
                <c:pt idx="20">
                  <c:v>-1.0174689241391557E-3</c:v>
                </c:pt>
              </c:numCache>
            </c:numRef>
          </c:val>
        </c:ser>
        <c:dLbls>
          <c:showLegendKey val="0"/>
          <c:showVal val="0"/>
          <c:showCatName val="0"/>
          <c:showSerName val="0"/>
          <c:showPercent val="0"/>
          <c:showBubbleSize val="0"/>
        </c:dLbls>
        <c:gapWidth val="49"/>
        <c:axId val="106809600"/>
        <c:axId val="106815872"/>
      </c:barChart>
      <c:catAx>
        <c:axId val="106809600"/>
        <c:scaling>
          <c:orientation val="minMax"/>
        </c:scaling>
        <c:delete val="0"/>
        <c:axPos val="b"/>
        <c:title>
          <c:tx>
            <c:rich>
              <a:bodyPr/>
              <a:lstStyle/>
              <a:p>
                <a:pPr>
                  <a:defRPr b="0"/>
                </a:pPr>
                <a:r>
                  <a:rPr lang="en-US" b="0"/>
                  <a:t>HS Section</a:t>
                </a:r>
              </a:p>
            </c:rich>
          </c:tx>
          <c:overlay val="0"/>
        </c:title>
        <c:majorTickMark val="out"/>
        <c:minorTickMark val="none"/>
        <c:tickLblPos val="low"/>
        <c:crossAx val="106815872"/>
        <c:crosses val="autoZero"/>
        <c:auto val="1"/>
        <c:lblAlgn val="ctr"/>
        <c:lblOffset val="100"/>
        <c:noMultiLvlLbl val="0"/>
      </c:catAx>
      <c:valAx>
        <c:axId val="106815872"/>
        <c:scaling>
          <c:orientation val="minMax"/>
          <c:max val="4"/>
          <c:min val="-8"/>
        </c:scaling>
        <c:delete val="0"/>
        <c:axPos val="l"/>
        <c:majorGridlines/>
        <c:title>
          <c:tx>
            <c:rich>
              <a:bodyPr rot="-5400000" vert="horz"/>
              <a:lstStyle/>
              <a:p>
                <a:pPr>
                  <a:defRPr b="0"/>
                </a:pPr>
                <a:r>
                  <a:rPr lang="en-US" b="0"/>
                  <a:t>Percentage points</a:t>
                </a:r>
              </a:p>
            </c:rich>
          </c:tx>
          <c:overlay val="0"/>
        </c:title>
        <c:numFmt formatCode="0.0" sourceLinked="1"/>
        <c:majorTickMark val="out"/>
        <c:minorTickMark val="none"/>
        <c:tickLblPos val="nextTo"/>
        <c:crossAx val="106809600"/>
        <c:crosses val="autoZero"/>
        <c:crossBetween val="between"/>
        <c:majorUnit val="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'X graphs'!$A$74:$D$74</c:f>
              <c:strCache>
                <c:ptCount val="1"/>
                <c:pt idx="0">
                  <c:v>No. HS 6-digit subheads exported (left axis)</c:v>
                </c:pt>
              </c:strCache>
            </c:strRef>
          </c:tx>
          <c:spPr>
            <a:ln>
              <a:solidFill>
                <a:schemeClr val="accent1"/>
              </a:solidFill>
            </a:ln>
          </c:spPr>
          <c:marker>
            <c:symbol val="none"/>
          </c:marker>
          <c:cat>
            <c:numRef>
              <c:f>'X graphs'!$E$73:$J$73</c:f>
              <c:numCache>
                <c:formatCode>General</c:formatCode>
                <c:ptCount val="6"/>
                <c:pt idx="0">
                  <c:v>2007</c:v>
                </c:pt>
                <c:pt idx="1">
                  <c:v>2008</c:v>
                </c:pt>
                <c:pt idx="2">
                  <c:v>2009</c:v>
                </c:pt>
                <c:pt idx="3">
                  <c:v>2010</c:v>
                </c:pt>
                <c:pt idx="4">
                  <c:v>2011</c:v>
                </c:pt>
                <c:pt idx="5">
                  <c:v>2012</c:v>
                </c:pt>
              </c:numCache>
            </c:numRef>
          </c:cat>
          <c:val>
            <c:numRef>
              <c:f>'X graphs'!$E$74:$J$74</c:f>
              <c:numCache>
                <c:formatCode>_-* #,##0_-;\-* #,##0_-;_-* "-"??_-;_-@_-</c:formatCode>
                <c:ptCount val="6"/>
                <c:pt idx="0">
                  <c:v>688</c:v>
                </c:pt>
                <c:pt idx="1">
                  <c:v>663</c:v>
                </c:pt>
                <c:pt idx="2">
                  <c:v>617</c:v>
                </c:pt>
                <c:pt idx="3">
                  <c:v>492</c:v>
                </c:pt>
                <c:pt idx="4">
                  <c:v>559</c:v>
                </c:pt>
                <c:pt idx="5">
                  <c:v>634</c:v>
                </c:pt>
              </c:numCache>
            </c:numRef>
          </c:val>
          <c:smooth val="0"/>
        </c:ser>
        <c:dLbls>
          <c:showLegendKey val="0"/>
          <c:showVal val="0"/>
          <c:showCatName val="0"/>
          <c:showSerName val="0"/>
          <c:showPercent val="0"/>
          <c:showBubbleSize val="0"/>
        </c:dLbls>
        <c:marker val="1"/>
        <c:smooth val="0"/>
        <c:axId val="106866176"/>
        <c:axId val="106867712"/>
      </c:lineChart>
      <c:lineChart>
        <c:grouping val="standard"/>
        <c:varyColors val="0"/>
        <c:ser>
          <c:idx val="0"/>
          <c:order val="1"/>
          <c:tx>
            <c:strRef>
              <c:f>'X graphs'!$A$75:$D$75</c:f>
              <c:strCache>
                <c:ptCount val="1"/>
                <c:pt idx="0">
                  <c:v>No. of markets (right axis)</c:v>
                </c:pt>
              </c:strCache>
            </c:strRef>
          </c:tx>
          <c:spPr>
            <a:ln>
              <a:solidFill>
                <a:schemeClr val="accent5"/>
              </a:solidFill>
            </a:ln>
          </c:spPr>
          <c:marker>
            <c:symbol val="none"/>
          </c:marker>
          <c:cat>
            <c:numRef>
              <c:f>'X graphs'!$E$73:$J$73</c:f>
              <c:numCache>
                <c:formatCode>General</c:formatCode>
                <c:ptCount val="6"/>
                <c:pt idx="0">
                  <c:v>2007</c:v>
                </c:pt>
                <c:pt idx="1">
                  <c:v>2008</c:v>
                </c:pt>
                <c:pt idx="2">
                  <c:v>2009</c:v>
                </c:pt>
                <c:pt idx="3">
                  <c:v>2010</c:v>
                </c:pt>
                <c:pt idx="4">
                  <c:v>2011</c:v>
                </c:pt>
                <c:pt idx="5">
                  <c:v>2012</c:v>
                </c:pt>
              </c:numCache>
            </c:numRef>
          </c:cat>
          <c:val>
            <c:numRef>
              <c:f>'X graphs'!$E$75:$J$75</c:f>
              <c:numCache>
                <c:formatCode>General</c:formatCode>
                <c:ptCount val="6"/>
                <c:pt idx="0">
                  <c:v>42</c:v>
                </c:pt>
                <c:pt idx="1">
                  <c:v>52</c:v>
                </c:pt>
                <c:pt idx="2">
                  <c:v>47</c:v>
                </c:pt>
                <c:pt idx="3">
                  <c:v>54</c:v>
                </c:pt>
                <c:pt idx="4">
                  <c:v>54</c:v>
                </c:pt>
                <c:pt idx="5">
                  <c:v>59</c:v>
                </c:pt>
              </c:numCache>
            </c:numRef>
          </c:val>
          <c:smooth val="0"/>
        </c:ser>
        <c:dLbls>
          <c:showLegendKey val="0"/>
          <c:showVal val="0"/>
          <c:showCatName val="0"/>
          <c:showSerName val="0"/>
          <c:showPercent val="0"/>
          <c:showBubbleSize val="0"/>
        </c:dLbls>
        <c:marker val="1"/>
        <c:smooth val="0"/>
        <c:axId val="106883328"/>
        <c:axId val="106881792"/>
      </c:lineChart>
      <c:catAx>
        <c:axId val="106866176"/>
        <c:scaling>
          <c:orientation val="minMax"/>
        </c:scaling>
        <c:delete val="0"/>
        <c:axPos val="b"/>
        <c:numFmt formatCode="General" sourceLinked="1"/>
        <c:majorTickMark val="out"/>
        <c:minorTickMark val="none"/>
        <c:tickLblPos val="nextTo"/>
        <c:crossAx val="106867712"/>
        <c:crosses val="autoZero"/>
        <c:auto val="1"/>
        <c:lblAlgn val="ctr"/>
        <c:lblOffset val="100"/>
        <c:noMultiLvlLbl val="0"/>
      </c:catAx>
      <c:valAx>
        <c:axId val="106867712"/>
        <c:scaling>
          <c:orientation val="minMax"/>
        </c:scaling>
        <c:delete val="0"/>
        <c:axPos val="l"/>
        <c:majorGridlines/>
        <c:numFmt formatCode="_-* #,##0_-;\-* #,##0_-;_-* &quot;-&quot;??_-;_-@_-" sourceLinked="1"/>
        <c:majorTickMark val="out"/>
        <c:minorTickMark val="none"/>
        <c:tickLblPos val="nextTo"/>
        <c:crossAx val="106866176"/>
        <c:crosses val="autoZero"/>
        <c:crossBetween val="between"/>
      </c:valAx>
      <c:valAx>
        <c:axId val="106881792"/>
        <c:scaling>
          <c:orientation val="minMax"/>
          <c:max val="60"/>
          <c:min val="40"/>
        </c:scaling>
        <c:delete val="0"/>
        <c:axPos val="r"/>
        <c:numFmt formatCode="General" sourceLinked="1"/>
        <c:majorTickMark val="out"/>
        <c:minorTickMark val="none"/>
        <c:tickLblPos val="nextTo"/>
        <c:crossAx val="106883328"/>
        <c:crosses val="max"/>
        <c:crossBetween val="between"/>
        <c:majorUnit val="2"/>
      </c:valAx>
      <c:catAx>
        <c:axId val="106883328"/>
        <c:scaling>
          <c:orientation val="minMax"/>
        </c:scaling>
        <c:delete val="1"/>
        <c:axPos val="b"/>
        <c:numFmt formatCode="General" sourceLinked="1"/>
        <c:majorTickMark val="out"/>
        <c:minorTickMark val="none"/>
        <c:tickLblPos val="nextTo"/>
        <c:crossAx val="10688179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'M graphs'!$D$76</c:f>
              <c:strCache>
                <c:ptCount val="1"/>
                <c:pt idx="0">
                  <c:v>No. HS 6-digit subheads imported (left axis)</c:v>
                </c:pt>
              </c:strCache>
            </c:strRef>
          </c:tx>
          <c:spPr>
            <a:ln>
              <a:solidFill>
                <a:schemeClr val="accent1"/>
              </a:solidFill>
            </a:ln>
          </c:spPr>
          <c:marker>
            <c:symbol val="none"/>
          </c:marker>
          <c:cat>
            <c:numRef>
              <c:f>'M graphs'!$E$75:$J$75</c:f>
              <c:numCache>
                <c:formatCode>General</c:formatCode>
                <c:ptCount val="6"/>
                <c:pt idx="0">
                  <c:v>2007</c:v>
                </c:pt>
                <c:pt idx="1">
                  <c:v>2008</c:v>
                </c:pt>
                <c:pt idx="2">
                  <c:v>2009</c:v>
                </c:pt>
                <c:pt idx="3">
                  <c:v>2010</c:v>
                </c:pt>
                <c:pt idx="4">
                  <c:v>2011</c:v>
                </c:pt>
                <c:pt idx="5">
                  <c:v>2012</c:v>
                </c:pt>
              </c:numCache>
            </c:numRef>
          </c:cat>
          <c:val>
            <c:numRef>
              <c:f>'M graphs'!$E$76:$J$76</c:f>
              <c:numCache>
                <c:formatCode>_-* #,##0_-;\-* #,##0_-;_-* "-"??_-;_-@_-</c:formatCode>
                <c:ptCount val="6"/>
                <c:pt idx="0">
                  <c:v>2944</c:v>
                </c:pt>
                <c:pt idx="1">
                  <c:v>2789</c:v>
                </c:pt>
                <c:pt idx="2">
                  <c:v>2839</c:v>
                </c:pt>
                <c:pt idx="3">
                  <c:v>2898</c:v>
                </c:pt>
                <c:pt idx="4">
                  <c:v>2998</c:v>
                </c:pt>
                <c:pt idx="5">
                  <c:v>2997</c:v>
                </c:pt>
              </c:numCache>
            </c:numRef>
          </c:val>
          <c:smooth val="0"/>
        </c:ser>
        <c:dLbls>
          <c:showLegendKey val="0"/>
          <c:showVal val="0"/>
          <c:showCatName val="0"/>
          <c:showSerName val="0"/>
          <c:showPercent val="0"/>
          <c:showBubbleSize val="0"/>
        </c:dLbls>
        <c:marker val="1"/>
        <c:smooth val="0"/>
        <c:axId val="106905600"/>
        <c:axId val="106907136"/>
      </c:lineChart>
      <c:lineChart>
        <c:grouping val="standard"/>
        <c:varyColors val="0"/>
        <c:ser>
          <c:idx val="0"/>
          <c:order val="1"/>
          <c:tx>
            <c:strRef>
              <c:f>'M graphs'!$D$77</c:f>
              <c:strCache>
                <c:ptCount val="1"/>
                <c:pt idx="0">
                  <c:v>No. of supplying countries (right axis)</c:v>
                </c:pt>
              </c:strCache>
            </c:strRef>
          </c:tx>
          <c:spPr>
            <a:ln>
              <a:solidFill>
                <a:schemeClr val="accent5"/>
              </a:solidFill>
            </a:ln>
          </c:spPr>
          <c:marker>
            <c:symbol val="none"/>
          </c:marker>
          <c:cat>
            <c:numRef>
              <c:f>'M graphs'!$E$75:$J$75</c:f>
              <c:numCache>
                <c:formatCode>General</c:formatCode>
                <c:ptCount val="6"/>
                <c:pt idx="0">
                  <c:v>2007</c:v>
                </c:pt>
                <c:pt idx="1">
                  <c:v>2008</c:v>
                </c:pt>
                <c:pt idx="2">
                  <c:v>2009</c:v>
                </c:pt>
                <c:pt idx="3">
                  <c:v>2010</c:v>
                </c:pt>
                <c:pt idx="4">
                  <c:v>2011</c:v>
                </c:pt>
                <c:pt idx="5">
                  <c:v>2012</c:v>
                </c:pt>
              </c:numCache>
            </c:numRef>
          </c:cat>
          <c:val>
            <c:numRef>
              <c:f>'M graphs'!$E$77:$J$77</c:f>
              <c:numCache>
                <c:formatCode>General</c:formatCode>
                <c:ptCount val="6"/>
                <c:pt idx="0">
                  <c:v>108</c:v>
                </c:pt>
                <c:pt idx="1">
                  <c:v>104</c:v>
                </c:pt>
                <c:pt idx="2">
                  <c:v>114</c:v>
                </c:pt>
                <c:pt idx="3">
                  <c:v>130</c:v>
                </c:pt>
                <c:pt idx="4">
                  <c:v>121</c:v>
                </c:pt>
                <c:pt idx="5">
                  <c:v>125</c:v>
                </c:pt>
              </c:numCache>
            </c:numRef>
          </c:val>
          <c:smooth val="0"/>
        </c:ser>
        <c:dLbls>
          <c:showLegendKey val="0"/>
          <c:showVal val="0"/>
          <c:showCatName val="0"/>
          <c:showSerName val="0"/>
          <c:showPercent val="0"/>
          <c:showBubbleSize val="0"/>
        </c:dLbls>
        <c:marker val="1"/>
        <c:smooth val="0"/>
        <c:axId val="106910464"/>
        <c:axId val="106908672"/>
      </c:lineChart>
      <c:catAx>
        <c:axId val="106905600"/>
        <c:scaling>
          <c:orientation val="minMax"/>
        </c:scaling>
        <c:delete val="0"/>
        <c:axPos val="b"/>
        <c:numFmt formatCode="General" sourceLinked="1"/>
        <c:majorTickMark val="out"/>
        <c:minorTickMark val="none"/>
        <c:tickLblPos val="nextTo"/>
        <c:crossAx val="106907136"/>
        <c:crosses val="autoZero"/>
        <c:auto val="1"/>
        <c:lblAlgn val="ctr"/>
        <c:lblOffset val="100"/>
        <c:noMultiLvlLbl val="0"/>
      </c:catAx>
      <c:valAx>
        <c:axId val="106907136"/>
        <c:scaling>
          <c:orientation val="minMax"/>
        </c:scaling>
        <c:delete val="0"/>
        <c:axPos val="l"/>
        <c:majorGridlines/>
        <c:numFmt formatCode="_-* #,##0_-;\-* #,##0_-;_-* &quot;-&quot;??_-;_-@_-" sourceLinked="1"/>
        <c:majorTickMark val="out"/>
        <c:minorTickMark val="none"/>
        <c:tickLblPos val="nextTo"/>
        <c:crossAx val="106905600"/>
        <c:crosses val="autoZero"/>
        <c:crossBetween val="between"/>
      </c:valAx>
      <c:valAx>
        <c:axId val="106908672"/>
        <c:scaling>
          <c:orientation val="minMax"/>
          <c:max val="140"/>
          <c:min val="100"/>
        </c:scaling>
        <c:delete val="0"/>
        <c:axPos val="r"/>
        <c:numFmt formatCode="General" sourceLinked="1"/>
        <c:majorTickMark val="out"/>
        <c:minorTickMark val="none"/>
        <c:tickLblPos val="nextTo"/>
        <c:crossAx val="106910464"/>
        <c:crosses val="max"/>
        <c:crossBetween val="between"/>
        <c:majorUnit val="10"/>
      </c:valAx>
      <c:catAx>
        <c:axId val="106910464"/>
        <c:scaling>
          <c:orientation val="minMax"/>
        </c:scaling>
        <c:delete val="1"/>
        <c:axPos val="b"/>
        <c:numFmt formatCode="General" sourceLinked="1"/>
        <c:majorTickMark val="out"/>
        <c:minorTickMark val="none"/>
        <c:tickLblPos val="nextTo"/>
        <c:crossAx val="10690867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'[SET figures(A-N).xlsx]Gaza Strip'!$B$3</c:f>
              <c:strCache>
                <c:ptCount val="1"/>
                <c:pt idx="0">
                  <c:v>1996-2011</c:v>
                </c:pt>
              </c:strCache>
            </c:strRef>
          </c:tx>
          <c:invertIfNegative val="0"/>
          <c:cat>
            <c:strRef>
              <c:f>'[SET figures(A-N).xlsx]Gaza Strip'!$A$4:$A$6</c:f>
              <c:strCache>
                <c:ptCount val="3"/>
                <c:pt idx="0">
                  <c:v>DVA</c:v>
                </c:pt>
                <c:pt idx="1">
                  <c:v>FVA</c:v>
                </c:pt>
                <c:pt idx="2">
                  <c:v>Exports</c:v>
                </c:pt>
              </c:strCache>
            </c:strRef>
          </c:cat>
          <c:val>
            <c:numRef>
              <c:f>'[SET figures(A-N).xlsx]Gaza Strip'!$B$4:$B$6</c:f>
              <c:numCache>
                <c:formatCode>0.0%</c:formatCode>
                <c:ptCount val="3"/>
                <c:pt idx="0">
                  <c:v>0.11164687219213154</c:v>
                </c:pt>
                <c:pt idx="1">
                  <c:v>0.14122785122340376</c:v>
                </c:pt>
                <c:pt idx="2">
                  <c:v>0.12074874750475995</c:v>
                </c:pt>
              </c:numCache>
            </c:numRef>
          </c:val>
        </c:ser>
        <c:ser>
          <c:idx val="1"/>
          <c:order val="1"/>
          <c:tx>
            <c:strRef>
              <c:f>'[SET figures(A-N).xlsx]Gaza Strip'!$C$3</c:f>
              <c:strCache>
                <c:ptCount val="1"/>
                <c:pt idx="0">
                  <c:v>2006-2011</c:v>
                </c:pt>
              </c:strCache>
            </c:strRef>
          </c:tx>
          <c:spPr>
            <a:solidFill>
              <a:schemeClr val="accent6"/>
            </a:solidFill>
          </c:spPr>
          <c:invertIfNegative val="0"/>
          <c:cat>
            <c:strRef>
              <c:f>'[SET figures(A-N).xlsx]Gaza Strip'!$A$4:$A$6</c:f>
              <c:strCache>
                <c:ptCount val="3"/>
                <c:pt idx="0">
                  <c:v>DVA</c:v>
                </c:pt>
                <c:pt idx="1">
                  <c:v>FVA</c:v>
                </c:pt>
                <c:pt idx="2">
                  <c:v>Exports</c:v>
                </c:pt>
              </c:strCache>
            </c:strRef>
          </c:cat>
          <c:val>
            <c:numRef>
              <c:f>'[SET figures(A-N).xlsx]Gaza Strip'!$C$4:$C$6</c:f>
              <c:numCache>
                <c:formatCode>0.0%</c:formatCode>
                <c:ptCount val="3"/>
                <c:pt idx="0">
                  <c:v>0.2854028382803997</c:v>
                </c:pt>
                <c:pt idx="1">
                  <c:v>0.3700390890941132</c:v>
                </c:pt>
                <c:pt idx="2">
                  <c:v>0.28822790211694072</c:v>
                </c:pt>
              </c:numCache>
            </c:numRef>
          </c:val>
        </c:ser>
        <c:dLbls>
          <c:showLegendKey val="0"/>
          <c:showVal val="0"/>
          <c:showCatName val="0"/>
          <c:showSerName val="0"/>
          <c:showPercent val="0"/>
          <c:showBubbleSize val="0"/>
        </c:dLbls>
        <c:gapWidth val="150"/>
        <c:axId val="106931712"/>
        <c:axId val="106933248"/>
      </c:barChart>
      <c:catAx>
        <c:axId val="106931712"/>
        <c:scaling>
          <c:orientation val="minMax"/>
        </c:scaling>
        <c:delete val="0"/>
        <c:axPos val="b"/>
        <c:majorTickMark val="out"/>
        <c:minorTickMark val="none"/>
        <c:tickLblPos val="nextTo"/>
        <c:crossAx val="106933248"/>
        <c:crosses val="autoZero"/>
        <c:auto val="1"/>
        <c:lblAlgn val="ctr"/>
        <c:lblOffset val="100"/>
        <c:noMultiLvlLbl val="0"/>
      </c:catAx>
      <c:valAx>
        <c:axId val="106933248"/>
        <c:scaling>
          <c:orientation val="minMax"/>
        </c:scaling>
        <c:delete val="0"/>
        <c:axPos val="l"/>
        <c:majorGridlines/>
        <c:numFmt formatCode="0%" sourceLinked="0"/>
        <c:majorTickMark val="out"/>
        <c:minorTickMark val="none"/>
        <c:tickLblPos val="nextTo"/>
        <c:crossAx val="106931712"/>
        <c:crosses val="autoZero"/>
        <c:crossBetween val="between"/>
      </c:valAx>
    </c:plotArea>
    <c:legend>
      <c:legendPos val="r"/>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'DVA-FVA graphs (Gaza)'!$A$29</c:f>
              <c:strCache>
                <c:ptCount val="1"/>
                <c:pt idx="0">
                  <c:v>DVA</c:v>
                </c:pt>
              </c:strCache>
            </c:strRef>
          </c:tx>
          <c:invertIfNegative val="0"/>
          <c:cat>
            <c:numRef>
              <c:f>'DVA-FVA graphs (Gaza)'!$B$28:$E$28</c:f>
              <c:numCache>
                <c:formatCode>General</c:formatCode>
                <c:ptCount val="4"/>
                <c:pt idx="0">
                  <c:v>1996</c:v>
                </c:pt>
                <c:pt idx="1">
                  <c:v>2000</c:v>
                </c:pt>
                <c:pt idx="2">
                  <c:v>2006</c:v>
                </c:pt>
                <c:pt idx="3">
                  <c:v>2011</c:v>
                </c:pt>
              </c:numCache>
            </c:numRef>
          </c:cat>
          <c:val>
            <c:numRef>
              <c:f>'DVA-FVA graphs (Gaza)'!$B$29:$E$29</c:f>
              <c:numCache>
                <c:formatCode>0.0%</c:formatCode>
                <c:ptCount val="4"/>
                <c:pt idx="0">
                  <c:v>0.80312243460918564</c:v>
                </c:pt>
                <c:pt idx="1">
                  <c:v>0.83020305829928298</c:v>
                </c:pt>
                <c:pt idx="2">
                  <c:v>0.79097760716789112</c:v>
                </c:pt>
                <c:pt idx="3">
                  <c:v>0.73340994681936578</c:v>
                </c:pt>
              </c:numCache>
            </c:numRef>
          </c:val>
        </c:ser>
        <c:ser>
          <c:idx val="1"/>
          <c:order val="1"/>
          <c:tx>
            <c:strRef>
              <c:f>'DVA-FVA graphs (Gaza)'!$A$30</c:f>
              <c:strCache>
                <c:ptCount val="1"/>
                <c:pt idx="0">
                  <c:v>FVA</c:v>
                </c:pt>
              </c:strCache>
            </c:strRef>
          </c:tx>
          <c:spPr>
            <a:solidFill>
              <a:schemeClr val="accent6"/>
            </a:solidFill>
          </c:spPr>
          <c:invertIfNegative val="0"/>
          <c:cat>
            <c:numRef>
              <c:f>'DVA-FVA graphs (Gaza)'!$B$28:$E$28</c:f>
              <c:numCache>
                <c:formatCode>General</c:formatCode>
                <c:ptCount val="4"/>
                <c:pt idx="0">
                  <c:v>1996</c:v>
                </c:pt>
                <c:pt idx="1">
                  <c:v>2000</c:v>
                </c:pt>
                <c:pt idx="2">
                  <c:v>2006</c:v>
                </c:pt>
                <c:pt idx="3">
                  <c:v>2011</c:v>
                </c:pt>
              </c:numCache>
            </c:numRef>
          </c:cat>
          <c:val>
            <c:numRef>
              <c:f>'DVA-FVA graphs (Gaza)'!$B$30:$E$30</c:f>
              <c:numCache>
                <c:formatCode>0.0%</c:formatCode>
                <c:ptCount val="4"/>
                <c:pt idx="0">
                  <c:v>0.19687756539081436</c:v>
                </c:pt>
                <c:pt idx="1">
                  <c:v>0.16979694170071699</c:v>
                </c:pt>
                <c:pt idx="2">
                  <c:v>0.20902239283210891</c:v>
                </c:pt>
                <c:pt idx="3">
                  <c:v>0.26659005318063428</c:v>
                </c:pt>
              </c:numCache>
            </c:numRef>
          </c:val>
        </c:ser>
        <c:dLbls>
          <c:showLegendKey val="0"/>
          <c:showVal val="0"/>
          <c:showCatName val="0"/>
          <c:showSerName val="0"/>
          <c:showPercent val="0"/>
          <c:showBubbleSize val="0"/>
        </c:dLbls>
        <c:gapWidth val="150"/>
        <c:axId val="106979712"/>
        <c:axId val="106981248"/>
      </c:barChart>
      <c:catAx>
        <c:axId val="106979712"/>
        <c:scaling>
          <c:orientation val="minMax"/>
        </c:scaling>
        <c:delete val="0"/>
        <c:axPos val="b"/>
        <c:numFmt formatCode="General" sourceLinked="1"/>
        <c:majorTickMark val="out"/>
        <c:minorTickMark val="none"/>
        <c:tickLblPos val="nextTo"/>
        <c:crossAx val="106981248"/>
        <c:crosses val="autoZero"/>
        <c:auto val="1"/>
        <c:lblAlgn val="ctr"/>
        <c:lblOffset val="100"/>
        <c:noMultiLvlLbl val="0"/>
      </c:catAx>
      <c:valAx>
        <c:axId val="106981248"/>
        <c:scaling>
          <c:orientation val="minMax"/>
          <c:max val="1"/>
        </c:scaling>
        <c:delete val="0"/>
        <c:axPos val="l"/>
        <c:majorGridlines/>
        <c:numFmt formatCode="0%" sourceLinked="0"/>
        <c:majorTickMark val="out"/>
        <c:minorTickMark val="none"/>
        <c:tickLblPos val="nextTo"/>
        <c:crossAx val="106979712"/>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2006-12</a:t>
            </a:r>
          </a:p>
        </c:rich>
      </c:tx>
      <c:layout/>
      <c:overlay val="0"/>
    </c:title>
    <c:autoTitleDeleted val="0"/>
    <c:plotArea>
      <c:layout/>
      <c:bubbleChart>
        <c:varyColors val="0"/>
        <c:ser>
          <c:idx val="0"/>
          <c:order val="0"/>
          <c:tx>
            <c:strRef>
              <c:f>'Rel. prod. cf employment'!$A$35</c:f>
              <c:strCache>
                <c:ptCount val="1"/>
                <c:pt idx="0">
                  <c:v>Agriculture</c:v>
                </c:pt>
              </c:strCache>
            </c:strRef>
          </c:tx>
          <c:spPr>
            <a:solidFill>
              <a:schemeClr val="accent1"/>
            </a:solidFill>
          </c:spPr>
          <c:invertIfNegative val="0"/>
          <c:xVal>
            <c:numRef>
              <c:f>'Rel. prod. cf employment'!$B$35</c:f>
              <c:numCache>
                <c:formatCode>0.0</c:formatCode>
                <c:ptCount val="1"/>
                <c:pt idx="0">
                  <c:v>-4.6000003814697017</c:v>
                </c:pt>
              </c:numCache>
            </c:numRef>
          </c:xVal>
          <c:yVal>
            <c:numRef>
              <c:f>'Rel. prod. cf employment'!$C$35</c:f>
              <c:numCache>
                <c:formatCode>0.0</c:formatCode>
                <c:ptCount val="1"/>
                <c:pt idx="0">
                  <c:v>0.52207458936703632</c:v>
                </c:pt>
              </c:numCache>
            </c:numRef>
          </c:yVal>
          <c:bubbleSize>
            <c:numRef>
              <c:f>'Rel. prod. cf employment'!$E$35</c:f>
              <c:numCache>
                <c:formatCode>#,##0</c:formatCode>
                <c:ptCount val="1"/>
                <c:pt idx="0">
                  <c:v>90.809540699999999</c:v>
                </c:pt>
              </c:numCache>
            </c:numRef>
          </c:bubbleSize>
          <c:bubble3D val="1"/>
        </c:ser>
        <c:ser>
          <c:idx val="2"/>
          <c:order val="1"/>
          <c:tx>
            <c:strRef>
              <c:f>'Rel. prod. cf employment'!$A$37</c:f>
              <c:strCache>
                <c:ptCount val="1"/>
                <c:pt idx="0">
                  <c:v>Services</c:v>
                </c:pt>
              </c:strCache>
            </c:strRef>
          </c:tx>
          <c:spPr>
            <a:solidFill>
              <a:schemeClr val="accent5"/>
            </a:solidFill>
            <a:ln w="25400">
              <a:noFill/>
            </a:ln>
          </c:spPr>
          <c:invertIfNegative val="0"/>
          <c:xVal>
            <c:numRef>
              <c:f>'Rel. prod. cf employment'!$B$37</c:f>
              <c:numCache>
                <c:formatCode>0.0</c:formatCode>
                <c:ptCount val="1"/>
                <c:pt idx="0">
                  <c:v>2.2000007629395029</c:v>
                </c:pt>
              </c:numCache>
            </c:numRef>
          </c:xVal>
          <c:yVal>
            <c:numRef>
              <c:f>'Rel. prod. cf employment'!$C$37</c:f>
              <c:numCache>
                <c:formatCode>0.0</c:formatCode>
                <c:ptCount val="1"/>
                <c:pt idx="0">
                  <c:v>1.0377085660693415</c:v>
                </c:pt>
              </c:numCache>
            </c:numRef>
          </c:yVal>
          <c:bubbleSize>
            <c:numRef>
              <c:f>'Rel. prod. cf employment'!$E$37</c:f>
              <c:numCache>
                <c:formatCode>#,##0</c:formatCode>
                <c:ptCount val="1"/>
                <c:pt idx="0">
                  <c:v>491.16117398453781</c:v>
                </c:pt>
              </c:numCache>
            </c:numRef>
          </c:bubbleSize>
          <c:bubble3D val="1"/>
        </c:ser>
        <c:ser>
          <c:idx val="1"/>
          <c:order val="2"/>
          <c:tx>
            <c:strRef>
              <c:f>'Rel. prod. cf employment'!$A$36</c:f>
              <c:strCache>
                <c:ptCount val="1"/>
                <c:pt idx="0">
                  <c:v>Industry</c:v>
                </c:pt>
              </c:strCache>
            </c:strRef>
          </c:tx>
          <c:spPr>
            <a:solidFill>
              <a:schemeClr val="accent3"/>
            </a:solidFill>
            <a:ln w="25400">
              <a:noFill/>
            </a:ln>
          </c:spPr>
          <c:invertIfNegative val="0"/>
          <c:xVal>
            <c:numRef>
              <c:f>'Rel. prod. cf employment'!$B$36</c:f>
              <c:numCache>
                <c:formatCode>0.0</c:formatCode>
                <c:ptCount val="1"/>
                <c:pt idx="0">
                  <c:v>2.3999996185302024</c:v>
                </c:pt>
              </c:numCache>
            </c:numRef>
          </c:xVal>
          <c:yVal>
            <c:numRef>
              <c:f>'Rel. prod. cf employment'!$C$36</c:f>
              <c:numCache>
                <c:formatCode>0.0</c:formatCode>
                <c:ptCount val="1"/>
                <c:pt idx="0">
                  <c:v>1.1197973184560757</c:v>
                </c:pt>
              </c:numCache>
            </c:numRef>
          </c:yVal>
          <c:bubbleSize>
            <c:numRef>
              <c:f>'Rel. prod. cf employment'!$E$36</c:f>
              <c:numCache>
                <c:formatCode>#,##0</c:formatCode>
                <c:ptCount val="1"/>
                <c:pt idx="0">
                  <c:v>207.67746531546211</c:v>
                </c:pt>
              </c:numCache>
            </c:numRef>
          </c:bubbleSize>
          <c:bubble3D val="1"/>
        </c:ser>
        <c:dLbls>
          <c:showLegendKey val="0"/>
          <c:showVal val="0"/>
          <c:showCatName val="0"/>
          <c:showSerName val="0"/>
          <c:showPercent val="0"/>
          <c:showBubbleSize val="0"/>
        </c:dLbls>
        <c:bubbleScale val="100"/>
        <c:showNegBubbles val="0"/>
        <c:axId val="93430144"/>
        <c:axId val="93432064"/>
      </c:bubbleChart>
      <c:valAx>
        <c:axId val="93430144"/>
        <c:scaling>
          <c:orientation val="minMax"/>
        </c:scaling>
        <c:delete val="0"/>
        <c:axPos val="b"/>
        <c:title>
          <c:tx>
            <c:rich>
              <a:bodyPr/>
              <a:lstStyle/>
              <a:p>
                <a:pPr>
                  <a:defRPr sz="800" b="0"/>
                </a:pPr>
                <a:r>
                  <a:rPr lang="en-US" sz="800" b="0"/>
                  <a:t>Percentage point change in share of total employment, 2006-12</a:t>
                </a:r>
              </a:p>
            </c:rich>
          </c:tx>
          <c:layout/>
          <c:overlay val="0"/>
        </c:title>
        <c:numFmt formatCode="0.0" sourceLinked="1"/>
        <c:majorTickMark val="out"/>
        <c:minorTickMark val="none"/>
        <c:tickLblPos val="low"/>
        <c:crossAx val="93432064"/>
        <c:crosses val="autoZero"/>
        <c:crossBetween val="midCat"/>
      </c:valAx>
      <c:valAx>
        <c:axId val="93432064"/>
        <c:scaling>
          <c:orientation val="minMax"/>
        </c:scaling>
        <c:delete val="0"/>
        <c:axPos val="l"/>
        <c:majorGridlines/>
        <c:title>
          <c:tx>
            <c:rich>
              <a:bodyPr rot="-5400000" vert="horz"/>
              <a:lstStyle/>
              <a:p>
                <a:pPr>
                  <a:defRPr sz="800" b="0"/>
                </a:pPr>
                <a:r>
                  <a:rPr lang="en-US" sz="800" b="0"/>
                  <a:t>Relative productivity level, 2012</a:t>
                </a:r>
              </a:p>
            </c:rich>
          </c:tx>
          <c:layout/>
          <c:overlay val="0"/>
        </c:title>
        <c:numFmt formatCode="0.0" sourceLinked="1"/>
        <c:majorTickMark val="out"/>
        <c:minorTickMark val="none"/>
        <c:tickLblPos val="low"/>
        <c:crossAx val="93430144"/>
        <c:crosses val="autoZero"/>
        <c:crossBetween val="midCat"/>
      </c:valAx>
    </c:plotArea>
    <c:legend>
      <c:legendPos val="r"/>
      <c:layout/>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'[SET figures(A-N).xlsx]Gaza Strip'!$A$27</c:f>
              <c:strCache>
                <c:ptCount val="1"/>
                <c:pt idx="0">
                  <c:v>DVA</c:v>
                </c:pt>
              </c:strCache>
            </c:strRef>
          </c:tx>
          <c:invertIfNegative val="0"/>
          <c:cat>
            <c:numRef>
              <c:f>'[SET figures(A-N).xlsx]Gaza Strip'!$B$26:$E$26</c:f>
              <c:numCache>
                <c:formatCode>General</c:formatCode>
                <c:ptCount val="4"/>
                <c:pt idx="0">
                  <c:v>1996</c:v>
                </c:pt>
                <c:pt idx="1">
                  <c:v>2000</c:v>
                </c:pt>
                <c:pt idx="2">
                  <c:v>2006</c:v>
                </c:pt>
                <c:pt idx="3">
                  <c:v>2011</c:v>
                </c:pt>
              </c:numCache>
            </c:numRef>
          </c:cat>
          <c:val>
            <c:numRef>
              <c:f>'[SET figures(A-N).xlsx]Gaza Strip'!$B$27:$E$27</c:f>
              <c:numCache>
                <c:formatCode>_-* #,##0_-;\-* #,##0_-;_-* "-"??_-;_-@_-</c:formatCode>
                <c:ptCount val="4"/>
                <c:pt idx="0">
                  <c:v>43191.894896493097</c:v>
                </c:pt>
                <c:pt idx="1">
                  <c:v>42447.458385721497</c:v>
                </c:pt>
                <c:pt idx="2">
                  <c:v>60215.561497458897</c:v>
                </c:pt>
                <c:pt idx="3">
                  <c:v>211302.68376850401</c:v>
                </c:pt>
              </c:numCache>
            </c:numRef>
          </c:val>
        </c:ser>
        <c:ser>
          <c:idx val="1"/>
          <c:order val="1"/>
          <c:tx>
            <c:strRef>
              <c:f>'[SET figures(A-N).xlsx]Gaza Strip'!$A$28</c:f>
              <c:strCache>
                <c:ptCount val="1"/>
                <c:pt idx="0">
                  <c:v>FVA</c:v>
                </c:pt>
              </c:strCache>
            </c:strRef>
          </c:tx>
          <c:spPr>
            <a:solidFill>
              <a:schemeClr val="accent6"/>
            </a:solidFill>
          </c:spPr>
          <c:invertIfNegative val="0"/>
          <c:cat>
            <c:numRef>
              <c:f>'[SET figures(A-N).xlsx]Gaza Strip'!$B$26:$E$26</c:f>
              <c:numCache>
                <c:formatCode>General</c:formatCode>
                <c:ptCount val="4"/>
                <c:pt idx="0">
                  <c:v>1996</c:v>
                </c:pt>
                <c:pt idx="1">
                  <c:v>2000</c:v>
                </c:pt>
                <c:pt idx="2">
                  <c:v>2006</c:v>
                </c:pt>
                <c:pt idx="3">
                  <c:v>2011</c:v>
                </c:pt>
              </c:numCache>
            </c:numRef>
          </c:cat>
          <c:val>
            <c:numRef>
              <c:f>'[SET figures(A-N).xlsx]Gaza Strip'!$B$28:$E$28</c:f>
              <c:numCache>
                <c:formatCode>_-* #,##0_-;\-* #,##0_-;_-* "-"??_-;_-@_-</c:formatCode>
                <c:ptCount val="4"/>
                <c:pt idx="0">
                  <c:v>10588.068201550701</c:v>
                </c:pt>
                <c:pt idx="1">
                  <c:v>8681.5491039370809</c:v>
                </c:pt>
                <c:pt idx="2">
                  <c:v>15912.4615360398</c:v>
                </c:pt>
                <c:pt idx="3">
                  <c:v>76807.2398627152</c:v>
                </c:pt>
              </c:numCache>
            </c:numRef>
          </c:val>
        </c:ser>
        <c:dLbls>
          <c:showLegendKey val="0"/>
          <c:showVal val="0"/>
          <c:showCatName val="0"/>
          <c:showSerName val="0"/>
          <c:showPercent val="0"/>
          <c:showBubbleSize val="0"/>
        </c:dLbls>
        <c:gapWidth val="150"/>
        <c:axId val="107014016"/>
        <c:axId val="107015552"/>
      </c:barChart>
      <c:catAx>
        <c:axId val="107014016"/>
        <c:scaling>
          <c:orientation val="minMax"/>
        </c:scaling>
        <c:delete val="0"/>
        <c:axPos val="b"/>
        <c:numFmt formatCode="General" sourceLinked="1"/>
        <c:majorTickMark val="out"/>
        <c:minorTickMark val="none"/>
        <c:tickLblPos val="nextTo"/>
        <c:crossAx val="107015552"/>
        <c:crosses val="autoZero"/>
        <c:auto val="1"/>
        <c:lblAlgn val="ctr"/>
        <c:lblOffset val="100"/>
        <c:noMultiLvlLbl val="0"/>
      </c:catAx>
      <c:valAx>
        <c:axId val="107015552"/>
        <c:scaling>
          <c:orientation val="minMax"/>
        </c:scaling>
        <c:delete val="0"/>
        <c:axPos val="l"/>
        <c:majorGridlines/>
        <c:numFmt formatCode="_-* #,##0_-;\-* #,##0_-;_-* &quot;-&quot;??_-;_-@_-" sourceLinked="1"/>
        <c:majorTickMark val="out"/>
        <c:minorTickMark val="none"/>
        <c:tickLblPos val="nextTo"/>
        <c:crossAx val="107014016"/>
        <c:crosses val="autoZero"/>
        <c:crossBetween val="between"/>
      </c:valAx>
    </c:plotArea>
    <c:legend>
      <c:legendPos val="r"/>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'[SET figures(A-N).xlsx]Gaza Strip'!$B$34</c:f>
              <c:strCache>
                <c:ptCount val="1"/>
                <c:pt idx="0">
                  <c:v>1996-2011</c:v>
                </c:pt>
              </c:strCache>
            </c:strRef>
          </c:tx>
          <c:invertIfNegative val="0"/>
          <c:cat>
            <c:strRef>
              <c:f>'[SET figures(A-N).xlsx]Gaza Strip'!$A$35:$A$49</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'[SET figures(A-N).xlsx]Gaza Strip'!$B$35:$B$49</c:f>
              <c:numCache>
                <c:formatCode>0.0%</c:formatCode>
                <c:ptCount val="15"/>
                <c:pt idx="0">
                  <c:v>8.1369840718359843E-2</c:v>
                </c:pt>
                <c:pt idx="1">
                  <c:v>0.1270213312616566</c:v>
                </c:pt>
                <c:pt idx="2">
                  <c:v>0.1877271593981229</c:v>
                </c:pt>
                <c:pt idx="3">
                  <c:v>-5.2954284080961589E-3</c:v>
                </c:pt>
                <c:pt idx="4">
                  <c:v>0.10546170207702343</c:v>
                </c:pt>
                <c:pt idx="5">
                  <c:v>0.13595919620648944</c:v>
                </c:pt>
                <c:pt idx="6">
                  <c:v>7.5151423795110528E-2</c:v>
                </c:pt>
                <c:pt idx="7">
                  <c:v>4.3417402707738972E-2</c:v>
                </c:pt>
                <c:pt idx="8">
                  <c:v>6.4768439062650396E-2</c:v>
                </c:pt>
                <c:pt idx="9">
                  <c:v>0.1139710202159272</c:v>
                </c:pt>
                <c:pt idx="10">
                  <c:v>0.13946679828750352</c:v>
                </c:pt>
                <c:pt idx="11">
                  <c:v>6.4267884580423207E-2</c:v>
                </c:pt>
                <c:pt idx="12">
                  <c:v>0.12787741283374143</c:v>
                </c:pt>
                <c:pt idx="13">
                  <c:v>1.9009556200458189E-2</c:v>
                </c:pt>
                <c:pt idx="14">
                  <c:v>7.2830839107601575E-2</c:v>
                </c:pt>
              </c:numCache>
            </c:numRef>
          </c:val>
        </c:ser>
        <c:ser>
          <c:idx val="1"/>
          <c:order val="1"/>
          <c:tx>
            <c:strRef>
              <c:f>'[SET figures(A-N).xlsx]Gaza Strip'!$C$34</c:f>
              <c:strCache>
                <c:ptCount val="1"/>
                <c:pt idx="0">
                  <c:v>2006-2011</c:v>
                </c:pt>
              </c:strCache>
            </c:strRef>
          </c:tx>
          <c:spPr>
            <a:solidFill>
              <a:schemeClr val="accent6"/>
            </a:solidFill>
          </c:spPr>
          <c:invertIfNegative val="0"/>
          <c:cat>
            <c:strRef>
              <c:f>'[SET figures(A-N).xlsx]Gaza Strip'!$A$35:$A$49</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'[SET figures(A-N).xlsx]Gaza Strip'!$C$35:$C$49</c:f>
              <c:numCache>
                <c:formatCode>0.0%</c:formatCode>
                <c:ptCount val="15"/>
                <c:pt idx="0">
                  <c:v>0.18854720155163163</c:v>
                </c:pt>
                <c:pt idx="1">
                  <c:v>0.40087683071554436</c:v>
                </c:pt>
                <c:pt idx="2">
                  <c:v>0.80214159948066355</c:v>
                </c:pt>
                <c:pt idx="3">
                  <c:v>9.433996867731409E-2</c:v>
                </c:pt>
                <c:pt idx="4">
                  <c:v>0.20117888108469439</c:v>
                </c:pt>
                <c:pt idx="5">
                  <c:v>0.29123306441563024</c:v>
                </c:pt>
                <c:pt idx="6">
                  <c:v>0.2284771668341361</c:v>
                </c:pt>
                <c:pt idx="7">
                  <c:v>0.15145158677470172</c:v>
                </c:pt>
                <c:pt idx="8">
                  <c:v>0.21295808694361695</c:v>
                </c:pt>
                <c:pt idx="9">
                  <c:v>0.2292474055331204</c:v>
                </c:pt>
                <c:pt idx="10">
                  <c:v>0.2807550618228265</c:v>
                </c:pt>
                <c:pt idx="11">
                  <c:v>0.13964869586547501</c:v>
                </c:pt>
                <c:pt idx="12">
                  <c:v>0.24883149223852619</c:v>
                </c:pt>
                <c:pt idx="13">
                  <c:v>0.39170541100361711</c:v>
                </c:pt>
                <c:pt idx="14">
                  <c:v>0.23582071288687478</c:v>
                </c:pt>
              </c:numCache>
            </c:numRef>
          </c:val>
        </c:ser>
        <c:dLbls>
          <c:showLegendKey val="0"/>
          <c:showVal val="0"/>
          <c:showCatName val="0"/>
          <c:showSerName val="0"/>
          <c:showPercent val="0"/>
          <c:showBubbleSize val="0"/>
        </c:dLbls>
        <c:gapWidth val="150"/>
        <c:axId val="107044864"/>
        <c:axId val="107046400"/>
      </c:barChart>
      <c:catAx>
        <c:axId val="107044864"/>
        <c:scaling>
          <c:orientation val="minMax"/>
        </c:scaling>
        <c:delete val="0"/>
        <c:axPos val="b"/>
        <c:majorTickMark val="out"/>
        <c:minorTickMark val="none"/>
        <c:tickLblPos val="low"/>
        <c:txPr>
          <a:bodyPr rot="-5400000" vert="horz"/>
          <a:lstStyle/>
          <a:p>
            <a:pPr>
              <a:defRPr sz="700"/>
            </a:pPr>
            <a:endParaRPr lang="en-US"/>
          </a:p>
        </c:txPr>
        <c:crossAx val="107046400"/>
        <c:crosses val="autoZero"/>
        <c:auto val="1"/>
        <c:lblAlgn val="ctr"/>
        <c:lblOffset val="100"/>
        <c:noMultiLvlLbl val="0"/>
      </c:catAx>
      <c:valAx>
        <c:axId val="107046400"/>
        <c:scaling>
          <c:orientation val="minMax"/>
        </c:scaling>
        <c:delete val="0"/>
        <c:axPos val="l"/>
        <c:majorGridlines/>
        <c:numFmt formatCode="0%" sourceLinked="0"/>
        <c:majorTickMark val="out"/>
        <c:minorTickMark val="none"/>
        <c:tickLblPos val="nextTo"/>
        <c:crossAx val="107044864"/>
        <c:crosses val="autoZero"/>
        <c:crossBetween val="between"/>
      </c:valAx>
    </c:plotArea>
    <c:legend>
      <c:legendPos val="r"/>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'DVA-FVA graphs (Gaza)'!$B$102</c:f>
              <c:strCache>
                <c:ptCount val="1"/>
                <c:pt idx="0">
                  <c:v>2000</c:v>
                </c:pt>
              </c:strCache>
            </c:strRef>
          </c:tx>
          <c:invertIfNegative val="0"/>
          <c:cat>
            <c:strRef>
              <c:f>'DVA-FVA graphs (Gaza)'!$A$103:$A$117</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'DVA-FVA graphs (Gaza)'!$B$103:$B$117</c:f>
              <c:numCache>
                <c:formatCode>0.0%</c:formatCode>
                <c:ptCount val="15"/>
                <c:pt idx="0">
                  <c:v>0.91026828509892954</c:v>
                </c:pt>
                <c:pt idx="1">
                  <c:v>0.8205485200283309</c:v>
                </c:pt>
                <c:pt idx="2">
                  <c:v>0.93330183215194884</c:v>
                </c:pt>
                <c:pt idx="3">
                  <c:v>0.75307290030382623</c:v>
                </c:pt>
                <c:pt idx="4">
                  <c:v>0.87189145987326744</c:v>
                </c:pt>
                <c:pt idx="5">
                  <c:v>0.89534854463878333</c:v>
                </c:pt>
                <c:pt idx="6">
                  <c:v>0.84912991942516647</c:v>
                </c:pt>
                <c:pt idx="7">
                  <c:v>0.87519596998213267</c:v>
                </c:pt>
                <c:pt idx="8">
                  <c:v>0.82266739481467399</c:v>
                </c:pt>
                <c:pt idx="9">
                  <c:v>0.82304452740486422</c:v>
                </c:pt>
                <c:pt idx="10">
                  <c:v>0.90205437425680657</c:v>
                </c:pt>
                <c:pt idx="11">
                  <c:v>0.82632421011432478</c:v>
                </c:pt>
                <c:pt idx="12">
                  <c:v>0.84229722485489666</c:v>
                </c:pt>
                <c:pt idx="13">
                  <c:v>0.77859616839631307</c:v>
                </c:pt>
                <c:pt idx="14">
                  <c:v>0.85511249981790205</c:v>
                </c:pt>
              </c:numCache>
            </c:numRef>
          </c:val>
        </c:ser>
        <c:ser>
          <c:idx val="1"/>
          <c:order val="1"/>
          <c:tx>
            <c:strRef>
              <c:f>'DVA-FVA graphs (Gaza)'!$C$102</c:f>
              <c:strCache>
                <c:ptCount val="1"/>
                <c:pt idx="0">
                  <c:v>2011</c:v>
                </c:pt>
              </c:strCache>
            </c:strRef>
          </c:tx>
          <c:spPr>
            <a:solidFill>
              <a:schemeClr val="accent6"/>
            </a:solidFill>
          </c:spPr>
          <c:invertIfNegative val="0"/>
          <c:cat>
            <c:strRef>
              <c:f>'DVA-FVA graphs (Gaza)'!$A$103:$A$117</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'DVA-FVA graphs (Gaza)'!$C$103:$C$117</c:f>
              <c:numCache>
                <c:formatCode>0.0%</c:formatCode>
                <c:ptCount val="15"/>
                <c:pt idx="0">
                  <c:v>0.85896183166334472</c:v>
                </c:pt>
                <c:pt idx="1">
                  <c:v>0.63912455278610136</c:v>
                </c:pt>
                <c:pt idx="2">
                  <c:v>0.92256681422762588</c:v>
                </c:pt>
                <c:pt idx="3">
                  <c:v>0.48690449378230455</c:v>
                </c:pt>
                <c:pt idx="4">
                  <c:v>0.76929066913848987</c:v>
                </c:pt>
                <c:pt idx="5">
                  <c:v>0.81824298263076889</c:v>
                </c:pt>
                <c:pt idx="6">
                  <c:v>0.68305468005262604</c:v>
                </c:pt>
                <c:pt idx="7">
                  <c:v>0.73107607214134374</c:v>
                </c:pt>
                <c:pt idx="8">
                  <c:v>0.63698622371724134</c:v>
                </c:pt>
                <c:pt idx="9">
                  <c:v>0.66882727790566798</c:v>
                </c:pt>
                <c:pt idx="10">
                  <c:v>0.84059953319854319</c:v>
                </c:pt>
                <c:pt idx="11">
                  <c:v>0.63801500006395484</c:v>
                </c:pt>
                <c:pt idx="12">
                  <c:v>0.64880530248612711</c:v>
                </c:pt>
                <c:pt idx="13">
                  <c:v>0.55705727446755882</c:v>
                </c:pt>
                <c:pt idx="14">
                  <c:v>0.70957265956861881</c:v>
                </c:pt>
              </c:numCache>
            </c:numRef>
          </c:val>
        </c:ser>
        <c:dLbls>
          <c:showLegendKey val="0"/>
          <c:showVal val="0"/>
          <c:showCatName val="0"/>
          <c:showSerName val="0"/>
          <c:showPercent val="0"/>
          <c:showBubbleSize val="0"/>
        </c:dLbls>
        <c:gapWidth val="150"/>
        <c:axId val="107071744"/>
        <c:axId val="107073536"/>
      </c:barChart>
      <c:catAx>
        <c:axId val="107071744"/>
        <c:scaling>
          <c:orientation val="minMax"/>
        </c:scaling>
        <c:delete val="0"/>
        <c:axPos val="b"/>
        <c:majorTickMark val="out"/>
        <c:minorTickMark val="none"/>
        <c:tickLblPos val="nextTo"/>
        <c:txPr>
          <a:bodyPr rot="-5400000" vert="horz"/>
          <a:lstStyle/>
          <a:p>
            <a:pPr>
              <a:defRPr sz="700"/>
            </a:pPr>
            <a:endParaRPr lang="en-US"/>
          </a:p>
        </c:txPr>
        <c:crossAx val="107073536"/>
        <c:crosses val="autoZero"/>
        <c:auto val="1"/>
        <c:lblAlgn val="ctr"/>
        <c:lblOffset val="100"/>
        <c:noMultiLvlLbl val="0"/>
      </c:catAx>
      <c:valAx>
        <c:axId val="107073536"/>
        <c:scaling>
          <c:orientation val="minMax"/>
        </c:scaling>
        <c:delete val="0"/>
        <c:axPos val="l"/>
        <c:majorGridlines/>
        <c:numFmt formatCode="0%" sourceLinked="0"/>
        <c:majorTickMark val="out"/>
        <c:minorTickMark val="none"/>
        <c:tickLblPos val="nextTo"/>
        <c:crossAx val="107071744"/>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2000</a:t>
            </a:r>
          </a:p>
        </c:rich>
      </c:tx>
      <c:overlay val="0"/>
    </c:title>
    <c:autoTitleDeleted val="0"/>
    <c:plotArea>
      <c:layout/>
      <c:pieChart>
        <c:varyColors val="1"/>
        <c:ser>
          <c:idx val="0"/>
          <c:order val="0"/>
          <c:dPt>
            <c:idx val="0"/>
            <c:bubble3D val="0"/>
            <c:spPr>
              <a:solidFill>
                <a:schemeClr val="accent2"/>
              </a:solidFill>
            </c:spPr>
          </c:dPt>
          <c:dPt>
            <c:idx val="1"/>
            <c:bubble3D val="0"/>
            <c:spPr>
              <a:solidFill>
                <a:schemeClr val="accent6"/>
              </a:solidFill>
            </c:spPr>
          </c:dPt>
          <c:dPt>
            <c:idx val="2"/>
            <c:bubble3D val="0"/>
            <c:spPr>
              <a:solidFill>
                <a:schemeClr val="accent2"/>
              </a:solidFill>
            </c:spPr>
          </c:dPt>
          <c:dPt>
            <c:idx val="3"/>
            <c:bubble3D val="0"/>
            <c:spPr>
              <a:solidFill>
                <a:schemeClr val="accent6"/>
              </a:solidFill>
            </c:spPr>
          </c:dPt>
          <c:dPt>
            <c:idx val="4"/>
            <c:bubble3D val="0"/>
            <c:spPr>
              <a:solidFill>
                <a:schemeClr val="accent2"/>
              </a:solidFill>
            </c:spPr>
          </c:dPt>
          <c:dPt>
            <c:idx val="5"/>
            <c:bubble3D val="0"/>
            <c:explosion val="1"/>
            <c:spPr>
              <a:solidFill>
                <a:schemeClr val="accent6"/>
              </a:solidFill>
            </c:spPr>
          </c:dPt>
          <c:dPt>
            <c:idx val="6"/>
            <c:bubble3D val="0"/>
            <c:spPr>
              <a:solidFill>
                <a:schemeClr val="accent2"/>
              </a:solidFill>
            </c:spPr>
          </c:dPt>
          <c:dPt>
            <c:idx val="7"/>
            <c:bubble3D val="0"/>
            <c:spPr>
              <a:solidFill>
                <a:schemeClr val="accent6"/>
              </a:solidFill>
            </c:spPr>
          </c:dPt>
          <c:dPt>
            <c:idx val="8"/>
            <c:bubble3D val="0"/>
            <c:spPr>
              <a:solidFill>
                <a:schemeClr val="accent2"/>
              </a:solidFill>
            </c:spPr>
          </c:dPt>
          <c:dPt>
            <c:idx val="9"/>
            <c:bubble3D val="0"/>
            <c:spPr>
              <a:solidFill>
                <a:schemeClr val="accent6"/>
              </a:solidFill>
            </c:spPr>
          </c:dPt>
          <c:dPt>
            <c:idx val="10"/>
            <c:bubble3D val="0"/>
            <c:spPr>
              <a:solidFill>
                <a:schemeClr val="accent2"/>
              </a:solidFill>
            </c:spPr>
          </c:dPt>
          <c:dPt>
            <c:idx val="11"/>
            <c:bubble3D val="0"/>
            <c:spPr>
              <a:solidFill>
                <a:schemeClr val="accent6"/>
              </a:solidFill>
            </c:spPr>
          </c:dPt>
          <c:dPt>
            <c:idx val="12"/>
            <c:bubble3D val="0"/>
            <c:spPr>
              <a:solidFill>
                <a:schemeClr val="accent2"/>
              </a:solidFill>
            </c:spPr>
          </c:dPt>
          <c:dPt>
            <c:idx val="13"/>
            <c:bubble3D val="0"/>
            <c:spPr>
              <a:solidFill>
                <a:schemeClr val="accent6"/>
              </a:solidFill>
            </c:spPr>
          </c:dPt>
          <c:dPt>
            <c:idx val="14"/>
            <c:bubble3D val="0"/>
            <c:spPr>
              <a:solidFill>
                <a:schemeClr val="accent2"/>
              </a:solidFill>
            </c:spPr>
          </c:dPt>
          <c:dPt>
            <c:idx val="15"/>
            <c:bubble3D val="0"/>
            <c:spPr>
              <a:solidFill>
                <a:schemeClr val="bg1">
                  <a:lumMod val="75000"/>
                </a:schemeClr>
              </a:solidFill>
            </c:spPr>
          </c:dPt>
          <c:dLbls>
            <c:dLbl>
              <c:idx val="7"/>
              <c:layout>
                <c:manualLayout>
                  <c:x val="-8.0521429121034133E-2"/>
                  <c:y val="-0.10098960116398494"/>
                </c:manualLayout>
              </c:layout>
              <c:tx>
                <c:rich>
                  <a:bodyPr/>
                  <a:lstStyle/>
                  <a:p>
                    <a:r>
                      <a:rPr lang="en-US"/>
                      <a:t>Mining &amp; </a:t>
                    </a:r>
                    <a:br>
                      <a:rPr lang="en-US"/>
                    </a:br>
                    <a:r>
                      <a:rPr lang="en-US"/>
                      <a:t>Quarrying
7%</a:t>
                    </a:r>
                  </a:p>
                </c:rich>
              </c:tx>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'Gaza Strip'!$R$4:$R$19</c:f>
              <c:strCache>
                <c:ptCount val="16"/>
                <c:pt idx="0">
                  <c:v>Agriculture</c:v>
                </c:pt>
                <c:pt idx="1">
                  <c:v>Electrical &amp; Machinery</c:v>
                </c:pt>
                <c:pt idx="2">
                  <c:v>Financial &amp; business</c:v>
                </c:pt>
                <c:pt idx="3">
                  <c:v>Fishing</c:v>
                </c:pt>
                <c:pt idx="4">
                  <c:v>Food &amp; Beverages</c:v>
                </c:pt>
                <c:pt idx="5">
                  <c:v>Hotels &amp; Restaurants</c:v>
                </c:pt>
                <c:pt idx="6">
                  <c:v>Metal Products</c:v>
                </c:pt>
                <c:pt idx="7">
                  <c:v>Mining &amp; Quarrying</c:v>
                </c:pt>
                <c:pt idx="8">
                  <c:v>Other Manufacturing</c:v>
                </c:pt>
                <c:pt idx="9">
                  <c:v>Petrol./Chem. &amp; Non-Metal. Min. Prod</c:v>
                </c:pt>
                <c:pt idx="10">
                  <c:v>Post &amp; Telecom.</c:v>
                </c:pt>
                <c:pt idx="11">
                  <c:v>Textiles &amp; Apparel</c:v>
                </c:pt>
                <c:pt idx="12">
                  <c:v>Transport</c:v>
                </c:pt>
                <c:pt idx="13">
                  <c:v>Transport Equip.</c:v>
                </c:pt>
                <c:pt idx="14">
                  <c:v>Wood &amp; Paper</c:v>
                </c:pt>
                <c:pt idx="15">
                  <c:v>Other</c:v>
                </c:pt>
              </c:strCache>
            </c:strRef>
          </c:cat>
          <c:val>
            <c:numRef>
              <c:f>'Gaza Strip'!$S$4:$S$19</c:f>
              <c:numCache>
                <c:formatCode>0.0%</c:formatCode>
                <c:ptCount val="16"/>
                <c:pt idx="0">
                  <c:v>9.3120290127716762E-2</c:v>
                </c:pt>
                <c:pt idx="1">
                  <c:v>3.1396581462514284E-2</c:v>
                </c:pt>
                <c:pt idx="2">
                  <c:v>3.0451767024094089E-2</c:v>
                </c:pt>
                <c:pt idx="3">
                  <c:v>1.634308768974926E-2</c:v>
                </c:pt>
                <c:pt idx="4">
                  <c:v>8.7307500012605718E-2</c:v>
                </c:pt>
                <c:pt idx="5">
                  <c:v>3.5478312306259953E-2</c:v>
                </c:pt>
                <c:pt idx="6">
                  <c:v>3.8434433541635699E-2</c:v>
                </c:pt>
                <c:pt idx="7">
                  <c:v>7.1915470506944537E-2</c:v>
                </c:pt>
                <c:pt idx="8">
                  <c:v>2.6711659409019706E-2</c:v>
                </c:pt>
                <c:pt idx="9">
                  <c:v>5.7039785545262067E-2</c:v>
                </c:pt>
                <c:pt idx="10">
                  <c:v>3.5675631881941477E-2</c:v>
                </c:pt>
                <c:pt idx="11">
                  <c:v>6.657145854424916E-2</c:v>
                </c:pt>
                <c:pt idx="12">
                  <c:v>4.6730525051046211E-2</c:v>
                </c:pt>
                <c:pt idx="13">
                  <c:v>6.2520223826075652E-2</c:v>
                </c:pt>
                <c:pt idx="14">
                  <c:v>2.7514490135057076E-2</c:v>
                </c:pt>
                <c:pt idx="15">
                  <c:v>0.27278878293582831</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2011</a:t>
            </a:r>
          </a:p>
        </c:rich>
      </c:tx>
      <c:overlay val="0"/>
    </c:title>
    <c:autoTitleDeleted val="0"/>
    <c:plotArea>
      <c:layout/>
      <c:pieChart>
        <c:varyColors val="1"/>
        <c:ser>
          <c:idx val="0"/>
          <c:order val="0"/>
          <c:dPt>
            <c:idx val="0"/>
            <c:bubble3D val="0"/>
            <c:spPr>
              <a:solidFill>
                <a:schemeClr val="accent2"/>
              </a:solidFill>
            </c:spPr>
          </c:dPt>
          <c:dPt>
            <c:idx val="1"/>
            <c:bubble3D val="0"/>
            <c:spPr>
              <a:solidFill>
                <a:schemeClr val="accent6"/>
              </a:solidFill>
            </c:spPr>
          </c:dPt>
          <c:dPt>
            <c:idx val="2"/>
            <c:bubble3D val="0"/>
            <c:spPr>
              <a:solidFill>
                <a:schemeClr val="accent2"/>
              </a:solidFill>
            </c:spPr>
          </c:dPt>
          <c:dPt>
            <c:idx val="3"/>
            <c:bubble3D val="0"/>
            <c:spPr>
              <a:solidFill>
                <a:schemeClr val="accent6"/>
              </a:solidFill>
            </c:spPr>
          </c:dPt>
          <c:dPt>
            <c:idx val="4"/>
            <c:bubble3D val="0"/>
            <c:spPr>
              <a:solidFill>
                <a:schemeClr val="accent2"/>
              </a:solidFill>
            </c:spPr>
          </c:dPt>
          <c:dPt>
            <c:idx val="5"/>
            <c:bubble3D val="0"/>
            <c:spPr>
              <a:solidFill>
                <a:schemeClr val="accent6"/>
              </a:solidFill>
            </c:spPr>
          </c:dPt>
          <c:dPt>
            <c:idx val="6"/>
            <c:bubble3D val="0"/>
            <c:spPr>
              <a:solidFill>
                <a:schemeClr val="accent2"/>
              </a:solidFill>
            </c:spPr>
          </c:dPt>
          <c:dPt>
            <c:idx val="7"/>
            <c:bubble3D val="0"/>
            <c:spPr>
              <a:solidFill>
                <a:schemeClr val="accent6"/>
              </a:solidFill>
            </c:spPr>
          </c:dPt>
          <c:dPt>
            <c:idx val="8"/>
            <c:bubble3D val="0"/>
            <c:spPr>
              <a:solidFill>
                <a:schemeClr val="accent2"/>
              </a:solidFill>
            </c:spPr>
          </c:dPt>
          <c:dPt>
            <c:idx val="9"/>
            <c:bubble3D val="0"/>
            <c:spPr>
              <a:solidFill>
                <a:schemeClr val="accent6"/>
              </a:solidFill>
            </c:spPr>
          </c:dPt>
          <c:dPt>
            <c:idx val="10"/>
            <c:bubble3D val="0"/>
            <c:spPr>
              <a:solidFill>
                <a:schemeClr val="accent2"/>
              </a:solidFill>
            </c:spPr>
          </c:dPt>
          <c:dPt>
            <c:idx val="11"/>
            <c:bubble3D val="0"/>
            <c:spPr>
              <a:solidFill>
                <a:schemeClr val="accent6"/>
              </a:solidFill>
            </c:spPr>
          </c:dPt>
          <c:dPt>
            <c:idx val="12"/>
            <c:bubble3D val="0"/>
            <c:spPr>
              <a:solidFill>
                <a:schemeClr val="accent2"/>
              </a:solidFill>
            </c:spPr>
          </c:dPt>
          <c:dPt>
            <c:idx val="13"/>
            <c:bubble3D val="0"/>
            <c:spPr>
              <a:solidFill>
                <a:schemeClr val="accent6"/>
              </a:solidFill>
            </c:spPr>
          </c:dPt>
          <c:dPt>
            <c:idx val="14"/>
            <c:bubble3D val="0"/>
            <c:spPr>
              <a:solidFill>
                <a:schemeClr val="accent2"/>
              </a:solidFill>
            </c:spPr>
          </c:dPt>
          <c:dPt>
            <c:idx val="15"/>
            <c:bubble3D val="0"/>
            <c:spPr>
              <a:solidFill>
                <a:schemeClr val="bg1">
                  <a:lumMod val="75000"/>
                </a:schemeClr>
              </a:solidFill>
            </c:spPr>
          </c:dPt>
          <c:dLbls>
            <c:dLbl>
              <c:idx val="2"/>
              <c:layout>
                <c:manualLayout>
                  <c:x val="-0.10163828259252609"/>
                  <c:y val="8.6459403172429533E-2"/>
                </c:manualLayout>
              </c:layout>
              <c:tx>
                <c:rich>
                  <a:bodyPr/>
                  <a:lstStyle/>
                  <a:p>
                    <a:r>
                      <a:rPr lang="en-US"/>
                      <a:t>Financial &amp; </a:t>
                    </a:r>
                    <a:br>
                      <a:rPr lang="en-US"/>
                    </a:br>
                    <a:r>
                      <a:rPr lang="en-US"/>
                      <a:t>business
9%</a:t>
                    </a:r>
                  </a:p>
                </c:rich>
              </c:tx>
              <c:dLblPos val="bestFit"/>
              <c:showLegendKey val="0"/>
              <c:showVal val="0"/>
              <c:showCatName val="1"/>
              <c:showSerName val="0"/>
              <c:showPercent val="1"/>
              <c:showBubbleSize val="0"/>
            </c:dLbl>
            <c:dLbl>
              <c:idx val="4"/>
              <c:layout>
                <c:manualLayout>
                  <c:x val="-0.1128662357759026"/>
                  <c:y val="1.6390291566815016E-2"/>
                </c:manualLayout>
              </c:layout>
              <c:tx>
                <c:rich>
                  <a:bodyPr/>
                  <a:lstStyle/>
                  <a:p>
                    <a:r>
                      <a:rPr lang="en-US"/>
                      <a:t>Food &amp; </a:t>
                    </a:r>
                    <a:br>
                      <a:rPr lang="en-US"/>
                    </a:br>
                    <a:r>
                      <a:rPr lang="en-US"/>
                      <a:t>Beverages
8%</a:t>
                    </a:r>
                  </a:p>
                </c:rich>
              </c:tx>
              <c:dLblPos val="bestFit"/>
              <c:showLegendKey val="0"/>
              <c:showVal val="0"/>
              <c:showCatName val="1"/>
              <c:showSerName val="0"/>
              <c:showPercent val="1"/>
              <c:showBubbleSize val="0"/>
            </c:dLbl>
            <c:dLbl>
              <c:idx val="5"/>
              <c:layout>
                <c:manualLayout>
                  <c:x val="-0.15738285157352075"/>
                  <c:y val="-4.2813177564760926E-2"/>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'Gaza Strip'!$U$4:$U$19</c:f>
              <c:strCache>
                <c:ptCount val="16"/>
                <c:pt idx="0">
                  <c:v>Agriculture</c:v>
                </c:pt>
                <c:pt idx="1">
                  <c:v>Electrical &amp; Machinery</c:v>
                </c:pt>
                <c:pt idx="2">
                  <c:v>Financial &amp; business</c:v>
                </c:pt>
                <c:pt idx="3">
                  <c:v>Fishing</c:v>
                </c:pt>
                <c:pt idx="4">
                  <c:v>Food &amp; Beverages</c:v>
                </c:pt>
                <c:pt idx="5">
                  <c:v>Hotels &amp; Restaurants</c:v>
                </c:pt>
                <c:pt idx="6">
                  <c:v>Metal Products</c:v>
                </c:pt>
                <c:pt idx="7">
                  <c:v>Mining &amp; Quarrying</c:v>
                </c:pt>
                <c:pt idx="8">
                  <c:v>Other Manufacturing</c:v>
                </c:pt>
                <c:pt idx="9">
                  <c:v>Petrol./Chem. &amp; Non-Metal. Min. Prod</c:v>
                </c:pt>
                <c:pt idx="10">
                  <c:v>Post &amp; Telecom.</c:v>
                </c:pt>
                <c:pt idx="11">
                  <c:v>Textiles &amp; Apparel</c:v>
                </c:pt>
                <c:pt idx="12">
                  <c:v>Transport</c:v>
                </c:pt>
                <c:pt idx="13">
                  <c:v>Transport Equip.</c:v>
                </c:pt>
                <c:pt idx="14">
                  <c:v>Wood &amp; Paper</c:v>
                </c:pt>
                <c:pt idx="15">
                  <c:v>Other</c:v>
                </c:pt>
              </c:strCache>
            </c:strRef>
          </c:cat>
          <c:val>
            <c:numRef>
              <c:f>'Gaza Strip'!$V$4:$V$19</c:f>
              <c:numCache>
                <c:formatCode>0.0%</c:formatCode>
                <c:ptCount val="16"/>
                <c:pt idx="0">
                  <c:v>7.3309972066142717E-2</c:v>
                </c:pt>
                <c:pt idx="1">
                  <c:v>3.8285579953842519E-2</c:v>
                </c:pt>
                <c:pt idx="2">
                  <c:v>8.7743467106778758E-2</c:v>
                </c:pt>
                <c:pt idx="3">
                  <c:v>3.7121586794065307E-3</c:v>
                </c:pt>
                <c:pt idx="4">
                  <c:v>7.6050603286350535E-2</c:v>
                </c:pt>
                <c:pt idx="5">
                  <c:v>4.8326328077188375E-2</c:v>
                </c:pt>
                <c:pt idx="6">
                  <c:v>2.3618870972113057E-2</c:v>
                </c:pt>
                <c:pt idx="7">
                  <c:v>2.3193992570239175E-2</c:v>
                </c:pt>
                <c:pt idx="8">
                  <c:v>1.4963630868242804E-2</c:v>
                </c:pt>
                <c:pt idx="9">
                  <c:v>5.4036399593287016E-2</c:v>
                </c:pt>
                <c:pt idx="10">
                  <c:v>5.0112909245103122E-2</c:v>
                </c:pt>
                <c:pt idx="11">
                  <c:v>2.9576445849996705E-2</c:v>
                </c:pt>
                <c:pt idx="12">
                  <c:v>4.5516015935716712E-2</c:v>
                </c:pt>
                <c:pt idx="13">
                  <c:v>1.7332737545501156E-2</c:v>
                </c:pt>
                <c:pt idx="14">
                  <c:v>1.6916568630067914E-2</c:v>
                </c:pt>
                <c:pt idx="15">
                  <c:v>0.39730431962002277</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'[SET figures(A-N).xlsx]Gaza Strip'!$S$22</c:f>
              <c:strCache>
                <c:ptCount val="1"/>
                <c:pt idx="0">
                  <c:v>1996-2011</c:v>
                </c:pt>
              </c:strCache>
            </c:strRef>
          </c:tx>
          <c:invertIfNegative val="0"/>
          <c:cat>
            <c:strRef>
              <c:f>'[SET figures(A-N).xlsx]Gaza Strip'!$R$23:$R$37</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'[SET figures(A-N).xlsx]Gaza Strip'!$S$23:$S$37</c:f>
              <c:numCache>
                <c:formatCode>0.0%</c:formatCode>
                <c:ptCount val="15"/>
                <c:pt idx="0">
                  <c:v>0.12710687258922904</c:v>
                </c:pt>
                <c:pt idx="1">
                  <c:v>0.18590716797562945</c:v>
                </c:pt>
                <c:pt idx="2">
                  <c:v>0.21908454123911913</c:v>
                </c:pt>
                <c:pt idx="3">
                  <c:v>5.4183501323203265E-2</c:v>
                </c:pt>
                <c:pt idx="4">
                  <c:v>0.15963497751395317</c:v>
                </c:pt>
                <c:pt idx="5">
                  <c:v>0.18761440283820896</c:v>
                </c:pt>
                <c:pt idx="6">
                  <c:v>0.13781487272132953</c:v>
                </c:pt>
                <c:pt idx="7">
                  <c:v>8.3751640098931768E-2</c:v>
                </c:pt>
                <c:pt idx="8">
                  <c:v>0.12774248707003544</c:v>
                </c:pt>
                <c:pt idx="9">
                  <c:v>0.16386312039132012</c:v>
                </c:pt>
                <c:pt idx="10">
                  <c:v>0.16431934520356828</c:v>
                </c:pt>
                <c:pt idx="11">
                  <c:v>0.12284465478860396</c:v>
                </c:pt>
                <c:pt idx="12">
                  <c:v>0.1707122985022842</c:v>
                </c:pt>
                <c:pt idx="13">
                  <c:v>7.634900401240019E-2</c:v>
                </c:pt>
                <c:pt idx="14">
                  <c:v>0.1338706342139504</c:v>
                </c:pt>
              </c:numCache>
            </c:numRef>
          </c:val>
        </c:ser>
        <c:ser>
          <c:idx val="1"/>
          <c:order val="1"/>
          <c:tx>
            <c:strRef>
              <c:f>'[SET figures(A-N).xlsx]Gaza Strip'!$T$22</c:f>
              <c:strCache>
                <c:ptCount val="1"/>
                <c:pt idx="0">
                  <c:v>2006-2011</c:v>
                </c:pt>
              </c:strCache>
            </c:strRef>
          </c:tx>
          <c:spPr>
            <a:solidFill>
              <a:schemeClr val="accent6"/>
            </a:solidFill>
          </c:spPr>
          <c:invertIfNegative val="0"/>
          <c:cat>
            <c:strRef>
              <c:f>'[SET figures(A-N).xlsx]Gaza Strip'!$R$23:$R$37</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'[SET figures(A-N).xlsx]Gaza Strip'!$T$23:$T$37</c:f>
              <c:numCache>
                <c:formatCode>0.0%</c:formatCode>
                <c:ptCount val="15"/>
                <c:pt idx="0">
                  <c:v>0.2814965840466308</c:v>
                </c:pt>
                <c:pt idx="1">
                  <c:v>0.55350499181292934</c:v>
                </c:pt>
                <c:pt idx="2">
                  <c:v>0.86857952313173592</c:v>
                </c:pt>
                <c:pt idx="3">
                  <c:v>0.22335523718949934</c:v>
                </c:pt>
                <c:pt idx="4">
                  <c:v>0.31922491201052838</c:v>
                </c:pt>
                <c:pt idx="5">
                  <c:v>0.40009988828026399</c:v>
                </c:pt>
                <c:pt idx="6">
                  <c:v>0.37181334806382083</c:v>
                </c:pt>
                <c:pt idx="7">
                  <c:v>0.29007701695089971</c:v>
                </c:pt>
                <c:pt idx="8">
                  <c:v>0.35566085367757916</c:v>
                </c:pt>
                <c:pt idx="9">
                  <c:v>0.34783658427416597</c:v>
                </c:pt>
                <c:pt idx="10">
                  <c:v>0.37824347308498329</c:v>
                </c:pt>
                <c:pt idx="11">
                  <c:v>0.26875374574600097</c:v>
                </c:pt>
                <c:pt idx="12">
                  <c:v>0.39180166124461402</c:v>
                </c:pt>
                <c:pt idx="13">
                  <c:v>0.55328530086586136</c:v>
                </c:pt>
                <c:pt idx="14">
                  <c:v>0.36986548200442271</c:v>
                </c:pt>
              </c:numCache>
            </c:numRef>
          </c:val>
        </c:ser>
        <c:dLbls>
          <c:showLegendKey val="0"/>
          <c:showVal val="0"/>
          <c:showCatName val="0"/>
          <c:showSerName val="0"/>
          <c:showPercent val="0"/>
          <c:showBubbleSize val="0"/>
        </c:dLbls>
        <c:gapWidth val="150"/>
        <c:axId val="107243008"/>
        <c:axId val="107244544"/>
      </c:barChart>
      <c:catAx>
        <c:axId val="107243008"/>
        <c:scaling>
          <c:orientation val="minMax"/>
        </c:scaling>
        <c:delete val="0"/>
        <c:axPos val="b"/>
        <c:majorTickMark val="out"/>
        <c:minorTickMark val="none"/>
        <c:tickLblPos val="nextTo"/>
        <c:spPr>
          <a:ln>
            <a:noFill/>
          </a:ln>
        </c:spPr>
        <c:txPr>
          <a:bodyPr rot="-5400000" vert="horz"/>
          <a:lstStyle/>
          <a:p>
            <a:pPr>
              <a:defRPr sz="700"/>
            </a:pPr>
            <a:endParaRPr lang="en-US"/>
          </a:p>
        </c:txPr>
        <c:crossAx val="107244544"/>
        <c:crosses val="autoZero"/>
        <c:auto val="1"/>
        <c:lblAlgn val="ctr"/>
        <c:lblOffset val="100"/>
        <c:noMultiLvlLbl val="0"/>
      </c:catAx>
      <c:valAx>
        <c:axId val="107244544"/>
        <c:scaling>
          <c:orientation val="minMax"/>
        </c:scaling>
        <c:delete val="0"/>
        <c:axPos val="l"/>
        <c:majorGridlines/>
        <c:numFmt formatCode="0%" sourceLinked="0"/>
        <c:majorTickMark val="out"/>
        <c:minorTickMark val="none"/>
        <c:tickLblPos val="nextTo"/>
        <c:crossAx val="107243008"/>
        <c:crosses val="autoZero"/>
        <c:crossBetween val="between"/>
      </c:valAx>
    </c:plotArea>
    <c:legend>
      <c:legendPos val="r"/>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'DVA-FVA graphs (Gaza)'!$O$43</c:f>
              <c:strCache>
                <c:ptCount val="1"/>
                <c:pt idx="0">
                  <c:v>2000</c:v>
                </c:pt>
              </c:strCache>
            </c:strRef>
          </c:tx>
          <c:invertIfNegative val="0"/>
          <c:cat>
            <c:strRef>
              <c:f>'DVA-FVA graphs (Gaza)'!$N$44:$N$58</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'DVA-FVA graphs (Gaza)'!$O$44:$O$58</c:f>
              <c:numCache>
                <c:formatCode>0.0%</c:formatCode>
                <c:ptCount val="15"/>
                <c:pt idx="0">
                  <c:v>8.9731714901070389E-2</c:v>
                </c:pt>
                <c:pt idx="1">
                  <c:v>0.17945147997166902</c:v>
                </c:pt>
                <c:pt idx="2">
                  <c:v>6.6698167848051201E-2</c:v>
                </c:pt>
                <c:pt idx="3">
                  <c:v>0.24692709969617371</c:v>
                </c:pt>
                <c:pt idx="4">
                  <c:v>0.12810854012673267</c:v>
                </c:pt>
                <c:pt idx="5">
                  <c:v>0.10465145536121667</c:v>
                </c:pt>
                <c:pt idx="6">
                  <c:v>0.1508700805748335</c:v>
                </c:pt>
                <c:pt idx="7">
                  <c:v>0.12480403001786741</c:v>
                </c:pt>
                <c:pt idx="8">
                  <c:v>0.17733260518532595</c:v>
                </c:pt>
                <c:pt idx="9">
                  <c:v>0.17695547259513578</c:v>
                </c:pt>
                <c:pt idx="10">
                  <c:v>9.7945625743193446E-2</c:v>
                </c:pt>
                <c:pt idx="11">
                  <c:v>0.17367578988567517</c:v>
                </c:pt>
                <c:pt idx="12">
                  <c:v>0.15770277514510331</c:v>
                </c:pt>
                <c:pt idx="13">
                  <c:v>0.22140383160368701</c:v>
                </c:pt>
                <c:pt idx="14">
                  <c:v>0.14488750018209798</c:v>
                </c:pt>
              </c:numCache>
            </c:numRef>
          </c:val>
        </c:ser>
        <c:ser>
          <c:idx val="1"/>
          <c:order val="1"/>
          <c:tx>
            <c:strRef>
              <c:f>'DVA-FVA graphs (Gaza)'!$P$43</c:f>
              <c:strCache>
                <c:ptCount val="1"/>
                <c:pt idx="0">
                  <c:v>2011</c:v>
                </c:pt>
              </c:strCache>
            </c:strRef>
          </c:tx>
          <c:spPr>
            <a:solidFill>
              <a:schemeClr val="accent6"/>
            </a:solidFill>
          </c:spPr>
          <c:invertIfNegative val="0"/>
          <c:cat>
            <c:strRef>
              <c:f>'DVA-FVA graphs (Gaza)'!$N$44:$N$58</c:f>
              <c:strCache>
                <c:ptCount val="15"/>
                <c:pt idx="0">
                  <c:v>Agriculture</c:v>
                </c:pt>
                <c:pt idx="1">
                  <c:v>Electrical and Machinery</c:v>
                </c:pt>
                <c:pt idx="2">
                  <c:v>Finacial Intermediation and Business Activities</c:v>
                </c:pt>
                <c:pt idx="3">
                  <c:v>Fishing</c:v>
                </c:pt>
                <c:pt idx="4">
                  <c:v>Food &amp; Beverages</c:v>
                </c:pt>
                <c:pt idx="5">
                  <c:v>Hotels and Restraurants</c:v>
                </c:pt>
                <c:pt idx="6">
                  <c:v>Metal Products</c:v>
                </c:pt>
                <c:pt idx="7">
                  <c:v>Mining and Quarrying</c:v>
                </c:pt>
                <c:pt idx="8">
                  <c:v>Other Manufacturing</c:v>
                </c:pt>
                <c:pt idx="9">
                  <c:v>Petroleum, Chemical and Non-Metallic Mineral Products</c:v>
                </c:pt>
                <c:pt idx="10">
                  <c:v>Post and Telecommunications</c:v>
                </c:pt>
                <c:pt idx="11">
                  <c:v>Textiles and Wearing Apparel</c:v>
                </c:pt>
                <c:pt idx="12">
                  <c:v>Transport</c:v>
                </c:pt>
                <c:pt idx="13">
                  <c:v>Transport Equipment</c:v>
                </c:pt>
                <c:pt idx="14">
                  <c:v>Wood and Paper</c:v>
                </c:pt>
              </c:strCache>
            </c:strRef>
          </c:cat>
          <c:val>
            <c:numRef>
              <c:f>'DVA-FVA graphs (Gaza)'!$P$44:$P$58</c:f>
              <c:numCache>
                <c:formatCode>0.0%</c:formatCode>
                <c:ptCount val="15"/>
                <c:pt idx="0">
                  <c:v>0.14103816833665533</c:v>
                </c:pt>
                <c:pt idx="1">
                  <c:v>0.36087544721389858</c:v>
                </c:pt>
                <c:pt idx="2">
                  <c:v>7.7433185772374014E-2</c:v>
                </c:pt>
                <c:pt idx="3">
                  <c:v>0.51309550621769551</c:v>
                </c:pt>
                <c:pt idx="4">
                  <c:v>0.2307093308615101</c:v>
                </c:pt>
                <c:pt idx="5">
                  <c:v>0.18175701736923111</c:v>
                </c:pt>
                <c:pt idx="6">
                  <c:v>0.31694531994737402</c:v>
                </c:pt>
                <c:pt idx="7">
                  <c:v>0.26892392785865626</c:v>
                </c:pt>
                <c:pt idx="8">
                  <c:v>0.36301377628275866</c:v>
                </c:pt>
                <c:pt idx="9">
                  <c:v>0.33117272209433218</c:v>
                </c:pt>
                <c:pt idx="10">
                  <c:v>0.15940046680145689</c:v>
                </c:pt>
                <c:pt idx="11">
                  <c:v>0.36198499993604527</c:v>
                </c:pt>
                <c:pt idx="12">
                  <c:v>0.35119469751387289</c:v>
                </c:pt>
                <c:pt idx="13">
                  <c:v>0.44294272553244124</c:v>
                </c:pt>
                <c:pt idx="14">
                  <c:v>0.29042734043138124</c:v>
                </c:pt>
              </c:numCache>
            </c:numRef>
          </c:val>
        </c:ser>
        <c:dLbls>
          <c:showLegendKey val="0"/>
          <c:showVal val="0"/>
          <c:showCatName val="0"/>
          <c:showSerName val="0"/>
          <c:showPercent val="0"/>
          <c:showBubbleSize val="0"/>
        </c:dLbls>
        <c:gapWidth val="150"/>
        <c:axId val="107274240"/>
        <c:axId val="107275776"/>
      </c:barChart>
      <c:catAx>
        <c:axId val="107274240"/>
        <c:scaling>
          <c:orientation val="minMax"/>
        </c:scaling>
        <c:delete val="0"/>
        <c:axPos val="b"/>
        <c:majorTickMark val="out"/>
        <c:minorTickMark val="none"/>
        <c:tickLblPos val="nextTo"/>
        <c:txPr>
          <a:bodyPr rot="-5400000" vert="horz"/>
          <a:lstStyle/>
          <a:p>
            <a:pPr>
              <a:defRPr sz="700"/>
            </a:pPr>
            <a:endParaRPr lang="en-US"/>
          </a:p>
        </c:txPr>
        <c:crossAx val="107275776"/>
        <c:crosses val="autoZero"/>
        <c:auto val="1"/>
        <c:lblAlgn val="ctr"/>
        <c:lblOffset val="100"/>
        <c:noMultiLvlLbl val="0"/>
      </c:catAx>
      <c:valAx>
        <c:axId val="107275776"/>
        <c:scaling>
          <c:orientation val="minMax"/>
        </c:scaling>
        <c:delete val="0"/>
        <c:axPos val="l"/>
        <c:majorGridlines/>
        <c:numFmt formatCode="0%" sourceLinked="0"/>
        <c:majorTickMark val="out"/>
        <c:minorTickMark val="none"/>
        <c:tickLblPos val="nextTo"/>
        <c:crossAx val="107274240"/>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2000</a:t>
            </a:r>
          </a:p>
        </c:rich>
      </c:tx>
      <c:overlay val="0"/>
    </c:title>
    <c:autoTitleDeleted val="0"/>
    <c:plotArea>
      <c:layout/>
      <c:pieChart>
        <c:varyColors val="1"/>
        <c:ser>
          <c:idx val="0"/>
          <c:order val="0"/>
          <c:dPt>
            <c:idx val="0"/>
            <c:bubble3D val="0"/>
            <c:spPr>
              <a:solidFill>
                <a:schemeClr val="accent2"/>
              </a:solidFill>
            </c:spPr>
          </c:dPt>
          <c:dPt>
            <c:idx val="1"/>
            <c:bubble3D val="0"/>
            <c:spPr>
              <a:solidFill>
                <a:schemeClr val="accent6"/>
              </a:solidFill>
            </c:spPr>
          </c:dPt>
          <c:dPt>
            <c:idx val="2"/>
            <c:bubble3D val="0"/>
            <c:spPr>
              <a:solidFill>
                <a:schemeClr val="accent2"/>
              </a:solidFill>
            </c:spPr>
          </c:dPt>
          <c:dPt>
            <c:idx val="3"/>
            <c:bubble3D val="0"/>
            <c:spPr>
              <a:solidFill>
                <a:schemeClr val="accent6"/>
              </a:solidFill>
            </c:spPr>
          </c:dPt>
          <c:dPt>
            <c:idx val="4"/>
            <c:bubble3D val="0"/>
            <c:spPr>
              <a:solidFill>
                <a:schemeClr val="accent2"/>
              </a:solidFill>
            </c:spPr>
          </c:dPt>
          <c:dPt>
            <c:idx val="5"/>
            <c:bubble3D val="0"/>
            <c:explosion val="1"/>
            <c:spPr>
              <a:solidFill>
                <a:schemeClr val="accent6"/>
              </a:solidFill>
            </c:spPr>
          </c:dPt>
          <c:dPt>
            <c:idx val="6"/>
            <c:bubble3D val="0"/>
            <c:spPr>
              <a:solidFill>
                <a:schemeClr val="accent2"/>
              </a:solidFill>
            </c:spPr>
          </c:dPt>
          <c:dPt>
            <c:idx val="7"/>
            <c:bubble3D val="0"/>
            <c:spPr>
              <a:solidFill>
                <a:schemeClr val="accent6"/>
              </a:solidFill>
            </c:spPr>
          </c:dPt>
          <c:dPt>
            <c:idx val="8"/>
            <c:bubble3D val="0"/>
            <c:spPr>
              <a:solidFill>
                <a:schemeClr val="accent2"/>
              </a:solidFill>
            </c:spPr>
          </c:dPt>
          <c:dPt>
            <c:idx val="9"/>
            <c:bubble3D val="0"/>
            <c:spPr>
              <a:solidFill>
                <a:schemeClr val="accent6"/>
              </a:solidFill>
            </c:spPr>
          </c:dPt>
          <c:dPt>
            <c:idx val="10"/>
            <c:bubble3D val="0"/>
            <c:spPr>
              <a:solidFill>
                <a:schemeClr val="accent2"/>
              </a:solidFill>
            </c:spPr>
          </c:dPt>
          <c:dPt>
            <c:idx val="11"/>
            <c:bubble3D val="0"/>
            <c:spPr>
              <a:solidFill>
                <a:schemeClr val="accent6"/>
              </a:solidFill>
            </c:spPr>
          </c:dPt>
          <c:dPt>
            <c:idx val="12"/>
            <c:bubble3D val="0"/>
            <c:spPr>
              <a:solidFill>
                <a:schemeClr val="accent2"/>
              </a:solidFill>
            </c:spPr>
          </c:dPt>
          <c:dPt>
            <c:idx val="13"/>
            <c:bubble3D val="0"/>
            <c:spPr>
              <a:solidFill>
                <a:schemeClr val="accent6"/>
              </a:solidFill>
            </c:spPr>
          </c:dPt>
          <c:dPt>
            <c:idx val="14"/>
            <c:bubble3D val="0"/>
            <c:spPr>
              <a:solidFill>
                <a:schemeClr val="accent2"/>
              </a:solidFill>
            </c:spPr>
          </c:dPt>
          <c:dPt>
            <c:idx val="15"/>
            <c:bubble3D val="0"/>
            <c:spPr>
              <a:solidFill>
                <a:schemeClr val="bg1">
                  <a:lumMod val="75000"/>
                </a:schemeClr>
              </a:solidFill>
            </c:spPr>
          </c:dPt>
          <c:dLbls>
            <c:dLblPos val="bestFit"/>
            <c:showLegendKey val="0"/>
            <c:showVal val="0"/>
            <c:showCatName val="1"/>
            <c:showSerName val="0"/>
            <c:showPercent val="1"/>
            <c:showBubbleSize val="0"/>
            <c:showLeaderLines val="1"/>
          </c:dLbls>
          <c:cat>
            <c:strRef>
              <c:f>'Gaza Strip'!$R$64:$R$79</c:f>
              <c:strCache>
                <c:ptCount val="16"/>
                <c:pt idx="0">
                  <c:v>Agriculture</c:v>
                </c:pt>
                <c:pt idx="1">
                  <c:v>Electrical &amp; Machinery</c:v>
                </c:pt>
                <c:pt idx="2">
                  <c:v>Financial &amp; business</c:v>
                </c:pt>
                <c:pt idx="3">
                  <c:v>Fishing</c:v>
                </c:pt>
                <c:pt idx="4">
                  <c:v>Food &amp; Beverages</c:v>
                </c:pt>
                <c:pt idx="5">
                  <c:v>Hotels &amp; Restaurants</c:v>
                </c:pt>
                <c:pt idx="6">
                  <c:v>Metal Products</c:v>
                </c:pt>
                <c:pt idx="7">
                  <c:v>Mining &amp; Quarrying</c:v>
                </c:pt>
                <c:pt idx="8">
                  <c:v>Other Manufacturing</c:v>
                </c:pt>
                <c:pt idx="9">
                  <c:v>Petrol./Chem. &amp; Non-Metal. Min. Prod</c:v>
                </c:pt>
                <c:pt idx="10">
                  <c:v>Post &amp; Telecom.</c:v>
                </c:pt>
                <c:pt idx="11">
                  <c:v>Textiles &amp; Apparel</c:v>
                </c:pt>
                <c:pt idx="12">
                  <c:v>Transport</c:v>
                </c:pt>
                <c:pt idx="13">
                  <c:v>Transport Equip.</c:v>
                </c:pt>
                <c:pt idx="14">
                  <c:v>Wood &amp; Paper</c:v>
                </c:pt>
                <c:pt idx="15">
                  <c:v>Other</c:v>
                </c:pt>
              </c:strCache>
            </c:strRef>
          </c:cat>
          <c:val>
            <c:numRef>
              <c:f>'Gaza Strip'!$S$64:$S$79</c:f>
              <c:numCache>
                <c:formatCode>0.0%</c:formatCode>
                <c:ptCount val="16"/>
                <c:pt idx="0">
                  <c:v>1.7614000178483323E-2</c:v>
                </c:pt>
                <c:pt idx="1">
                  <c:v>4.4882324546102803E-2</c:v>
                </c:pt>
                <c:pt idx="2">
                  <c:v>3.3572184927613047E-2</c:v>
                </c:pt>
                <c:pt idx="3">
                  <c:v>1.06404194811071E-2</c:v>
                </c:pt>
                <c:pt idx="4">
                  <c:v>2.6201147498008847E-2</c:v>
                </c:pt>
                <c:pt idx="5">
                  <c:v>6.272225680659485E-2</c:v>
                </c:pt>
                <c:pt idx="6">
                  <c:v>2.0275452617129115E-2</c:v>
                </c:pt>
                <c:pt idx="7">
                  <c:v>3.3389039698882732E-2</c:v>
                </c:pt>
                <c:pt idx="8">
                  <c:v>5.0141819763464747E-2</c:v>
                </c:pt>
                <c:pt idx="9">
                  <c:v>2.8152673461640576E-2</c:v>
                </c:pt>
                <c:pt idx="10">
                  <c:v>5.9961572814129727E-2</c:v>
                </c:pt>
                <c:pt idx="11">
                  <c:v>1.8939934273140373E-2</c:v>
                </c:pt>
                <c:pt idx="12">
                  <c:v>6.84118512926708E-2</c:v>
                </c:pt>
                <c:pt idx="13">
                  <c:v>4.2778848659250364E-2</c:v>
                </c:pt>
                <c:pt idx="14">
                  <c:v>8.6925632553163559E-2</c:v>
                </c:pt>
                <c:pt idx="15">
                  <c:v>0.39539084142861802</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2011</a:t>
            </a:r>
          </a:p>
        </c:rich>
      </c:tx>
      <c:overlay val="0"/>
    </c:title>
    <c:autoTitleDeleted val="0"/>
    <c:plotArea>
      <c:layout/>
      <c:pieChart>
        <c:varyColors val="1"/>
        <c:ser>
          <c:idx val="0"/>
          <c:order val="0"/>
          <c:dPt>
            <c:idx val="0"/>
            <c:bubble3D val="0"/>
            <c:spPr>
              <a:solidFill>
                <a:schemeClr val="accent2"/>
              </a:solidFill>
            </c:spPr>
          </c:dPt>
          <c:dPt>
            <c:idx val="1"/>
            <c:bubble3D val="0"/>
            <c:spPr>
              <a:solidFill>
                <a:schemeClr val="accent6"/>
              </a:solidFill>
            </c:spPr>
          </c:dPt>
          <c:dPt>
            <c:idx val="2"/>
            <c:bubble3D val="0"/>
            <c:spPr>
              <a:solidFill>
                <a:schemeClr val="accent2"/>
              </a:solidFill>
            </c:spPr>
          </c:dPt>
          <c:dPt>
            <c:idx val="3"/>
            <c:bubble3D val="0"/>
            <c:spPr>
              <a:solidFill>
                <a:schemeClr val="accent6"/>
              </a:solidFill>
            </c:spPr>
          </c:dPt>
          <c:dPt>
            <c:idx val="4"/>
            <c:bubble3D val="0"/>
            <c:spPr>
              <a:solidFill>
                <a:schemeClr val="accent2"/>
              </a:solidFill>
            </c:spPr>
          </c:dPt>
          <c:dPt>
            <c:idx val="5"/>
            <c:bubble3D val="0"/>
            <c:spPr>
              <a:solidFill>
                <a:schemeClr val="accent6"/>
              </a:solidFill>
            </c:spPr>
          </c:dPt>
          <c:dPt>
            <c:idx val="6"/>
            <c:bubble3D val="0"/>
            <c:spPr>
              <a:solidFill>
                <a:schemeClr val="accent2"/>
              </a:solidFill>
            </c:spPr>
          </c:dPt>
          <c:dPt>
            <c:idx val="7"/>
            <c:bubble3D val="0"/>
            <c:spPr>
              <a:solidFill>
                <a:schemeClr val="accent6"/>
              </a:solidFill>
            </c:spPr>
          </c:dPt>
          <c:dPt>
            <c:idx val="8"/>
            <c:bubble3D val="0"/>
            <c:spPr>
              <a:solidFill>
                <a:schemeClr val="accent2"/>
              </a:solidFill>
            </c:spPr>
          </c:dPt>
          <c:dPt>
            <c:idx val="9"/>
            <c:bubble3D val="0"/>
            <c:spPr>
              <a:solidFill>
                <a:schemeClr val="accent6"/>
              </a:solidFill>
            </c:spPr>
          </c:dPt>
          <c:dPt>
            <c:idx val="10"/>
            <c:bubble3D val="0"/>
            <c:spPr>
              <a:solidFill>
                <a:schemeClr val="accent2"/>
              </a:solidFill>
            </c:spPr>
          </c:dPt>
          <c:dPt>
            <c:idx val="11"/>
            <c:bubble3D val="0"/>
            <c:spPr>
              <a:solidFill>
                <a:schemeClr val="accent6"/>
              </a:solidFill>
            </c:spPr>
          </c:dPt>
          <c:dPt>
            <c:idx val="12"/>
            <c:bubble3D val="0"/>
            <c:spPr>
              <a:solidFill>
                <a:schemeClr val="accent2"/>
              </a:solidFill>
            </c:spPr>
          </c:dPt>
          <c:dPt>
            <c:idx val="13"/>
            <c:bubble3D val="0"/>
            <c:spPr>
              <a:solidFill>
                <a:schemeClr val="accent6"/>
              </a:solidFill>
            </c:spPr>
          </c:dPt>
          <c:dPt>
            <c:idx val="14"/>
            <c:bubble3D val="0"/>
            <c:spPr>
              <a:solidFill>
                <a:schemeClr val="accent2"/>
              </a:solidFill>
            </c:spPr>
          </c:dPt>
          <c:dPt>
            <c:idx val="15"/>
            <c:bubble3D val="0"/>
            <c:spPr>
              <a:solidFill>
                <a:schemeClr val="bg1">
                  <a:lumMod val="75000"/>
                </a:schemeClr>
              </a:solidFill>
            </c:spPr>
          </c:dPt>
          <c:dLbls>
            <c:dLblPos val="bestFit"/>
            <c:showLegendKey val="0"/>
            <c:showVal val="0"/>
            <c:showCatName val="1"/>
            <c:showSerName val="0"/>
            <c:showPercent val="1"/>
            <c:showBubbleSize val="0"/>
            <c:showLeaderLines val="1"/>
          </c:dLbls>
          <c:cat>
            <c:strRef>
              <c:f>'Gaza Strip'!$V$64:$V$79</c:f>
              <c:strCache>
                <c:ptCount val="16"/>
                <c:pt idx="0">
                  <c:v>Agriculture</c:v>
                </c:pt>
                <c:pt idx="1">
                  <c:v>Electrical &amp; Machinery</c:v>
                </c:pt>
                <c:pt idx="2">
                  <c:v>Financial &amp; business</c:v>
                </c:pt>
                <c:pt idx="3">
                  <c:v>Fishing</c:v>
                </c:pt>
                <c:pt idx="4">
                  <c:v>Food &amp; Beverages</c:v>
                </c:pt>
                <c:pt idx="5">
                  <c:v>Hotels &amp; Restaurants</c:v>
                </c:pt>
                <c:pt idx="6">
                  <c:v>Metal Products</c:v>
                </c:pt>
                <c:pt idx="7">
                  <c:v>Mining &amp; Quarrying</c:v>
                </c:pt>
                <c:pt idx="8">
                  <c:v>Other Manufacturing</c:v>
                </c:pt>
                <c:pt idx="9">
                  <c:v>Petrol./Chem. &amp; Non-Metal. Min. Prod</c:v>
                </c:pt>
                <c:pt idx="10">
                  <c:v>Post &amp; Telecom.</c:v>
                </c:pt>
                <c:pt idx="11">
                  <c:v>Textiles &amp; Apparel</c:v>
                </c:pt>
                <c:pt idx="12">
                  <c:v>Transport</c:v>
                </c:pt>
                <c:pt idx="13">
                  <c:v>Transport Equip.</c:v>
                </c:pt>
                <c:pt idx="14">
                  <c:v>Wood &amp; Paper</c:v>
                </c:pt>
                <c:pt idx="15">
                  <c:v>Other</c:v>
                </c:pt>
              </c:strCache>
            </c:strRef>
          </c:cat>
          <c:val>
            <c:numRef>
              <c:f>'Gaza Strip'!$W$64:$W$79</c:f>
              <c:numCache>
                <c:formatCode>0.0%</c:formatCode>
                <c:ptCount val="16"/>
                <c:pt idx="0">
                  <c:v>2.3338016890003067E-2</c:v>
                </c:pt>
                <c:pt idx="1">
                  <c:v>3.3111227989536439E-2</c:v>
                </c:pt>
                <c:pt idx="2">
                  <c:v>5.9464326466707275E-2</c:v>
                </c:pt>
                <c:pt idx="3">
                  <c:v>2.0257858385418447E-2</c:v>
                </c:pt>
                <c:pt idx="4">
                  <c:v>1.0760449190665591E-2</c:v>
                </c:pt>
                <c:pt idx="5">
                  <c:v>6.2737440809857326E-2</c:v>
                </c:pt>
                <c:pt idx="6">
                  <c:v>2.9528551021661312E-2</c:v>
                </c:pt>
                <c:pt idx="7">
                  <c:v>3.0146538066198617E-2</c:v>
                </c:pt>
                <c:pt idx="8">
                  <c:v>2.3468851146170932E-2</c:v>
                </c:pt>
                <c:pt idx="9">
                  <c:v>2.3457379486304695E-2</c:v>
                </c:pt>
                <c:pt idx="10">
                  <c:v>7.359976466639738E-2</c:v>
                </c:pt>
                <c:pt idx="11">
                  <c:v>2.6139633914015255E-2</c:v>
                </c:pt>
                <c:pt idx="12">
                  <c:v>4.6158863806540863E-2</c:v>
                </c:pt>
                <c:pt idx="13">
                  <c:v>6.7771522308073817E-2</c:v>
                </c:pt>
                <c:pt idx="14">
                  <c:v>3.791092013464336E-2</c:v>
                </c:pt>
                <c:pt idx="15">
                  <c:v>0.43214865571780559</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v>Goods exports</c:v>
          </c:tx>
          <c:spPr>
            <a:solidFill>
              <a:schemeClr val="accent2"/>
            </a:solidFill>
          </c:spPr>
          <c:invertIfNegative val="0"/>
          <c:dLbls>
            <c:numFmt formatCode="#,##0.0" sourceLinked="0"/>
            <c:txPr>
              <a:bodyPr/>
              <a:lstStyle/>
              <a:p>
                <a:pPr>
                  <a:defRPr sz="700"/>
                </a:pPr>
                <a:endParaRPr lang="en-US"/>
              </a:p>
            </c:txPr>
            <c:dLblPos val="inBase"/>
            <c:showLegendKey val="0"/>
            <c:showVal val="1"/>
            <c:showCatName val="0"/>
            <c:showSerName val="0"/>
            <c:showPercent val="0"/>
            <c:showBubbleSize val="0"/>
            <c:showLeaderLines val="0"/>
          </c:dLbls>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Gaza'!$B$6:$B$14</c:f>
              <c:numCache>
                <c:formatCode>_-* #,##0_-;\-* #,##0_-;_-* "-"??_-;_-@_-</c:formatCode>
                <c:ptCount val="9"/>
                <c:pt idx="0">
                  <c:v>410572734.639911</c:v>
                </c:pt>
                <c:pt idx="1">
                  <c:v>449187636.16767102</c:v>
                </c:pt>
                <c:pt idx="2">
                  <c:v>621827862.03981602</c:v>
                </c:pt>
                <c:pt idx="3">
                  <c:v>665942132.43956304</c:v>
                </c:pt>
                <c:pt idx="4">
                  <c:v>628823031.046736</c:v>
                </c:pt>
                <c:pt idx="5">
                  <c:v>664249467.75190103</c:v>
                </c:pt>
                <c:pt idx="6">
                  <c:v>846074150.63941002</c:v>
                </c:pt>
                <c:pt idx="7">
                  <c:v>985355641.83164203</c:v>
                </c:pt>
                <c:pt idx="8">
                  <c:v>1692032124.4307101</c:v>
                </c:pt>
              </c:numCache>
            </c:numRef>
          </c:val>
        </c:ser>
        <c:ser>
          <c:idx val="1"/>
          <c:order val="1"/>
          <c:tx>
            <c:v>Services exports</c:v>
          </c:tx>
          <c:spPr>
            <a:solidFill>
              <a:schemeClr val="accent5"/>
            </a:solidFill>
          </c:spPr>
          <c:invertIfNegative val="0"/>
          <c:dLbls>
            <c:numFmt formatCode="#,##0.0" sourceLinked="0"/>
            <c:txPr>
              <a:bodyPr/>
              <a:lstStyle/>
              <a:p>
                <a:pPr>
                  <a:defRPr sz="700"/>
                </a:pPr>
                <a:endParaRPr lang="en-US"/>
              </a:p>
            </c:txPr>
            <c:dLblPos val="inBase"/>
            <c:showLegendKey val="0"/>
            <c:showVal val="1"/>
            <c:showCatName val="0"/>
            <c:showSerName val="0"/>
            <c:showPercent val="0"/>
            <c:showBubbleSize val="0"/>
            <c:showLeaderLines val="0"/>
          </c:dLbls>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Gaza'!$C$6:$C$14</c:f>
              <c:numCache>
                <c:formatCode>_-* #,##0_-;\-* #,##0_-;_-* "-"??_-;_-@_-</c:formatCode>
                <c:ptCount val="9"/>
                <c:pt idx="0">
                  <c:v>306529614.98382002</c:v>
                </c:pt>
                <c:pt idx="1">
                  <c:v>261107975.66429901</c:v>
                </c:pt>
                <c:pt idx="2">
                  <c:v>370858762.56568098</c:v>
                </c:pt>
                <c:pt idx="3">
                  <c:v>498543880.64181203</c:v>
                </c:pt>
                <c:pt idx="4">
                  <c:v>581732466.59371102</c:v>
                </c:pt>
                <c:pt idx="5">
                  <c:v>832627630.90613103</c:v>
                </c:pt>
                <c:pt idx="6">
                  <c:v>956461261.324265</c:v>
                </c:pt>
                <c:pt idx="7">
                  <c:v>938459814.37142503</c:v>
                </c:pt>
                <c:pt idx="8">
                  <c:v>608199909.25015903</c:v>
                </c:pt>
              </c:numCache>
            </c:numRef>
          </c:val>
        </c:ser>
        <c:dLbls>
          <c:showLegendKey val="0"/>
          <c:showVal val="0"/>
          <c:showCatName val="0"/>
          <c:showSerName val="0"/>
          <c:showPercent val="0"/>
          <c:showBubbleSize val="0"/>
        </c:dLbls>
        <c:gapWidth val="50"/>
        <c:overlap val="100"/>
        <c:axId val="107727872"/>
        <c:axId val="107422080"/>
      </c:barChart>
      <c:lineChart>
        <c:grouping val="standard"/>
        <c:varyColors val="0"/>
        <c:ser>
          <c:idx val="2"/>
          <c:order val="2"/>
          <c:tx>
            <c:v>Services share of total exports</c:v>
          </c:tx>
          <c:spPr>
            <a:ln w="28575">
              <a:solidFill>
                <a:sysClr val="windowText" lastClr="000000"/>
              </a:solidFill>
            </a:ln>
          </c:spPr>
          <c:marker>
            <c:symbol val="circle"/>
            <c:size val="3"/>
            <c:spPr>
              <a:solidFill>
                <a:schemeClr val="accent5"/>
              </a:solidFill>
              <a:ln>
                <a:solidFill>
                  <a:sysClr val="windowText" lastClr="000000"/>
                </a:solidFill>
              </a:ln>
            </c:spPr>
          </c:marker>
          <c:dLbls>
            <c:txPr>
              <a:bodyPr/>
              <a:lstStyle/>
              <a:p>
                <a:pPr>
                  <a:defRPr sz="700"/>
                </a:pPr>
                <a:endParaRPr lang="en-US"/>
              </a:p>
            </c:txPr>
            <c:dLblPos val="t"/>
            <c:showLegendKey val="0"/>
            <c:showVal val="1"/>
            <c:showCatName val="0"/>
            <c:showSerName val="0"/>
            <c:showPercent val="0"/>
            <c:showBubbleSize val="0"/>
            <c:showLeaderLines val="0"/>
          </c:dLbls>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Gaza'!$E$6:$E$14</c:f>
              <c:numCache>
                <c:formatCode>0%</c:formatCode>
                <c:ptCount val="9"/>
                <c:pt idx="0">
                  <c:v>0.42745587871056123</c:v>
                </c:pt>
                <c:pt idx="1">
                  <c:v>0.36760465827862615</c:v>
                </c:pt>
                <c:pt idx="2">
                  <c:v>0.3735909735996128</c:v>
                </c:pt>
                <c:pt idx="3">
                  <c:v>0.42812354553113335</c:v>
                </c:pt>
                <c:pt idx="4">
                  <c:v>0.48055001834083128</c:v>
                </c:pt>
                <c:pt idx="5">
                  <c:v>0.55624314892157245</c:v>
                </c:pt>
                <c:pt idx="6">
                  <c:v>0.53061995618843338</c:v>
                </c:pt>
                <c:pt idx="7">
                  <c:v>0.48781176559606898</c:v>
                </c:pt>
                <c:pt idx="8">
                  <c:v>0.2644080685533744</c:v>
                </c:pt>
              </c:numCache>
            </c:numRef>
          </c:val>
          <c:smooth val="0"/>
        </c:ser>
        <c:dLbls>
          <c:showLegendKey val="0"/>
          <c:showVal val="0"/>
          <c:showCatName val="0"/>
          <c:showSerName val="0"/>
          <c:showPercent val="0"/>
          <c:showBubbleSize val="0"/>
        </c:dLbls>
        <c:marker val="1"/>
        <c:smooth val="0"/>
        <c:axId val="107430272"/>
        <c:axId val="107424384"/>
      </c:lineChart>
      <c:catAx>
        <c:axId val="107727872"/>
        <c:scaling>
          <c:orientation val="minMax"/>
        </c:scaling>
        <c:delete val="0"/>
        <c:axPos val="b"/>
        <c:majorTickMark val="out"/>
        <c:minorTickMark val="none"/>
        <c:tickLblPos val="nextTo"/>
        <c:crossAx val="107422080"/>
        <c:crosses val="autoZero"/>
        <c:auto val="1"/>
        <c:lblAlgn val="ctr"/>
        <c:lblOffset val="100"/>
        <c:noMultiLvlLbl val="0"/>
      </c:catAx>
      <c:valAx>
        <c:axId val="107422080"/>
        <c:scaling>
          <c:orientation val="minMax"/>
        </c:scaling>
        <c:delete val="0"/>
        <c:axPos val="l"/>
        <c:majorGridlines/>
        <c:title>
          <c:tx>
            <c:rich>
              <a:bodyPr rot="-5400000" vert="horz"/>
              <a:lstStyle/>
              <a:p>
                <a:pPr>
                  <a:defRPr b="0"/>
                </a:pPr>
                <a:r>
                  <a:rPr lang="en-US" b="0"/>
                  <a:t>Current US$ billion</a:t>
                </a:r>
              </a:p>
            </c:rich>
          </c:tx>
          <c:overlay val="0"/>
        </c:title>
        <c:numFmt formatCode="#,##0.0" sourceLinked="0"/>
        <c:majorTickMark val="out"/>
        <c:minorTickMark val="none"/>
        <c:tickLblPos val="nextTo"/>
        <c:crossAx val="107727872"/>
        <c:crosses val="autoZero"/>
        <c:crossBetween val="between"/>
        <c:dispUnits>
          <c:builtInUnit val="billions"/>
        </c:dispUnits>
      </c:valAx>
      <c:valAx>
        <c:axId val="107424384"/>
        <c:scaling>
          <c:orientation val="minMax"/>
        </c:scaling>
        <c:delete val="0"/>
        <c:axPos val="r"/>
        <c:numFmt formatCode="0%" sourceLinked="1"/>
        <c:majorTickMark val="out"/>
        <c:minorTickMark val="none"/>
        <c:tickLblPos val="nextTo"/>
        <c:txPr>
          <a:bodyPr/>
          <a:lstStyle/>
          <a:p>
            <a:pPr>
              <a:defRPr>
                <a:solidFill>
                  <a:schemeClr val="bg1"/>
                </a:solidFill>
              </a:defRPr>
            </a:pPr>
            <a:endParaRPr lang="en-US"/>
          </a:p>
        </c:txPr>
        <c:crossAx val="107430272"/>
        <c:crosses val="max"/>
        <c:crossBetween val="between"/>
      </c:valAx>
      <c:catAx>
        <c:axId val="107430272"/>
        <c:scaling>
          <c:orientation val="minMax"/>
        </c:scaling>
        <c:delete val="1"/>
        <c:axPos val="b"/>
        <c:majorTickMark val="out"/>
        <c:minorTickMark val="none"/>
        <c:tickLblPos val="nextTo"/>
        <c:crossAx val="107424384"/>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1991-2000</a:t>
            </a:r>
          </a:p>
        </c:rich>
      </c:tx>
      <c:overlay val="0"/>
    </c:title>
    <c:autoTitleDeleted val="0"/>
    <c:plotArea>
      <c:layout/>
      <c:bubbleChart>
        <c:varyColors val="0"/>
        <c:ser>
          <c:idx val="6"/>
          <c:order val="0"/>
          <c:tx>
            <c:v>Other</c:v>
          </c:tx>
          <c:spPr>
            <a:solidFill>
              <a:srgbClr val="FF00FF"/>
            </a:solidFill>
            <a:ln w="25400">
              <a:noFill/>
            </a:ln>
          </c:spPr>
          <c:invertIfNegative val="0"/>
          <c:xVal>
            <c:numRef>
              <c:f>'Rel. prod. cf employment'!$B$12</c:f>
              <c:numCache>
                <c:formatCode>#,##0.0_ ;\-#,##0.0\ </c:formatCode>
                <c:ptCount val="1"/>
                <c:pt idx="0">
                  <c:v>-1.3110904079810588</c:v>
                </c:pt>
              </c:numCache>
            </c:numRef>
          </c:xVal>
          <c:yVal>
            <c:numRef>
              <c:f>'Rel. prod. cf employment'!$C$12</c:f>
              <c:numCache>
                <c:formatCode>#,##0.0_ ;\-#,##0.0\ </c:formatCode>
                <c:ptCount val="1"/>
                <c:pt idx="0">
                  <c:v>1.4387904144078663</c:v>
                </c:pt>
              </c:numCache>
            </c:numRef>
          </c:yVal>
          <c:bubbleSize>
            <c:numRef>
              <c:f>'Rel. prod. cf employment'!$E$12</c:f>
              <c:numCache>
                <c:formatCode>#,##0_ ;\-#,##0\ </c:formatCode>
                <c:ptCount val="1"/>
                <c:pt idx="0">
                  <c:v>164</c:v>
                </c:pt>
              </c:numCache>
            </c:numRef>
          </c:bubbleSize>
          <c:bubble3D val="1"/>
        </c:ser>
        <c:ser>
          <c:idx val="1"/>
          <c:order val="1"/>
          <c:tx>
            <c:v>Mining &amp; utilities</c:v>
          </c:tx>
          <c:spPr>
            <a:solidFill>
              <a:srgbClr val="000000"/>
            </a:solidFill>
            <a:ln w="25400">
              <a:noFill/>
            </a:ln>
          </c:spPr>
          <c:invertIfNegative val="0"/>
          <c:xVal>
            <c:numRef>
              <c:f>'Rel. prod. cf employment'!$B$7</c:f>
              <c:numCache>
                <c:formatCode>#,##0.0_ ;\-#,##0.0\ </c:formatCode>
                <c:ptCount val="1"/>
                <c:pt idx="0">
                  <c:v>-0.53375257171693669</c:v>
                </c:pt>
              </c:numCache>
            </c:numRef>
          </c:xVal>
          <c:yVal>
            <c:numRef>
              <c:f>'Rel. prod. cf employment'!$C$7</c:f>
              <c:numCache>
                <c:formatCode>#,##0.0_ ;\-#,##0.0\ </c:formatCode>
                <c:ptCount val="1"/>
                <c:pt idx="0">
                  <c:v>5.4667193620190222</c:v>
                </c:pt>
              </c:numCache>
            </c:numRef>
          </c:yVal>
          <c:bubbleSize>
            <c:numRef>
              <c:f>'Rel. prod. cf employment'!$E$7</c:f>
              <c:numCache>
                <c:formatCode>#,##0_ ;\-#,##0\ </c:formatCode>
                <c:ptCount val="1"/>
                <c:pt idx="0">
                  <c:v>3</c:v>
                </c:pt>
              </c:numCache>
            </c:numRef>
          </c:bubbleSize>
          <c:bubble3D val="1"/>
        </c:ser>
        <c:ser>
          <c:idx val="2"/>
          <c:order val="2"/>
          <c:tx>
            <c:v>Manufacturing</c:v>
          </c:tx>
          <c:spPr>
            <a:solidFill>
              <a:srgbClr val="CC6600"/>
            </a:solidFill>
            <a:ln w="25400">
              <a:noFill/>
            </a:ln>
          </c:spPr>
          <c:invertIfNegative val="0"/>
          <c:xVal>
            <c:numRef>
              <c:f>'Rel. prod. cf employment'!$B$8</c:f>
              <c:numCache>
                <c:formatCode>#,##0.0_ ;\-#,##0.0\ </c:formatCode>
                <c:ptCount val="1"/>
                <c:pt idx="0">
                  <c:v>-4.2001475098016385</c:v>
                </c:pt>
              </c:numCache>
            </c:numRef>
          </c:xVal>
          <c:yVal>
            <c:numRef>
              <c:f>'Rel. prod. cf employment'!$C$8</c:f>
              <c:numCache>
                <c:formatCode>#,##0.0_ ;\-#,##0.0\ </c:formatCode>
                <c:ptCount val="1"/>
                <c:pt idx="0">
                  <c:v>0.88372997148541421</c:v>
                </c:pt>
              </c:numCache>
            </c:numRef>
          </c:yVal>
          <c:bubbleSize>
            <c:numRef>
              <c:f>'Rel. prod. cf employment'!$E$8</c:f>
              <c:numCache>
                <c:formatCode>#,##0_ ;\-#,##0\ </c:formatCode>
                <c:ptCount val="1"/>
                <c:pt idx="0">
                  <c:v>78</c:v>
                </c:pt>
              </c:numCache>
            </c:numRef>
          </c:bubbleSize>
          <c:bubble3D val="1"/>
        </c:ser>
        <c:ser>
          <c:idx val="3"/>
          <c:order val="3"/>
          <c:tx>
            <c:v>Construction</c:v>
          </c:tx>
          <c:spPr>
            <a:solidFill>
              <a:srgbClr val="FFFF00"/>
            </a:solidFill>
            <a:ln w="25400">
              <a:noFill/>
            </a:ln>
          </c:spPr>
          <c:invertIfNegative val="0"/>
          <c:xVal>
            <c:numRef>
              <c:f>'Rel. prod. cf employment'!$B$9</c:f>
              <c:numCache>
                <c:formatCode>#,##0.0_ ;\-#,##0.0\ </c:formatCode>
                <c:ptCount val="1"/>
                <c:pt idx="0">
                  <c:v>9.4600364892667201</c:v>
                </c:pt>
              </c:numCache>
            </c:numRef>
          </c:xVal>
          <c:yVal>
            <c:numRef>
              <c:f>'Rel. prod. cf employment'!$C$9</c:f>
              <c:numCache>
                <c:formatCode>#,##0.0_ ;\-#,##0.0\ </c:formatCode>
                <c:ptCount val="1"/>
                <c:pt idx="0">
                  <c:v>0.36472999962320146</c:v>
                </c:pt>
              </c:numCache>
            </c:numRef>
          </c:yVal>
          <c:bubbleSize>
            <c:numRef>
              <c:f>'Rel. prod. cf employment'!$E$9</c:f>
              <c:numCache>
                <c:formatCode>#,##0_ ;\-#,##0\ </c:formatCode>
                <c:ptCount val="1"/>
                <c:pt idx="0">
                  <c:v>109</c:v>
                </c:pt>
              </c:numCache>
            </c:numRef>
          </c:bubbleSize>
          <c:bubble3D val="1"/>
        </c:ser>
        <c:ser>
          <c:idx val="4"/>
          <c:order val="4"/>
          <c:tx>
            <c:v>Wholesale, retail, hotels</c:v>
          </c:tx>
          <c:spPr>
            <a:solidFill>
              <a:srgbClr val="6666FF"/>
            </a:solidFill>
            <a:ln w="25400">
              <a:noFill/>
            </a:ln>
          </c:spPr>
          <c:invertIfNegative val="0"/>
          <c:xVal>
            <c:numRef>
              <c:f>'Rel. prod. cf employment'!$B$10</c:f>
              <c:numCache>
                <c:formatCode>#,##0.0_ ;\-#,##0.0\ </c:formatCode>
                <c:ptCount val="1"/>
                <c:pt idx="0">
                  <c:v>-1.5769962346182211</c:v>
                </c:pt>
              </c:numCache>
            </c:numRef>
          </c:xVal>
          <c:yVal>
            <c:numRef>
              <c:f>'Rel. prod. cf employment'!$C$10</c:f>
              <c:numCache>
                <c:formatCode>#,##0.0_ ;\-#,##0.0\ </c:formatCode>
                <c:ptCount val="1"/>
                <c:pt idx="0">
                  <c:v>0.8865564161763877</c:v>
                </c:pt>
              </c:numCache>
            </c:numRef>
          </c:yVal>
          <c:bubbleSize>
            <c:numRef>
              <c:f>'Rel. prod. cf employment'!$E$10</c:f>
              <c:numCache>
                <c:formatCode>#,##0_ ;\-#,##0\ </c:formatCode>
                <c:ptCount val="1"/>
                <c:pt idx="0">
                  <c:v>97</c:v>
                </c:pt>
              </c:numCache>
            </c:numRef>
          </c:bubbleSize>
          <c:bubble3D val="1"/>
        </c:ser>
        <c:ser>
          <c:idx val="5"/>
          <c:order val="5"/>
          <c:tx>
            <c:v>Transport, storage, comms</c:v>
          </c:tx>
          <c:spPr>
            <a:solidFill>
              <a:srgbClr val="66FFFF"/>
            </a:solidFill>
            <a:ln w="25400">
              <a:noFill/>
            </a:ln>
          </c:spPr>
          <c:invertIfNegative val="0"/>
          <c:xVal>
            <c:numRef>
              <c:f>'Rel. prod. cf employment'!$B$11</c:f>
              <c:numCache>
                <c:formatCode>#,##0.0_ ;\-#,##0.0\ </c:formatCode>
                <c:ptCount val="1"/>
                <c:pt idx="0">
                  <c:v>0.21544194712938136</c:v>
                </c:pt>
              </c:numCache>
            </c:numRef>
          </c:xVal>
          <c:yVal>
            <c:numRef>
              <c:f>'Rel. prod. cf employment'!$C$11</c:f>
              <c:numCache>
                <c:formatCode>#,##0.0_ ;\-#,##0.0\ </c:formatCode>
                <c:ptCount val="1"/>
                <c:pt idx="0">
                  <c:v>1.8632435174541717</c:v>
                </c:pt>
              </c:numCache>
            </c:numRef>
          </c:yVal>
          <c:bubbleSize>
            <c:numRef>
              <c:f>'Rel. prod. cf employment'!$E$11</c:f>
              <c:numCache>
                <c:formatCode>#,##0_ ;\-#,##0\ </c:formatCode>
                <c:ptCount val="1"/>
                <c:pt idx="0">
                  <c:v>28</c:v>
                </c:pt>
              </c:numCache>
            </c:numRef>
          </c:bubbleSize>
          <c:bubble3D val="1"/>
        </c:ser>
        <c:ser>
          <c:idx val="0"/>
          <c:order val="6"/>
          <c:tx>
            <c:v>Agriculture</c:v>
          </c:tx>
          <c:spPr>
            <a:solidFill>
              <a:srgbClr val="13CF44"/>
            </a:solidFill>
          </c:spPr>
          <c:invertIfNegative val="0"/>
          <c:xVal>
            <c:numRef>
              <c:f>'Rel. prod. cf employment'!$B$6</c:f>
              <c:numCache>
                <c:formatCode>#,##0.0_ ;\-#,##0.0\ </c:formatCode>
                <c:ptCount val="1"/>
                <c:pt idx="0">
                  <c:v>-2.0534917122782499</c:v>
                </c:pt>
              </c:numCache>
            </c:numRef>
          </c:xVal>
          <c:yVal>
            <c:numRef>
              <c:f>'Rel. prod. cf employment'!$C$6</c:f>
              <c:numCache>
                <c:formatCode>#,##0.0_ ;\-#,##0.0\ </c:formatCode>
                <c:ptCount val="1"/>
                <c:pt idx="0">
                  <c:v>0.73046553811246961</c:v>
                </c:pt>
              </c:numCache>
            </c:numRef>
          </c:yVal>
          <c:bubbleSize>
            <c:numRef>
              <c:f>'Rel. prod. cf employment'!$E$6</c:f>
              <c:numCache>
                <c:formatCode>#,##0_ ;\-#,##0\ </c:formatCode>
                <c:ptCount val="1"/>
                <c:pt idx="0">
                  <c:v>75</c:v>
                </c:pt>
              </c:numCache>
            </c:numRef>
          </c:bubbleSize>
          <c:bubble3D val="1"/>
        </c:ser>
        <c:dLbls>
          <c:showLegendKey val="0"/>
          <c:showVal val="0"/>
          <c:showCatName val="0"/>
          <c:showSerName val="0"/>
          <c:showPercent val="0"/>
          <c:showBubbleSize val="0"/>
        </c:dLbls>
        <c:bubbleScale val="100"/>
        <c:showNegBubbles val="0"/>
        <c:axId val="95969280"/>
        <c:axId val="95971200"/>
      </c:bubbleChart>
      <c:valAx>
        <c:axId val="95969280"/>
        <c:scaling>
          <c:orientation val="minMax"/>
        </c:scaling>
        <c:delete val="0"/>
        <c:axPos val="b"/>
        <c:title>
          <c:tx>
            <c:rich>
              <a:bodyPr/>
              <a:lstStyle/>
              <a:p>
                <a:pPr>
                  <a:defRPr sz="800" b="0"/>
                </a:pPr>
                <a:r>
                  <a:rPr lang="en-US" sz="800" b="0"/>
                  <a:t>Percentage point change in employment</a:t>
                </a:r>
                <a:r>
                  <a:rPr lang="en-US" sz="800" b="0" baseline="0"/>
                  <a:t> share</a:t>
                </a:r>
                <a:r>
                  <a:rPr lang="en-US" sz="800" b="0"/>
                  <a:t>, 1991-2000</a:t>
                </a:r>
              </a:p>
            </c:rich>
          </c:tx>
          <c:overlay val="0"/>
        </c:title>
        <c:numFmt formatCode="#,##0.0_ ;\-#,##0.0\ " sourceLinked="1"/>
        <c:majorTickMark val="out"/>
        <c:minorTickMark val="none"/>
        <c:tickLblPos val="low"/>
        <c:crossAx val="95971200"/>
        <c:crosses val="autoZero"/>
        <c:crossBetween val="midCat"/>
      </c:valAx>
      <c:valAx>
        <c:axId val="95971200"/>
        <c:scaling>
          <c:orientation val="minMax"/>
          <c:min val="0"/>
        </c:scaling>
        <c:delete val="0"/>
        <c:axPos val="l"/>
        <c:majorGridlines/>
        <c:title>
          <c:tx>
            <c:rich>
              <a:bodyPr rot="-5400000" vert="horz"/>
              <a:lstStyle/>
              <a:p>
                <a:pPr>
                  <a:defRPr sz="800" b="0"/>
                </a:pPr>
                <a:r>
                  <a:rPr lang="en-US" sz="800" b="0"/>
                  <a:t>Relative productivity level, 2000</a:t>
                </a:r>
              </a:p>
            </c:rich>
          </c:tx>
          <c:overlay val="0"/>
        </c:title>
        <c:numFmt formatCode="#,##0.0_ ;\-#,##0.0\ " sourceLinked="1"/>
        <c:majorTickMark val="out"/>
        <c:minorTickMark val="none"/>
        <c:tickLblPos val="low"/>
        <c:crossAx val="95969280"/>
        <c:crosses val="autoZero"/>
        <c:crossBetween val="midCat"/>
      </c:valAx>
    </c:plotArea>
    <c:legend>
      <c:legendPos val="r"/>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v>Communications, computer, etc.</c:v>
          </c:tx>
          <c:spPr>
            <a:ln w="28575"/>
          </c:spPr>
          <c:marker>
            <c:symbol val="none"/>
          </c:marker>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Gaza'!$B$6:$B$14</c:f>
              <c:numCache>
                <c:formatCode>_-* #,##0_-;\-* #,##0_-;_-* "-"??_-;_-@_-</c:formatCode>
                <c:ptCount val="9"/>
                <c:pt idx="0">
                  <c:v>59.065874888162092</c:v>
                </c:pt>
                <c:pt idx="1">
                  <c:v>61.840085637499122</c:v>
                </c:pt>
                <c:pt idx="2">
                  <c:v>41.3173592812702</c:v>
                </c:pt>
                <c:pt idx="3">
                  <c:v>42.711489756107618</c:v>
                </c:pt>
                <c:pt idx="4">
                  <c:v>24.318272126572143</c:v>
                </c:pt>
                <c:pt idx="5">
                  <c:v>16.52465062763482</c:v>
                </c:pt>
                <c:pt idx="6">
                  <c:v>14.764791771094309</c:v>
                </c:pt>
                <c:pt idx="7">
                  <c:v>17.726188078229793</c:v>
                </c:pt>
                <c:pt idx="8">
                  <c:v>31.677412064689609</c:v>
                </c:pt>
              </c:numCache>
            </c:numRef>
          </c:val>
          <c:smooth val="0"/>
        </c:ser>
        <c:ser>
          <c:idx val="1"/>
          <c:order val="1"/>
          <c:tx>
            <c:v>Insurance &amp; financial</c:v>
          </c:tx>
          <c:spPr>
            <a:ln w="28575">
              <a:solidFill>
                <a:schemeClr val="accent5"/>
              </a:solidFill>
            </a:ln>
          </c:spPr>
          <c:marker>
            <c:symbol val="none"/>
          </c:marker>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Gaza'!$C$6:$C$14</c:f>
              <c:numCache>
                <c:formatCode>_-* #,##0_-;\-* #,##0_-;_-* "-"??_-;_-@_-</c:formatCode>
                <c:ptCount val="9"/>
                <c:pt idx="0">
                  <c:v>1.9573965146293306E-3</c:v>
                </c:pt>
                <c:pt idx="1">
                  <c:v>1.8383199470594715E-2</c:v>
                </c:pt>
                <c:pt idx="2">
                  <c:v>1.2133999393375602E-2</c:v>
                </c:pt>
                <c:pt idx="3">
                  <c:v>1.3840306275782836E-2</c:v>
                </c:pt>
                <c:pt idx="4">
                  <c:v>8.0793152693032291E-3</c:v>
                </c:pt>
                <c:pt idx="5">
                  <c:v>0.65681937807520951</c:v>
                </c:pt>
                <c:pt idx="6">
                  <c:v>4.4109436362940015E-3</c:v>
                </c:pt>
                <c:pt idx="7">
                  <c:v>7.3524725239530681E-3</c:v>
                </c:pt>
                <c:pt idx="8">
                  <c:v>1.2318882140638926E-2</c:v>
                </c:pt>
              </c:numCache>
            </c:numRef>
          </c:val>
          <c:smooth val="0"/>
        </c:ser>
        <c:ser>
          <c:idx val="2"/>
          <c:order val="2"/>
          <c:tx>
            <c:v>Transport</c:v>
          </c:tx>
          <c:spPr>
            <a:ln w="28575"/>
          </c:spPr>
          <c:marker>
            <c:symbol val="none"/>
          </c:marker>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Gaza'!$D$6:$D$14</c:f>
              <c:numCache>
                <c:formatCode>_-* #,##0_-;\-* #,##0_-;_-* "-"??_-;_-@_-</c:formatCode>
                <c:ptCount val="9"/>
                <c:pt idx="0">
                  <c:v>2.2143048071744302</c:v>
                </c:pt>
                <c:pt idx="1">
                  <c:v>4.0564636040139916</c:v>
                </c:pt>
                <c:pt idx="2">
                  <c:v>1.5264344735544499</c:v>
                </c:pt>
                <c:pt idx="3">
                  <c:v>3.271856224371029</c:v>
                </c:pt>
                <c:pt idx="4">
                  <c:v>5.1173673397175712</c:v>
                </c:pt>
                <c:pt idx="5">
                  <c:v>2.7138181776899777</c:v>
                </c:pt>
                <c:pt idx="6">
                  <c:v>2.1038489287208</c:v>
                </c:pt>
                <c:pt idx="7">
                  <c:v>1.8054902021935653</c:v>
                </c:pt>
                <c:pt idx="8">
                  <c:v>2.7586470081334715</c:v>
                </c:pt>
              </c:numCache>
            </c:numRef>
          </c:val>
          <c:smooth val="0"/>
        </c:ser>
        <c:ser>
          <c:idx val="3"/>
          <c:order val="3"/>
          <c:tx>
            <c:v>Travel</c:v>
          </c:tx>
          <c:spPr>
            <a:ln w="28575">
              <a:solidFill>
                <a:schemeClr val="bg1">
                  <a:lumMod val="50000"/>
                </a:schemeClr>
              </a:solidFill>
            </a:ln>
          </c:spPr>
          <c:marker>
            <c:symbol val="none"/>
          </c:marker>
          <c:cat>
            <c:strRef>
              <c:f>'W. Bank &amp; Gaza'!$A$6:$A$14</c:f>
              <c:strCache>
                <c:ptCount val="9"/>
                <c:pt idx="0">
                  <c:v>2005</c:v>
                </c:pt>
                <c:pt idx="1">
                  <c:v>2006</c:v>
                </c:pt>
                <c:pt idx="2">
                  <c:v>2007</c:v>
                </c:pt>
                <c:pt idx="3">
                  <c:v>2008</c:v>
                </c:pt>
                <c:pt idx="4">
                  <c:v>2009</c:v>
                </c:pt>
                <c:pt idx="5">
                  <c:v>2010</c:v>
                </c:pt>
                <c:pt idx="6">
                  <c:v>2011</c:v>
                </c:pt>
                <c:pt idx="7">
                  <c:v>2012</c:v>
                </c:pt>
                <c:pt idx="8">
                  <c:v>2013</c:v>
                </c:pt>
              </c:strCache>
            </c:strRef>
          </c:cat>
          <c:val>
            <c:numRef>
              <c:f>'W. Bank &amp; Gaza'!$E$6:$E$14</c:f>
              <c:numCache>
                <c:formatCode>_-* #,##0_-;\-* #,##0_-;_-* "-"??_-;_-@_-</c:formatCode>
                <c:ptCount val="9"/>
                <c:pt idx="0">
                  <c:v>38.717862907394618</c:v>
                </c:pt>
                <c:pt idx="1">
                  <c:v>34.085067556275611</c:v>
                </c:pt>
                <c:pt idx="2">
                  <c:v>57.144072242992294</c:v>
                </c:pt>
                <c:pt idx="3">
                  <c:v>54.00281370486455</c:v>
                </c:pt>
                <c:pt idx="4">
                  <c:v>70.556281223798777</c:v>
                </c:pt>
                <c:pt idx="5">
                  <c:v>80.104711811466828</c:v>
                </c:pt>
                <c:pt idx="6">
                  <c:v>83.126948351173041</c:v>
                </c:pt>
                <c:pt idx="7">
                  <c:v>80.460969243073833</c:v>
                </c:pt>
                <c:pt idx="8">
                  <c:v>65.551622046693979</c:v>
                </c:pt>
              </c:numCache>
            </c:numRef>
          </c:val>
          <c:smooth val="0"/>
        </c:ser>
        <c:dLbls>
          <c:showLegendKey val="0"/>
          <c:showVal val="0"/>
          <c:showCatName val="0"/>
          <c:showSerName val="0"/>
          <c:showPercent val="0"/>
          <c:showBubbleSize val="0"/>
        </c:dLbls>
        <c:marker val="1"/>
        <c:smooth val="0"/>
        <c:axId val="107456768"/>
        <c:axId val="107462656"/>
      </c:lineChart>
      <c:catAx>
        <c:axId val="107456768"/>
        <c:scaling>
          <c:orientation val="minMax"/>
        </c:scaling>
        <c:delete val="0"/>
        <c:axPos val="b"/>
        <c:majorTickMark val="out"/>
        <c:minorTickMark val="none"/>
        <c:tickLblPos val="nextTo"/>
        <c:crossAx val="107462656"/>
        <c:crosses val="autoZero"/>
        <c:auto val="1"/>
        <c:lblAlgn val="ctr"/>
        <c:lblOffset val="100"/>
        <c:noMultiLvlLbl val="0"/>
      </c:catAx>
      <c:valAx>
        <c:axId val="107462656"/>
        <c:scaling>
          <c:orientation val="minMax"/>
          <c:max val="100"/>
        </c:scaling>
        <c:delete val="0"/>
        <c:axPos val="l"/>
        <c:majorGridlines/>
        <c:title>
          <c:tx>
            <c:rich>
              <a:bodyPr rot="-5400000" vert="horz"/>
              <a:lstStyle/>
              <a:p>
                <a:pPr>
                  <a:defRPr b="0"/>
                </a:pPr>
                <a:r>
                  <a:rPr lang="en-US" b="0"/>
                  <a:t>Percent</a:t>
                </a:r>
              </a:p>
            </c:rich>
          </c:tx>
          <c:overlay val="0"/>
        </c:title>
        <c:numFmt formatCode="#,##0" sourceLinked="0"/>
        <c:majorTickMark val="out"/>
        <c:minorTickMark val="none"/>
        <c:tickLblPos val="nextTo"/>
        <c:crossAx val="10745676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2000-05</a:t>
            </a:r>
          </a:p>
        </c:rich>
      </c:tx>
      <c:overlay val="0"/>
    </c:title>
    <c:autoTitleDeleted val="0"/>
    <c:plotArea>
      <c:layout/>
      <c:bubbleChart>
        <c:varyColors val="0"/>
        <c:ser>
          <c:idx val="1"/>
          <c:order val="0"/>
          <c:tx>
            <c:v>Mining &amp; utilities</c:v>
          </c:tx>
          <c:spPr>
            <a:solidFill>
              <a:srgbClr val="000000"/>
            </a:solidFill>
            <a:ln w="25400">
              <a:noFill/>
            </a:ln>
          </c:spPr>
          <c:invertIfNegative val="0"/>
          <c:xVal>
            <c:numRef>
              <c:f>'Rel. prod. cf employment'!$B$24</c:f>
              <c:numCache>
                <c:formatCode>#,##0.0_ ;\-#,##0.0\ </c:formatCode>
                <c:ptCount val="1"/>
                <c:pt idx="0">
                  <c:v>-2.869573266685177E-2</c:v>
                </c:pt>
              </c:numCache>
            </c:numRef>
          </c:xVal>
          <c:yVal>
            <c:numRef>
              <c:f>'Rel. prod. cf employment'!$C$24</c:f>
              <c:numCache>
                <c:formatCode>#,##0.0_ ;\-#,##0.0\ </c:formatCode>
                <c:ptCount val="1"/>
                <c:pt idx="0">
                  <c:v>10.219890342793954</c:v>
                </c:pt>
              </c:numCache>
            </c:numRef>
          </c:yVal>
          <c:bubbleSize>
            <c:numRef>
              <c:f>'Rel. prod. cf employment'!$E$24</c:f>
              <c:numCache>
                <c:formatCode>#,##0_ ;\-#,##0\ </c:formatCode>
                <c:ptCount val="1"/>
                <c:pt idx="0">
                  <c:v>3</c:v>
                </c:pt>
              </c:numCache>
            </c:numRef>
          </c:bubbleSize>
          <c:bubble3D val="1"/>
        </c:ser>
        <c:ser>
          <c:idx val="2"/>
          <c:order val="1"/>
          <c:tx>
            <c:v>Manufacturing</c:v>
          </c:tx>
          <c:spPr>
            <a:solidFill>
              <a:srgbClr val="CC6600"/>
            </a:solidFill>
            <a:ln w="25400">
              <a:noFill/>
            </a:ln>
          </c:spPr>
          <c:invertIfNegative val="0"/>
          <c:xVal>
            <c:numRef>
              <c:f>'Rel. prod. cf employment'!$B$25</c:f>
              <c:numCache>
                <c:formatCode>#,##0.0_ ;\-#,##0.0\ </c:formatCode>
                <c:ptCount val="1"/>
                <c:pt idx="0">
                  <c:v>-1.2589095621586619</c:v>
                </c:pt>
              </c:numCache>
            </c:numRef>
          </c:xVal>
          <c:yVal>
            <c:numRef>
              <c:f>'Rel. prod. cf employment'!$C$25</c:f>
              <c:numCache>
                <c:formatCode>#,##0.0_ ;\-#,##0.0\ </c:formatCode>
                <c:ptCount val="1"/>
                <c:pt idx="0">
                  <c:v>1.0948534832288979</c:v>
                </c:pt>
              </c:numCache>
            </c:numRef>
          </c:yVal>
          <c:bubbleSize>
            <c:numRef>
              <c:f>'Rel. prod. cf employment'!$E$25</c:f>
              <c:numCache>
                <c:formatCode>#,##0_ ;\-#,##0\ </c:formatCode>
                <c:ptCount val="1"/>
                <c:pt idx="0">
                  <c:v>75</c:v>
                </c:pt>
              </c:numCache>
            </c:numRef>
          </c:bubbleSize>
          <c:bubble3D val="1"/>
        </c:ser>
        <c:ser>
          <c:idx val="3"/>
          <c:order val="2"/>
          <c:tx>
            <c:v>Construction</c:v>
          </c:tx>
          <c:spPr>
            <a:solidFill>
              <a:srgbClr val="FFFF00"/>
            </a:solidFill>
            <a:ln w="25400">
              <a:noFill/>
            </a:ln>
          </c:spPr>
          <c:invertIfNegative val="0"/>
          <c:xVal>
            <c:numRef>
              <c:f>'Rel. prod. cf employment'!$B$26</c:f>
              <c:numCache>
                <c:formatCode>#,##0.0_ ;\-#,##0.0\ </c:formatCode>
                <c:ptCount val="1"/>
                <c:pt idx="0">
                  <c:v>-6.8545774321947608</c:v>
                </c:pt>
              </c:numCache>
            </c:numRef>
          </c:xVal>
          <c:yVal>
            <c:numRef>
              <c:f>'Rel. prod. cf employment'!$C$26</c:f>
              <c:numCache>
                <c:formatCode>#,##0.0_ ;\-#,##0.0\ </c:formatCode>
                <c:ptCount val="1"/>
                <c:pt idx="0">
                  <c:v>0.51103943973461108</c:v>
                </c:pt>
              </c:numCache>
            </c:numRef>
          </c:yVal>
          <c:bubbleSize>
            <c:numRef>
              <c:f>'Rel. prod. cf employment'!$E$26</c:f>
              <c:numCache>
                <c:formatCode>#,##0_ ;\-#,##0\ </c:formatCode>
                <c:ptCount val="1"/>
                <c:pt idx="0">
                  <c:v>75</c:v>
                </c:pt>
              </c:numCache>
            </c:numRef>
          </c:bubbleSize>
          <c:bubble3D val="1"/>
        </c:ser>
        <c:ser>
          <c:idx val="4"/>
          <c:order val="3"/>
          <c:tx>
            <c:v>Wholesale, retail, hotels</c:v>
          </c:tx>
          <c:spPr>
            <a:solidFill>
              <a:srgbClr val="6666FF"/>
            </a:solidFill>
            <a:ln w="25400">
              <a:noFill/>
            </a:ln>
          </c:spPr>
          <c:invertIfNegative val="0"/>
          <c:xVal>
            <c:numRef>
              <c:f>'Rel. prod. cf employment'!$B$27</c:f>
              <c:numCache>
                <c:formatCode>#,##0.0_ ;\-#,##0.0\ </c:formatCode>
                <c:ptCount val="1"/>
                <c:pt idx="0">
                  <c:v>1.9781542164213661</c:v>
                </c:pt>
              </c:numCache>
            </c:numRef>
          </c:xVal>
          <c:yVal>
            <c:numRef>
              <c:f>'Rel. prod. cf employment'!$C$27</c:f>
              <c:numCache>
                <c:formatCode>#,##0.0_ ;\-#,##0.0\ </c:formatCode>
                <c:ptCount val="1"/>
                <c:pt idx="0">
                  <c:v>0.67774009641686228</c:v>
                </c:pt>
              </c:numCache>
            </c:numRef>
          </c:yVal>
          <c:bubbleSize>
            <c:numRef>
              <c:f>'Rel. prod. cf employment'!$E$27</c:f>
              <c:numCache>
                <c:formatCode>#,##0_ ;\-#,##0\ </c:formatCode>
                <c:ptCount val="1"/>
                <c:pt idx="0">
                  <c:v>114</c:v>
                </c:pt>
              </c:numCache>
            </c:numRef>
          </c:bubbleSize>
          <c:bubble3D val="1"/>
        </c:ser>
        <c:ser>
          <c:idx val="6"/>
          <c:order val="4"/>
          <c:tx>
            <c:v>Other</c:v>
          </c:tx>
          <c:spPr>
            <a:solidFill>
              <a:srgbClr val="FF00FF"/>
            </a:solidFill>
            <a:ln w="25400">
              <a:noFill/>
            </a:ln>
          </c:spPr>
          <c:invertIfNegative val="0"/>
          <c:xVal>
            <c:numRef>
              <c:f>'Rel. prod. cf employment'!$B$29</c:f>
              <c:numCache>
                <c:formatCode>#,##0.0_ ;\-#,##0.0\ </c:formatCode>
                <c:ptCount val="1"/>
                <c:pt idx="0">
                  <c:v>4.5851461013915902</c:v>
                </c:pt>
              </c:numCache>
            </c:numRef>
          </c:xVal>
          <c:yVal>
            <c:numRef>
              <c:f>'Rel. prod. cf employment'!$C$29</c:f>
              <c:numCache>
                <c:formatCode>#,##0.0_ ;\-#,##0.0\ </c:formatCode>
                <c:ptCount val="1"/>
                <c:pt idx="0">
                  <c:v>1.4302904994471064</c:v>
                </c:pt>
              </c:numCache>
            </c:numRef>
          </c:yVal>
          <c:bubbleSize>
            <c:numRef>
              <c:f>'Rel. prod. cf employment'!$E$29</c:f>
              <c:numCache>
                <c:formatCode>#,##0_ ;\-#,##0\ </c:formatCode>
                <c:ptCount val="1"/>
                <c:pt idx="0">
                  <c:v>200</c:v>
                </c:pt>
              </c:numCache>
            </c:numRef>
          </c:bubbleSize>
          <c:bubble3D val="1"/>
        </c:ser>
        <c:ser>
          <c:idx val="0"/>
          <c:order val="5"/>
          <c:tx>
            <c:v>Agriculture</c:v>
          </c:tx>
          <c:spPr>
            <a:solidFill>
              <a:srgbClr val="13CF44"/>
            </a:solidFill>
          </c:spPr>
          <c:invertIfNegative val="0"/>
          <c:xVal>
            <c:numRef>
              <c:f>'Rel. prod. cf employment'!$B$23</c:f>
              <c:numCache>
                <c:formatCode>#,##0.0_ ;\-#,##0.0\ </c:formatCode>
                <c:ptCount val="1"/>
                <c:pt idx="0">
                  <c:v>0.99200839273041552</c:v>
                </c:pt>
              </c:numCache>
            </c:numRef>
          </c:xVal>
          <c:yVal>
            <c:numRef>
              <c:f>'Rel. prod. cf employment'!$C$23</c:f>
              <c:numCache>
                <c:formatCode>#,##0.0_ ;\-#,##0.0\ </c:formatCode>
                <c:ptCount val="1"/>
                <c:pt idx="0">
                  <c:v>0.4016079985256174</c:v>
                </c:pt>
              </c:numCache>
            </c:numRef>
          </c:yVal>
          <c:bubbleSize>
            <c:numRef>
              <c:f>'Rel. prod. cf employment'!$E$23</c:f>
              <c:numCache>
                <c:formatCode>#,##0_ ;\-#,##0\ </c:formatCode>
                <c:ptCount val="1"/>
                <c:pt idx="0">
                  <c:v>85</c:v>
                </c:pt>
              </c:numCache>
            </c:numRef>
          </c:bubbleSize>
          <c:bubble3D val="1"/>
        </c:ser>
        <c:ser>
          <c:idx val="5"/>
          <c:order val="6"/>
          <c:tx>
            <c:v>Transport, storage, comms</c:v>
          </c:tx>
          <c:spPr>
            <a:solidFill>
              <a:srgbClr val="66FFFF"/>
            </a:solidFill>
            <a:ln w="25400">
              <a:noFill/>
            </a:ln>
          </c:spPr>
          <c:invertIfNegative val="0"/>
          <c:xVal>
            <c:numRef>
              <c:f>'Rel. prod. cf employment'!$B$28</c:f>
              <c:numCache>
                <c:formatCode>#,##0.0_ ;\-#,##0.0\ </c:formatCode>
                <c:ptCount val="1"/>
                <c:pt idx="0">
                  <c:v>0.58687401647690507</c:v>
                </c:pt>
              </c:numCache>
            </c:numRef>
          </c:xVal>
          <c:yVal>
            <c:numRef>
              <c:f>'Rel. prod. cf employment'!$C$28</c:f>
              <c:numCache>
                <c:formatCode>#,##0.0_ ;\-#,##0.0\ </c:formatCode>
                <c:ptCount val="1"/>
                <c:pt idx="0">
                  <c:v>1.1042790604161781</c:v>
                </c:pt>
              </c:numCache>
            </c:numRef>
          </c:yVal>
          <c:bubbleSize>
            <c:numRef>
              <c:f>'Rel. prod. cf employment'!$E$28</c:f>
              <c:numCache>
                <c:formatCode>#,##0_ ;\-#,##0\ </c:formatCode>
                <c:ptCount val="1"/>
                <c:pt idx="0">
                  <c:v>33</c:v>
                </c:pt>
              </c:numCache>
            </c:numRef>
          </c:bubbleSize>
          <c:bubble3D val="1"/>
        </c:ser>
        <c:dLbls>
          <c:showLegendKey val="0"/>
          <c:showVal val="0"/>
          <c:showCatName val="0"/>
          <c:showSerName val="0"/>
          <c:showPercent val="0"/>
          <c:showBubbleSize val="0"/>
        </c:dLbls>
        <c:bubbleScale val="100"/>
        <c:showNegBubbles val="0"/>
        <c:axId val="96001408"/>
        <c:axId val="89335296"/>
      </c:bubbleChart>
      <c:valAx>
        <c:axId val="96001408"/>
        <c:scaling>
          <c:orientation val="minMax"/>
        </c:scaling>
        <c:delete val="0"/>
        <c:axPos val="b"/>
        <c:title>
          <c:tx>
            <c:rich>
              <a:bodyPr/>
              <a:lstStyle/>
              <a:p>
                <a:pPr>
                  <a:defRPr sz="800" b="0"/>
                </a:pPr>
                <a:r>
                  <a:rPr lang="en-US" sz="800" b="0"/>
                  <a:t>Percentage point change in employment share, 2000-05</a:t>
                </a:r>
              </a:p>
            </c:rich>
          </c:tx>
          <c:overlay val="0"/>
        </c:title>
        <c:numFmt formatCode="#,##0.0_ ;\-#,##0.0\ " sourceLinked="1"/>
        <c:majorTickMark val="out"/>
        <c:minorTickMark val="none"/>
        <c:tickLblPos val="low"/>
        <c:crossAx val="89335296"/>
        <c:crosses val="autoZero"/>
        <c:crossBetween val="midCat"/>
      </c:valAx>
      <c:valAx>
        <c:axId val="89335296"/>
        <c:scaling>
          <c:orientation val="minMax"/>
          <c:min val="0"/>
        </c:scaling>
        <c:delete val="0"/>
        <c:axPos val="l"/>
        <c:majorGridlines/>
        <c:title>
          <c:tx>
            <c:rich>
              <a:bodyPr rot="-5400000" vert="horz"/>
              <a:lstStyle/>
              <a:p>
                <a:pPr>
                  <a:defRPr sz="800" b="0"/>
                </a:pPr>
                <a:r>
                  <a:rPr lang="en-US" sz="800" b="0"/>
                  <a:t>Relative productivity level, 2005</a:t>
                </a:r>
              </a:p>
            </c:rich>
          </c:tx>
          <c:overlay val="0"/>
        </c:title>
        <c:numFmt formatCode="#,##0.0_ ;\-#,##0.0\ " sourceLinked="1"/>
        <c:majorTickMark val="out"/>
        <c:minorTickMark val="none"/>
        <c:tickLblPos val="low"/>
        <c:crossAx val="96001408"/>
        <c:crosses val="autoZero"/>
        <c:crossBetween val="midCat"/>
      </c:valAx>
    </c:plotArea>
    <c:legend>
      <c:legendPos val="r"/>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2005-10</a:t>
            </a:r>
          </a:p>
        </c:rich>
      </c:tx>
      <c:overlay val="0"/>
    </c:title>
    <c:autoTitleDeleted val="0"/>
    <c:plotArea>
      <c:layout/>
      <c:bubbleChart>
        <c:varyColors val="0"/>
        <c:ser>
          <c:idx val="6"/>
          <c:order val="0"/>
          <c:tx>
            <c:v>Other</c:v>
          </c:tx>
          <c:spPr>
            <a:solidFill>
              <a:srgbClr val="FF00FF"/>
            </a:solidFill>
            <a:ln w="25400">
              <a:noFill/>
            </a:ln>
          </c:spPr>
          <c:invertIfNegative val="0"/>
          <c:xVal>
            <c:numRef>
              <c:f>'Rel. prod. cf employment'!$B$46</c:f>
              <c:numCache>
                <c:formatCode>#,##0.0_ ;\-#,##0.0\ </c:formatCode>
                <c:ptCount val="1"/>
                <c:pt idx="0">
                  <c:v>1.1305253687525152</c:v>
                </c:pt>
              </c:numCache>
            </c:numRef>
          </c:xVal>
          <c:yVal>
            <c:numRef>
              <c:f>'Rel. prod. cf employment'!$C$46</c:f>
              <c:numCache>
                <c:formatCode>#,##0.0_ ;\-#,##0.0\ </c:formatCode>
                <c:ptCount val="1"/>
                <c:pt idx="0">
                  <c:v>1.0353010035209462</c:v>
                </c:pt>
              </c:numCache>
            </c:numRef>
          </c:yVal>
          <c:bubbleSize>
            <c:numRef>
              <c:f>'Rel. prod. cf employment'!$E$46</c:f>
              <c:numCache>
                <c:formatCode>#,##0_ ;\-#,##0\ </c:formatCode>
                <c:ptCount val="1"/>
                <c:pt idx="0">
                  <c:v>255</c:v>
                </c:pt>
              </c:numCache>
            </c:numRef>
          </c:bubbleSize>
          <c:bubble3D val="1"/>
        </c:ser>
        <c:ser>
          <c:idx val="0"/>
          <c:order val="1"/>
          <c:tx>
            <c:v>Agriculture</c:v>
          </c:tx>
          <c:spPr>
            <a:solidFill>
              <a:srgbClr val="13CF44"/>
            </a:solidFill>
          </c:spPr>
          <c:invertIfNegative val="0"/>
          <c:xVal>
            <c:numRef>
              <c:f>'Rel. prod. cf employment'!$B$40</c:f>
              <c:numCache>
                <c:formatCode>#,##0.0_ ;\-#,##0.0\ </c:formatCode>
                <c:ptCount val="1"/>
                <c:pt idx="0">
                  <c:v>-2.6185571891943091</c:v>
                </c:pt>
              </c:numCache>
            </c:numRef>
          </c:xVal>
          <c:yVal>
            <c:numRef>
              <c:f>'Rel. prod. cf employment'!$C$40</c:f>
              <c:numCache>
                <c:formatCode>#,##0.0_ ;\-#,##0.0\ </c:formatCode>
                <c:ptCount val="1"/>
                <c:pt idx="0">
                  <c:v>0.55511135363917508</c:v>
                </c:pt>
              </c:numCache>
            </c:numRef>
          </c:yVal>
          <c:bubbleSize>
            <c:numRef>
              <c:f>'Rel. prod. cf employment'!$E$40</c:f>
              <c:numCache>
                <c:formatCode>#,##0_ ;\-#,##0\ </c:formatCode>
                <c:ptCount val="1"/>
                <c:pt idx="0">
                  <c:v>86</c:v>
                </c:pt>
              </c:numCache>
            </c:numRef>
          </c:bubbleSize>
          <c:bubble3D val="1"/>
        </c:ser>
        <c:ser>
          <c:idx val="1"/>
          <c:order val="2"/>
          <c:tx>
            <c:v>Mining &amp; utilities</c:v>
          </c:tx>
          <c:spPr>
            <a:solidFill>
              <a:srgbClr val="000000"/>
            </a:solidFill>
            <a:ln w="25400">
              <a:noFill/>
            </a:ln>
          </c:spPr>
          <c:invertIfNegative val="0"/>
          <c:xVal>
            <c:numRef>
              <c:f>'Rel. prod. cf employment'!$B$41</c:f>
              <c:numCache>
                <c:formatCode>#,##0.0_ ;\-#,##0.0\ </c:formatCode>
                <c:ptCount val="1"/>
                <c:pt idx="0">
                  <c:v>0.17970026280275586</c:v>
                </c:pt>
              </c:numCache>
            </c:numRef>
          </c:xVal>
          <c:yVal>
            <c:numRef>
              <c:f>'Rel. prod. cf employment'!$C$41</c:f>
              <c:numCache>
                <c:formatCode>#,##0.0_ ;\-#,##0.0\ </c:formatCode>
                <c:ptCount val="1"/>
                <c:pt idx="0">
                  <c:v>4.6410685442815121</c:v>
                </c:pt>
              </c:numCache>
            </c:numRef>
          </c:yVal>
          <c:bubbleSize>
            <c:numRef>
              <c:f>'Rel. prod. cf employment'!$E$41</c:f>
              <c:numCache>
                <c:formatCode>#,##0_ ;\-#,##0\ </c:formatCode>
                <c:ptCount val="1"/>
                <c:pt idx="0">
                  <c:v>5</c:v>
                </c:pt>
              </c:numCache>
            </c:numRef>
          </c:bubbleSize>
          <c:bubble3D val="1"/>
        </c:ser>
        <c:ser>
          <c:idx val="2"/>
          <c:order val="3"/>
          <c:tx>
            <c:v>Manufacturing</c:v>
          </c:tx>
          <c:spPr>
            <a:solidFill>
              <a:srgbClr val="CC6600"/>
            </a:solidFill>
            <a:ln w="25400">
              <a:noFill/>
            </a:ln>
          </c:spPr>
          <c:invertIfNegative val="0"/>
          <c:xVal>
            <c:numRef>
              <c:f>'Rel. prod. cf employment'!$B$42</c:f>
              <c:numCache>
                <c:formatCode>#,##0.0_ ;\-#,##0.0\ </c:formatCode>
                <c:ptCount val="1"/>
                <c:pt idx="0">
                  <c:v>-0.21663470416932995</c:v>
                </c:pt>
              </c:numCache>
            </c:numRef>
          </c:xVal>
          <c:yVal>
            <c:numRef>
              <c:f>'Rel. prod. cf employment'!$C$42</c:f>
              <c:numCache>
                <c:formatCode>#,##0.0_ ;\-#,##0.0\ </c:formatCode>
                <c:ptCount val="1"/>
                <c:pt idx="0">
                  <c:v>1.1585661800122975</c:v>
                </c:pt>
              </c:numCache>
            </c:numRef>
          </c:yVal>
          <c:bubbleSize>
            <c:numRef>
              <c:f>'Rel. prod. cf employment'!$E$42</c:f>
              <c:numCache>
                <c:formatCode>#,##0_ ;\-#,##0\ </c:formatCode>
                <c:ptCount val="1"/>
                <c:pt idx="0">
                  <c:v>91</c:v>
                </c:pt>
              </c:numCache>
            </c:numRef>
          </c:bubbleSize>
          <c:bubble3D val="1"/>
        </c:ser>
        <c:ser>
          <c:idx val="3"/>
          <c:order val="4"/>
          <c:tx>
            <c:v>Construction</c:v>
          </c:tx>
          <c:spPr>
            <a:solidFill>
              <a:srgbClr val="FFFF00"/>
            </a:solidFill>
            <a:ln w="25400">
              <a:noFill/>
            </a:ln>
          </c:spPr>
          <c:invertIfNegative val="0"/>
          <c:xVal>
            <c:numRef>
              <c:f>'Rel. prod. cf employment'!$B$43</c:f>
              <c:numCache>
                <c:formatCode>#,##0.0_ ;\-#,##0.0\ </c:formatCode>
                <c:ptCount val="1"/>
                <c:pt idx="0">
                  <c:v>0.47588607145394057</c:v>
                </c:pt>
              </c:numCache>
            </c:numRef>
          </c:xVal>
          <c:yVal>
            <c:numRef>
              <c:f>'Rel. prod. cf employment'!$C$43</c:f>
              <c:numCache>
                <c:formatCode>#,##0.0_ ;\-#,##0.0\ </c:formatCode>
                <c:ptCount val="1"/>
                <c:pt idx="0">
                  <c:v>0.70897724546305074</c:v>
                </c:pt>
              </c:numCache>
            </c:numRef>
          </c:yVal>
          <c:bubbleSize>
            <c:numRef>
              <c:f>'Rel. prod. cf employment'!$E$43</c:f>
              <c:numCache>
                <c:formatCode>#,##0_ ;\-#,##0\ </c:formatCode>
                <c:ptCount val="1"/>
                <c:pt idx="0">
                  <c:v>96</c:v>
                </c:pt>
              </c:numCache>
            </c:numRef>
          </c:bubbleSize>
          <c:bubble3D val="1"/>
        </c:ser>
        <c:ser>
          <c:idx val="4"/>
          <c:order val="5"/>
          <c:tx>
            <c:v>Wholesale, retail, hotels</c:v>
          </c:tx>
          <c:spPr>
            <a:solidFill>
              <a:srgbClr val="6666FF"/>
            </a:solidFill>
            <a:ln w="25400">
              <a:noFill/>
            </a:ln>
          </c:spPr>
          <c:invertIfNegative val="0"/>
          <c:xVal>
            <c:numRef>
              <c:f>'Rel. prod. cf employment'!$B$44</c:f>
              <c:numCache>
                <c:formatCode>#,##0.0_ ;\-#,##0.0\ </c:formatCode>
                <c:ptCount val="1"/>
                <c:pt idx="0">
                  <c:v>0.59592300589530467</c:v>
                </c:pt>
              </c:numCache>
            </c:numRef>
          </c:xVal>
          <c:yVal>
            <c:numRef>
              <c:f>'Rel. prod. cf employment'!$C$44</c:f>
              <c:numCache>
                <c:formatCode>#,##0.0_ ;\-#,##0.0\ </c:formatCode>
                <c:ptCount val="1"/>
                <c:pt idx="0">
                  <c:v>1.0122007550105032</c:v>
                </c:pt>
              </c:numCache>
            </c:numRef>
          </c:yVal>
          <c:bubbleSize>
            <c:numRef>
              <c:f>'Rel. prod. cf employment'!$E$44</c:f>
              <c:numCache>
                <c:formatCode>#,##0_ ;\-#,##0\ </c:formatCode>
                <c:ptCount val="1"/>
                <c:pt idx="0">
                  <c:v>145</c:v>
                </c:pt>
              </c:numCache>
            </c:numRef>
          </c:bubbleSize>
          <c:bubble3D val="1"/>
        </c:ser>
        <c:ser>
          <c:idx val="5"/>
          <c:order val="6"/>
          <c:tx>
            <c:v>Transport, storage, comms</c:v>
          </c:tx>
          <c:spPr>
            <a:solidFill>
              <a:srgbClr val="66FFFF"/>
            </a:solidFill>
            <a:ln w="25400">
              <a:noFill/>
            </a:ln>
          </c:spPr>
          <c:invertIfNegative val="0"/>
          <c:xVal>
            <c:numRef>
              <c:f>'Rel. prod. cf employment'!$B$45</c:f>
              <c:numCache>
                <c:formatCode>#,##0.0_ ;\-#,##0.0\ </c:formatCode>
                <c:ptCount val="1"/>
                <c:pt idx="0">
                  <c:v>0.45315718445912356</c:v>
                </c:pt>
              </c:numCache>
            </c:numRef>
          </c:xVal>
          <c:yVal>
            <c:numRef>
              <c:f>'Rel. prod. cf employment'!$C$45</c:f>
              <c:numCache>
                <c:formatCode>#,##0.0_ ;\-#,##0.0\ </c:formatCode>
                <c:ptCount val="1"/>
                <c:pt idx="0">
                  <c:v>1.5180199442201641</c:v>
                </c:pt>
              </c:numCache>
            </c:numRef>
          </c:yVal>
          <c:bubbleSize>
            <c:numRef>
              <c:f>'Rel. prod. cf employment'!$E$45</c:f>
              <c:numCache>
                <c:formatCode>#,##0_ ;\-#,##0\ </c:formatCode>
                <c:ptCount val="1"/>
                <c:pt idx="0">
                  <c:v>44</c:v>
                </c:pt>
              </c:numCache>
            </c:numRef>
          </c:bubbleSize>
          <c:bubble3D val="1"/>
        </c:ser>
        <c:dLbls>
          <c:showLegendKey val="0"/>
          <c:showVal val="0"/>
          <c:showCatName val="0"/>
          <c:showSerName val="0"/>
          <c:showPercent val="0"/>
          <c:showBubbleSize val="0"/>
        </c:dLbls>
        <c:bubbleScale val="100"/>
        <c:showNegBubbles val="0"/>
        <c:axId val="89385984"/>
        <c:axId val="101131392"/>
      </c:bubbleChart>
      <c:valAx>
        <c:axId val="89385984"/>
        <c:scaling>
          <c:orientation val="minMax"/>
        </c:scaling>
        <c:delete val="0"/>
        <c:axPos val="b"/>
        <c:title>
          <c:tx>
            <c:rich>
              <a:bodyPr/>
              <a:lstStyle/>
              <a:p>
                <a:pPr>
                  <a:defRPr sz="800" b="0"/>
                </a:pPr>
                <a:r>
                  <a:rPr lang="en-US" sz="800" b="0"/>
                  <a:t>Percentage point change in employment share, 2005-10</a:t>
                </a:r>
              </a:p>
            </c:rich>
          </c:tx>
          <c:overlay val="0"/>
        </c:title>
        <c:numFmt formatCode="#,##0.0_ ;\-#,##0.0\ " sourceLinked="1"/>
        <c:majorTickMark val="out"/>
        <c:minorTickMark val="none"/>
        <c:tickLblPos val="low"/>
        <c:crossAx val="101131392"/>
        <c:crosses val="autoZero"/>
        <c:crossBetween val="midCat"/>
      </c:valAx>
      <c:valAx>
        <c:axId val="101131392"/>
        <c:scaling>
          <c:orientation val="minMax"/>
          <c:min val="0"/>
        </c:scaling>
        <c:delete val="0"/>
        <c:axPos val="l"/>
        <c:majorGridlines/>
        <c:title>
          <c:tx>
            <c:rich>
              <a:bodyPr rot="-5400000" vert="horz"/>
              <a:lstStyle/>
              <a:p>
                <a:pPr>
                  <a:defRPr sz="800" b="0"/>
                </a:pPr>
                <a:r>
                  <a:rPr lang="en-US" sz="800" b="0"/>
                  <a:t>Relative productivity level, 2010</a:t>
                </a:r>
              </a:p>
            </c:rich>
          </c:tx>
          <c:overlay val="0"/>
        </c:title>
        <c:numFmt formatCode="#,##0.0_ ;\-#,##0.0\ " sourceLinked="1"/>
        <c:majorTickMark val="out"/>
        <c:minorTickMark val="none"/>
        <c:tickLblPos val="low"/>
        <c:crossAx val="89385984"/>
        <c:crosses val="autoZero"/>
        <c:crossBetween val="midCat"/>
      </c:valAx>
    </c:plotArea>
    <c:legend>
      <c:legendPos val="r"/>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2010-13</a:t>
            </a:r>
          </a:p>
        </c:rich>
      </c:tx>
      <c:overlay val="0"/>
    </c:title>
    <c:autoTitleDeleted val="0"/>
    <c:plotArea>
      <c:layout/>
      <c:bubbleChart>
        <c:varyColors val="0"/>
        <c:ser>
          <c:idx val="6"/>
          <c:order val="0"/>
          <c:tx>
            <c:v>Other</c:v>
          </c:tx>
          <c:spPr>
            <a:solidFill>
              <a:srgbClr val="FF00FF"/>
            </a:solidFill>
            <a:ln w="25400">
              <a:noFill/>
            </a:ln>
          </c:spPr>
          <c:invertIfNegative val="0"/>
          <c:xVal>
            <c:numRef>
              <c:f>'Rel. prod. cf employment'!$B$63</c:f>
              <c:numCache>
                <c:formatCode>#,##0.0_ ;\-#,##0.0\ </c:formatCode>
                <c:ptCount val="1"/>
                <c:pt idx="0">
                  <c:v>-0.19004058493847253</c:v>
                </c:pt>
              </c:numCache>
            </c:numRef>
          </c:xVal>
          <c:yVal>
            <c:numRef>
              <c:f>'Rel. prod. cf employment'!$C$63</c:f>
              <c:numCache>
                <c:formatCode>#,##0.0_ ;\-#,##0.0\ </c:formatCode>
                <c:ptCount val="1"/>
                <c:pt idx="0">
                  <c:v>1.0456515266199127</c:v>
                </c:pt>
              </c:numCache>
            </c:numRef>
          </c:yVal>
          <c:bubbleSize>
            <c:numRef>
              <c:f>'Rel. prod. cf employment'!$E$63</c:f>
              <c:numCache>
                <c:formatCode>#,##0_ ;\-#,##0\ </c:formatCode>
                <c:ptCount val="1"/>
                <c:pt idx="0">
                  <c:v>287</c:v>
                </c:pt>
              </c:numCache>
            </c:numRef>
          </c:bubbleSize>
          <c:bubble3D val="1"/>
        </c:ser>
        <c:ser>
          <c:idx val="0"/>
          <c:order val="1"/>
          <c:tx>
            <c:v>Agriculture</c:v>
          </c:tx>
          <c:spPr>
            <a:solidFill>
              <a:srgbClr val="13CF44"/>
            </a:solidFill>
          </c:spPr>
          <c:invertIfNegative val="0"/>
          <c:xVal>
            <c:numRef>
              <c:f>'Rel. prod. cf employment'!$B$57</c:f>
              <c:numCache>
                <c:formatCode>#,##0.0_ ;\-#,##0.0\ </c:formatCode>
                <c:ptCount val="1"/>
                <c:pt idx="0">
                  <c:v>-1.3850415512465393</c:v>
                </c:pt>
              </c:numCache>
            </c:numRef>
          </c:xVal>
          <c:yVal>
            <c:numRef>
              <c:f>'Rel. prod. cf employment'!$C$57</c:f>
              <c:numCache>
                <c:formatCode>#,##0.0_ ;\-#,##0.0\ </c:formatCode>
                <c:ptCount val="1"/>
                <c:pt idx="0">
                  <c:v>0.46242660091733589</c:v>
                </c:pt>
              </c:numCache>
            </c:numRef>
          </c:yVal>
          <c:bubbleSize>
            <c:numRef>
              <c:f>'Rel. prod. cf employment'!$E$57</c:f>
              <c:numCache>
                <c:formatCode>#,##0_ ;\-#,##0\ </c:formatCode>
                <c:ptCount val="1"/>
                <c:pt idx="0">
                  <c:v>86</c:v>
                </c:pt>
              </c:numCache>
            </c:numRef>
          </c:bubbleSize>
          <c:bubble3D val="1"/>
        </c:ser>
        <c:ser>
          <c:idx val="1"/>
          <c:order val="2"/>
          <c:tx>
            <c:v>Mining &amp; utilities</c:v>
          </c:tx>
          <c:spPr>
            <a:solidFill>
              <a:srgbClr val="000000"/>
            </a:solidFill>
            <a:ln w="25400">
              <a:noFill/>
            </a:ln>
          </c:spPr>
          <c:invertIfNegative val="0"/>
          <c:xVal>
            <c:numRef>
              <c:f>'Rel. prod. cf employment'!$B$58</c:f>
              <c:numCache>
                <c:formatCode>#,##0.0_ ;\-#,##0.0\ </c:formatCode>
                <c:ptCount val="1"/>
                <c:pt idx="0">
                  <c:v>0.40907041164723335</c:v>
                </c:pt>
              </c:numCache>
            </c:numRef>
          </c:xVal>
          <c:yVal>
            <c:numRef>
              <c:f>'Rel. prod. cf employment'!$C$58</c:f>
              <c:numCache>
                <c:formatCode>#,##0.0_ ;\-#,##0.0\ </c:formatCode>
                <c:ptCount val="1"/>
                <c:pt idx="0">
                  <c:v>2.7192228930061018</c:v>
                </c:pt>
              </c:numCache>
            </c:numRef>
          </c:yVal>
          <c:bubbleSize>
            <c:numRef>
              <c:f>'Rel. prod. cf employment'!$E$58</c:f>
              <c:numCache>
                <c:formatCode>#,##0_ ;\-#,##0\ </c:formatCode>
                <c:ptCount val="1"/>
                <c:pt idx="0">
                  <c:v>9</c:v>
                </c:pt>
              </c:numCache>
            </c:numRef>
          </c:bubbleSize>
          <c:bubble3D val="1"/>
        </c:ser>
        <c:ser>
          <c:idx val="2"/>
          <c:order val="3"/>
          <c:tx>
            <c:v>Manufacturing</c:v>
          </c:tx>
          <c:spPr>
            <a:solidFill>
              <a:srgbClr val="CC6600"/>
            </a:solidFill>
            <a:ln w="25400">
              <a:noFill/>
            </a:ln>
          </c:spPr>
          <c:invertIfNegative val="0"/>
          <c:xVal>
            <c:numRef>
              <c:f>'Rel. prod. cf employment'!$B$59</c:f>
              <c:numCache>
                <c:formatCode>#,##0.0_ ;\-#,##0.0\ </c:formatCode>
                <c:ptCount val="1"/>
                <c:pt idx="0">
                  <c:v>-0.97597113959930404</c:v>
                </c:pt>
              </c:numCache>
            </c:numRef>
          </c:xVal>
          <c:yVal>
            <c:numRef>
              <c:f>'Rel. prod. cf employment'!$C$59</c:f>
              <c:numCache>
                <c:formatCode>#,##0.0_ ;\-#,##0.0\ </c:formatCode>
                <c:ptCount val="1"/>
                <c:pt idx="0">
                  <c:v>1.233471877791138</c:v>
                </c:pt>
              </c:numCache>
            </c:numRef>
          </c:yVal>
          <c:bubbleSize>
            <c:numRef>
              <c:f>'Rel. prod. cf employment'!$E$59</c:f>
              <c:numCache>
                <c:formatCode>#,##0_ ;\-#,##0\ </c:formatCode>
                <c:ptCount val="1"/>
                <c:pt idx="0">
                  <c:v>95</c:v>
                </c:pt>
              </c:numCache>
            </c:numRef>
          </c:bubbleSize>
          <c:bubble3D val="1"/>
        </c:ser>
        <c:ser>
          <c:idx val="3"/>
          <c:order val="4"/>
          <c:tx>
            <c:v>Construction</c:v>
          </c:tx>
          <c:spPr>
            <a:solidFill>
              <a:srgbClr val="FFFF00"/>
            </a:solidFill>
            <a:ln w="25400">
              <a:noFill/>
            </a:ln>
          </c:spPr>
          <c:invertIfNegative val="0"/>
          <c:xVal>
            <c:numRef>
              <c:f>'Rel. prod. cf employment'!$B$60</c:f>
              <c:numCache>
                <c:formatCode>#,##0.0_ ;\-#,##0.0\ </c:formatCode>
                <c:ptCount val="1"/>
                <c:pt idx="0">
                  <c:v>2.2482767506281007</c:v>
                </c:pt>
              </c:numCache>
            </c:numRef>
          </c:xVal>
          <c:yVal>
            <c:numRef>
              <c:f>'Rel. prod. cf employment'!$C$60</c:f>
              <c:numCache>
                <c:formatCode>#,##0.0_ ;\-#,##0.0\ </c:formatCode>
                <c:ptCount val="1"/>
                <c:pt idx="0">
                  <c:v>0.72472077614358388</c:v>
                </c:pt>
              </c:numCache>
            </c:numRef>
          </c:yVal>
          <c:bubbleSize>
            <c:numRef>
              <c:f>'Rel. prod. cf employment'!$E$60</c:f>
              <c:numCache>
                <c:formatCode>#,##0_ ;\-#,##0\ </c:formatCode>
                <c:ptCount val="1"/>
                <c:pt idx="0">
                  <c:v>127</c:v>
                </c:pt>
              </c:numCache>
            </c:numRef>
          </c:bubbleSize>
          <c:bubble3D val="1"/>
        </c:ser>
        <c:ser>
          <c:idx val="4"/>
          <c:order val="5"/>
          <c:tx>
            <c:v>Wholesale, retail, hotels</c:v>
          </c:tx>
          <c:spPr>
            <a:solidFill>
              <a:srgbClr val="6666FF"/>
            </a:solidFill>
            <a:ln w="25400">
              <a:noFill/>
            </a:ln>
          </c:spPr>
          <c:invertIfNegative val="0"/>
          <c:xVal>
            <c:numRef>
              <c:f>'Rel. prod. cf employment'!$B$61</c:f>
              <c:numCache>
                <c:formatCode>#,##0.0_ ;\-#,##0.0\ </c:formatCode>
                <c:ptCount val="1"/>
                <c:pt idx="0">
                  <c:v>-0.49925916382142788</c:v>
                </c:pt>
              </c:numCache>
            </c:numRef>
          </c:xVal>
          <c:yVal>
            <c:numRef>
              <c:f>'Rel. prod. cf employment'!$C$61</c:f>
              <c:numCache>
                <c:formatCode>#,##0.0_ ;\-#,##0.0\ </c:formatCode>
                <c:ptCount val="1"/>
                <c:pt idx="0">
                  <c:v>1.1052072157224133</c:v>
                </c:pt>
              </c:numCache>
            </c:numRef>
          </c:yVal>
          <c:bubbleSize>
            <c:numRef>
              <c:f>'Rel. prod. cf employment'!$E$61</c:f>
              <c:numCache>
                <c:formatCode>#,##0_ ;\-#,##0\ </c:formatCode>
                <c:ptCount val="1"/>
                <c:pt idx="0">
                  <c:v>160</c:v>
                </c:pt>
              </c:numCache>
            </c:numRef>
          </c:bubbleSize>
          <c:bubble3D val="1"/>
        </c:ser>
        <c:ser>
          <c:idx val="5"/>
          <c:order val="6"/>
          <c:tx>
            <c:v>Transport, storage, comms</c:v>
          </c:tx>
          <c:spPr>
            <a:solidFill>
              <a:srgbClr val="66FFFF"/>
            </a:solidFill>
            <a:ln w="25400">
              <a:noFill/>
            </a:ln>
          </c:spPr>
          <c:invertIfNegative val="0"/>
          <c:xVal>
            <c:numRef>
              <c:f>'Rel. prod. cf employment'!$B$62</c:f>
              <c:numCache>
                <c:formatCode>#,##0.0_ ;\-#,##0.0\ </c:formatCode>
                <c:ptCount val="1"/>
                <c:pt idx="0">
                  <c:v>0.39296527733041309</c:v>
                </c:pt>
              </c:numCache>
            </c:numRef>
          </c:xVal>
          <c:yVal>
            <c:numRef>
              <c:f>'Rel. prod. cf employment'!$C$62</c:f>
              <c:numCache>
                <c:formatCode>#,##0.0_ ;\-#,##0.0\ </c:formatCode>
                <c:ptCount val="1"/>
                <c:pt idx="0">
                  <c:v>1.2566754088332048</c:v>
                </c:pt>
              </c:numCache>
            </c:numRef>
          </c:yVal>
          <c:bubbleSize>
            <c:numRef>
              <c:f>'Rel. prod. cf employment'!$E$62</c:f>
              <c:numCache>
                <c:formatCode>#,##0_ ;\-#,##0\ </c:formatCode>
                <c:ptCount val="1"/>
                <c:pt idx="0">
                  <c:v>53</c:v>
                </c:pt>
              </c:numCache>
            </c:numRef>
          </c:bubbleSize>
          <c:bubble3D val="1"/>
        </c:ser>
        <c:dLbls>
          <c:showLegendKey val="0"/>
          <c:showVal val="0"/>
          <c:showCatName val="0"/>
          <c:showSerName val="0"/>
          <c:showPercent val="0"/>
          <c:showBubbleSize val="0"/>
        </c:dLbls>
        <c:bubbleScale val="100"/>
        <c:showNegBubbles val="0"/>
        <c:axId val="101177984"/>
        <c:axId val="102241024"/>
      </c:bubbleChart>
      <c:valAx>
        <c:axId val="101177984"/>
        <c:scaling>
          <c:orientation val="minMax"/>
        </c:scaling>
        <c:delete val="0"/>
        <c:axPos val="b"/>
        <c:title>
          <c:tx>
            <c:rich>
              <a:bodyPr/>
              <a:lstStyle/>
              <a:p>
                <a:pPr>
                  <a:defRPr sz="800" b="0"/>
                </a:pPr>
                <a:r>
                  <a:rPr lang="en-US" sz="800" b="0"/>
                  <a:t>Percentage point change in employment share, 2010-13</a:t>
                </a:r>
              </a:p>
            </c:rich>
          </c:tx>
          <c:overlay val="0"/>
        </c:title>
        <c:numFmt formatCode="#,##0.0_ ;\-#,##0.0\ " sourceLinked="1"/>
        <c:majorTickMark val="out"/>
        <c:minorTickMark val="none"/>
        <c:tickLblPos val="low"/>
        <c:crossAx val="102241024"/>
        <c:crosses val="autoZero"/>
        <c:crossBetween val="midCat"/>
      </c:valAx>
      <c:valAx>
        <c:axId val="102241024"/>
        <c:scaling>
          <c:orientation val="minMax"/>
          <c:min val="0"/>
        </c:scaling>
        <c:delete val="0"/>
        <c:axPos val="l"/>
        <c:majorGridlines/>
        <c:title>
          <c:tx>
            <c:rich>
              <a:bodyPr rot="-5400000" vert="horz"/>
              <a:lstStyle/>
              <a:p>
                <a:pPr>
                  <a:defRPr sz="800" b="0"/>
                </a:pPr>
                <a:r>
                  <a:rPr lang="en-US" sz="800" b="0"/>
                  <a:t>Relative productivity level, 2013</a:t>
                </a:r>
              </a:p>
            </c:rich>
          </c:tx>
          <c:overlay val="0"/>
        </c:title>
        <c:numFmt formatCode="#,##0.0_ ;\-#,##0.0\ " sourceLinked="1"/>
        <c:majorTickMark val="out"/>
        <c:minorTickMark val="none"/>
        <c:tickLblPos val="low"/>
        <c:crossAx val="101177984"/>
        <c:crosses val="autoZero"/>
        <c:crossBetween val="midCat"/>
      </c:valAx>
    </c:plotArea>
    <c:legend>
      <c:legendPos val="r"/>
      <c:overlay val="0"/>
    </c:legend>
    <c:plotVisOnly val="1"/>
    <c:dispBlanksAs val="gap"/>
    <c:showDLblsOverMax val="0"/>
  </c:chart>
  <c:spPr>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'Decomposition of prod change'!$F$3</c:f>
              <c:strCache>
                <c:ptCount val="1"/>
                <c:pt idx="0">
                  <c:v>Within sector</c:v>
                </c:pt>
              </c:strCache>
            </c:strRef>
          </c:tx>
          <c:invertIfNegative val="0"/>
          <c:cat>
            <c:strRef>
              <c:f>'Decomposition of prod change'!$E$4:$E$6</c:f>
              <c:strCache>
                <c:ptCount val="3"/>
                <c:pt idx="0">
                  <c:v>1996-2000</c:v>
                </c:pt>
                <c:pt idx="1">
                  <c:v>2000-06</c:v>
                </c:pt>
                <c:pt idx="2">
                  <c:v>2006-12</c:v>
                </c:pt>
              </c:strCache>
            </c:strRef>
          </c:cat>
          <c:val>
            <c:numRef>
              <c:f>'Decomposition of prod change'!$F$4:$F$6</c:f>
              <c:numCache>
                <c:formatCode>0.00%</c:formatCode>
                <c:ptCount val="3"/>
                <c:pt idx="0">
                  <c:v>1.2099415374205551E-2</c:v>
                </c:pt>
                <c:pt idx="1">
                  <c:v>-2.0004063167340085E-3</c:v>
                </c:pt>
                <c:pt idx="2">
                  <c:v>1.4089204397568698E-2</c:v>
                </c:pt>
              </c:numCache>
            </c:numRef>
          </c:val>
        </c:ser>
        <c:ser>
          <c:idx val="1"/>
          <c:order val="1"/>
          <c:tx>
            <c:strRef>
              <c:f>'Decomposition of prod change'!$G$3</c:f>
              <c:strCache>
                <c:ptCount val="1"/>
                <c:pt idx="0">
                  <c:v>Structural change</c:v>
                </c:pt>
              </c:strCache>
            </c:strRef>
          </c:tx>
          <c:spPr>
            <a:solidFill>
              <a:schemeClr val="accent6"/>
            </a:solidFill>
          </c:spPr>
          <c:invertIfNegative val="0"/>
          <c:cat>
            <c:strRef>
              <c:f>'Decomposition of prod change'!$E$4:$E$6</c:f>
              <c:strCache>
                <c:ptCount val="3"/>
                <c:pt idx="0">
                  <c:v>1996-2000</c:v>
                </c:pt>
                <c:pt idx="1">
                  <c:v>2000-06</c:v>
                </c:pt>
                <c:pt idx="2">
                  <c:v>2006-12</c:v>
                </c:pt>
              </c:strCache>
            </c:strRef>
          </c:cat>
          <c:val>
            <c:numRef>
              <c:f>'Decomposition of prod change'!$G$4:$G$6</c:f>
              <c:numCache>
                <c:formatCode>0.00%</c:formatCode>
                <c:ptCount val="3"/>
                <c:pt idx="0">
                  <c:v>-6.3820479012721004E-4</c:v>
                </c:pt>
                <c:pt idx="1">
                  <c:v>-3.6910418319478239E-3</c:v>
                </c:pt>
                <c:pt idx="2">
                  <c:v>8.5455381110085757E-4</c:v>
                </c:pt>
              </c:numCache>
            </c:numRef>
          </c:val>
        </c:ser>
        <c:dLbls>
          <c:showLegendKey val="0"/>
          <c:showVal val="0"/>
          <c:showCatName val="0"/>
          <c:showSerName val="0"/>
          <c:showPercent val="0"/>
          <c:showBubbleSize val="0"/>
        </c:dLbls>
        <c:gapWidth val="150"/>
        <c:overlap val="100"/>
        <c:axId val="102262272"/>
        <c:axId val="102263808"/>
      </c:barChart>
      <c:catAx>
        <c:axId val="102262272"/>
        <c:scaling>
          <c:orientation val="minMax"/>
        </c:scaling>
        <c:delete val="0"/>
        <c:axPos val="b"/>
        <c:majorTickMark val="out"/>
        <c:minorTickMark val="none"/>
        <c:tickLblPos val="low"/>
        <c:crossAx val="102263808"/>
        <c:crosses val="autoZero"/>
        <c:auto val="1"/>
        <c:lblAlgn val="ctr"/>
        <c:lblOffset val="100"/>
        <c:noMultiLvlLbl val="0"/>
      </c:catAx>
      <c:valAx>
        <c:axId val="102263808"/>
        <c:scaling>
          <c:orientation val="minMax"/>
        </c:scaling>
        <c:delete val="0"/>
        <c:axPos val="l"/>
        <c:majorGridlines/>
        <c:title>
          <c:tx>
            <c:rich>
              <a:bodyPr rot="-5400000" vert="horz"/>
              <a:lstStyle/>
              <a:p>
                <a:pPr>
                  <a:defRPr b="0"/>
                </a:pPr>
                <a:r>
                  <a:rPr lang="en-US" b="0"/>
                  <a:t>Annualised labour productivity growth</a:t>
                </a:r>
              </a:p>
            </c:rich>
          </c:tx>
          <c:overlay val="0"/>
        </c:title>
        <c:numFmt formatCode="0.0%" sourceLinked="0"/>
        <c:majorTickMark val="out"/>
        <c:minorTickMark val="none"/>
        <c:tickLblPos val="nextTo"/>
        <c:crossAx val="102262272"/>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'Decomposition of prod change'!$B$4</c:f>
              <c:strCache>
                <c:ptCount val="1"/>
                <c:pt idx="0">
                  <c:v>Within sector</c:v>
                </c:pt>
              </c:strCache>
            </c:strRef>
          </c:tx>
          <c:invertIfNegative val="0"/>
          <c:cat>
            <c:strRef>
              <c:f>'Decomposition of prod change'!$A$5:$A$8</c:f>
              <c:strCache>
                <c:ptCount val="4"/>
                <c:pt idx="0">
                  <c:v>1991-2000</c:v>
                </c:pt>
                <c:pt idx="1">
                  <c:v>2000-05</c:v>
                </c:pt>
                <c:pt idx="2">
                  <c:v>2005-10</c:v>
                </c:pt>
                <c:pt idx="3">
                  <c:v>2010-13</c:v>
                </c:pt>
              </c:strCache>
            </c:strRef>
          </c:cat>
          <c:val>
            <c:numRef>
              <c:f>'Decomposition of prod change'!$B$5:$B$8</c:f>
              <c:numCache>
                <c:formatCode>0.00%</c:formatCode>
                <c:ptCount val="4"/>
                <c:pt idx="0">
                  <c:v>3.8264880672709757E-2</c:v>
                </c:pt>
                <c:pt idx="1">
                  <c:v>3.2016856630084317E-3</c:v>
                </c:pt>
                <c:pt idx="2">
                  <c:v>1.9357663902186153E-2</c:v>
                </c:pt>
                <c:pt idx="3">
                  <c:v>3.4789686981682375E-2</c:v>
                </c:pt>
              </c:numCache>
            </c:numRef>
          </c:val>
        </c:ser>
        <c:ser>
          <c:idx val="1"/>
          <c:order val="1"/>
          <c:tx>
            <c:strRef>
              <c:f>'Decomposition of prod change'!$C$4</c:f>
              <c:strCache>
                <c:ptCount val="1"/>
                <c:pt idx="0">
                  <c:v>Structural change</c:v>
                </c:pt>
              </c:strCache>
            </c:strRef>
          </c:tx>
          <c:spPr>
            <a:solidFill>
              <a:schemeClr val="accent6"/>
            </a:solidFill>
          </c:spPr>
          <c:invertIfNegative val="0"/>
          <c:cat>
            <c:strRef>
              <c:f>'Decomposition of prod change'!$A$5:$A$8</c:f>
              <c:strCache>
                <c:ptCount val="4"/>
                <c:pt idx="0">
                  <c:v>1991-2000</c:v>
                </c:pt>
                <c:pt idx="1">
                  <c:v>2000-05</c:v>
                </c:pt>
                <c:pt idx="2">
                  <c:v>2005-10</c:v>
                </c:pt>
                <c:pt idx="3">
                  <c:v>2010-13</c:v>
                </c:pt>
              </c:strCache>
            </c:strRef>
          </c:cat>
          <c:val>
            <c:numRef>
              <c:f>'Decomposition of prod change'!$C$5:$C$8</c:f>
              <c:numCache>
                <c:formatCode>0.00%</c:formatCode>
                <c:ptCount val="4"/>
                <c:pt idx="0">
                  <c:v>3.011717622522711E-4</c:v>
                </c:pt>
                <c:pt idx="1">
                  <c:v>9.2929846237767601E-3</c:v>
                </c:pt>
                <c:pt idx="2">
                  <c:v>-1.7716635938313376E-2</c:v>
                </c:pt>
                <c:pt idx="3">
                  <c:v>1.1449248234019077E-3</c:v>
                </c:pt>
              </c:numCache>
            </c:numRef>
          </c:val>
        </c:ser>
        <c:dLbls>
          <c:showLegendKey val="0"/>
          <c:showVal val="0"/>
          <c:showCatName val="0"/>
          <c:showSerName val="0"/>
          <c:showPercent val="0"/>
          <c:showBubbleSize val="0"/>
        </c:dLbls>
        <c:gapWidth val="150"/>
        <c:overlap val="100"/>
        <c:axId val="102298752"/>
        <c:axId val="102300288"/>
      </c:barChart>
      <c:catAx>
        <c:axId val="102298752"/>
        <c:scaling>
          <c:orientation val="minMax"/>
        </c:scaling>
        <c:delete val="0"/>
        <c:axPos val="b"/>
        <c:majorTickMark val="out"/>
        <c:minorTickMark val="none"/>
        <c:tickLblPos val="low"/>
        <c:crossAx val="102300288"/>
        <c:crosses val="autoZero"/>
        <c:auto val="1"/>
        <c:lblAlgn val="ctr"/>
        <c:lblOffset val="100"/>
        <c:noMultiLvlLbl val="0"/>
      </c:catAx>
      <c:valAx>
        <c:axId val="102300288"/>
        <c:scaling>
          <c:orientation val="minMax"/>
        </c:scaling>
        <c:delete val="0"/>
        <c:axPos val="l"/>
        <c:majorGridlines/>
        <c:title>
          <c:tx>
            <c:rich>
              <a:bodyPr rot="-5400000" vert="horz"/>
              <a:lstStyle/>
              <a:p>
                <a:pPr>
                  <a:defRPr b="0"/>
                </a:pPr>
                <a:r>
                  <a:rPr lang="en-US" b="0"/>
                  <a:t>Annualised labour productivity growth</a:t>
                </a:r>
              </a:p>
            </c:rich>
          </c:tx>
          <c:overlay val="0"/>
        </c:title>
        <c:numFmt formatCode="0.0%" sourceLinked="0"/>
        <c:majorTickMark val="out"/>
        <c:minorTickMark val="none"/>
        <c:tickLblPos val="nextTo"/>
        <c:crossAx val="102298752"/>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DI">
      <a:dk1>
        <a:sysClr val="windowText" lastClr="000000"/>
      </a:dk1>
      <a:lt1>
        <a:sysClr val="window" lastClr="FFFFFF"/>
      </a:lt1>
      <a:dk2>
        <a:srgbClr val="6D6E70"/>
      </a:dk2>
      <a:lt2>
        <a:srgbClr val="BCBEC0"/>
      </a:lt2>
      <a:accent1>
        <a:srgbClr val="006C67"/>
      </a:accent1>
      <a:accent2>
        <a:srgbClr val="62A5A2"/>
      </a:accent2>
      <a:accent3>
        <a:srgbClr val="C7DDDC"/>
      </a:accent3>
      <a:accent4>
        <a:srgbClr val="E0E0E0"/>
      </a:accent4>
      <a:accent5>
        <a:srgbClr val="F7941E"/>
      </a:accent5>
      <a:accent6>
        <a:srgbClr val="F9A64A"/>
      </a:accent6>
      <a:hlink>
        <a:srgbClr val="FCBB76"/>
      </a:hlink>
      <a:folHlink>
        <a:srgbClr val="FED09E"/>
      </a:folHlink>
    </a:clrScheme>
    <a:fontScheme name="OD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tabODISimpleReport" label="ODI Simple Report" visible="true" insertBeforeMso="TabHome" keytip="UN">
        <group id="groupHeadings" label="Headings">
          <button id="rxbtnHeading1" label="H1" size="normal" screentip="Apply Heading 1 style (section heading) to selected paragraph/s" onAction="rxbtnApplyStyle_click"/>
          <button id="rxbtnHeading2" label="H2" size="normal" screentip="Apply Heading 2 style to selected paragraph/s" onAction="rxbtnApplyStyle_click"/>
          <button id="rxbtnHeading3" label="H3" size="normal" screentip="Apply Heading 3 style to selected paragraph/s" onAction="rxbtnApplyStyle_click"/>
          <button id="rxbtnHeading4" label="H4" size="normal" screentip="Apply Heading 4 style to selected paragraph/s" onAction="rxbtnApplyStyle_click"/>
        </group>
        <group id="groupBodyText" label="Body">
          <button id="rxbtnBodyText" label="Body Text" size="normal" screentip="Apply Body Text style to selected paragraph/s" onAction="rxbtnApplyStyle_click" imageMso="ContentControlText"/>
          <button id="rxbtnBullet" label="Bullet" size="normal" screentip="Apply List Bullet style to selected paragraph/s" onAction="rxbtnApplyStyle_click" imageMso="BulletsGalleryWord"/>
          <button id="rxbtnLastBullet" label="Last Bullet" size="normal" screentip="Apply Last Bullet style (with paragraph spacing) to selected paragraph/s" onAction="rxbtnApplyStyle_click" imageMso="BulletsGalleryWord"/>
          <button id="rxbtnNumber" label="Numbered List" size="normal" screentip="Apply List Number style to selected paragraph/s" onAction="rxbtnApplyStyle_click" imageMso="NumberingGalleryWord"/>
          <button id="rxbtnQuote" label="Quote" size="normal" screentip="Apply Quote style to selected paragraph/s" onAction="rxbtnApplyStyle_click" imageMso="AlignMiddleExcel"/>
          <menu id="rxmnuBodyTextStyles" label="Other Styles" imageMso="StylesPane" screentip="Apply other Body styles" size="normal">
            <button id="rxbtnBodyTextNoSpace" label="Body Text No Spacing" screentip="Apply Heading 2 style to selected paragraph/s" onAction="rxbtnApplyStyle_click"/>
            <button id="rxbtnRefText" label="Reference Text" screentip="Apply Reference Text style to selected paragraph/s" onAction="rxbtnApplyStyle_click"/>
            <button id="rxbtnFootnoteRef" label="Footnote Reference" screentip="Apply Footnote Reference style to selected paragraph/s" onAction="rxbtnApplyStyle_click"/>
            <button id="rxbtnFootnoteText" label="Footnote Text" screentip="Apply Footnote Text style to selected paragraph/s" onAction="rxbtnApplyStyle_click"/>
          </menu>
        </group>
        <group id="groupTables" label="Tables">
          <button id="rxbtnTableStyle" label="Table Style" imageMso="TableStylesGalleryWord" size="large" screentip="Apply ODI Table Style to selected table" onAction="rxbtnTableStyle_click"/>
          <button id="rxbtnTableHeading" label="Table Heading" size="normal" screentip="Apply Table Heading style to selected paragraph/s" onAction="rxbtnApplyStyle_click" imageMso="FontSizeIncrease"/>
          <menu id="rxmnuTableStyles" label="Other Styles" imageMso="StylesPane" screentip="Apply table text and heading styles" size="normal">
            <button id="rxbtnColumnHeading" label="Column Heading" screentip="Apply Column Heading style to selected paragraph/s" onAction="rxbtnApplyStyle_click"/>
            <button id="rxbtnTableText" label="Table Text" screentip="Apply Prelim Heading style to selected paragraph/s but don't include heading in TOC" onAction="rxbtnApplyStyle_click"/>
            <button id="rxbtnTableBullet" label="Table Bullet" screentip="Apply Table Bullet style to selected paragraph/s" onAction="rxbtnApplyStyle_click"/>
            <button id="rxbtnSource" label="Source" screentip="Apply Source style to selected paragraph/s" onAction="rxbtnApplyStyle_click"/>
          </menu>
        </group>
        <group id="groupFigures" label="Figures">
          <button id="rxbtnFigureHeading" label="Figure Heading" size="normal" screentip="Apply Figure Heading style to selected paragraph/s" onAction="rxbtnApplyStyle_click" imageMso="FontSizeIncrease"/>
          <button id="rxbtnSourceNoSpace" label="Source (no spacing)" size="normal" screentip="Apply Source style (with no paragraph spacing) to selected paragraph/s" onAction="rxbtnApplyStyle_click" imageMso="FontSizeDecrease"/>
        </group>
        <group id="groupTextBox" label="Text Boxes">
          <button id="rxbtnTextBox" label="Add Text Box" imageMso="TextBoxInsert" size="large" screentip="Add a text box" onAction="rxbtnTextBox_click"/>
          <separator id="rxsepTextBox1"/>
          <button id="rxbtnBoxHeading" label="Box Heading" size="normal" screentip="Apply Box Heading style to selected paragraph/s" onAction="rxbtnApplyStyle_click" imageMso="FontSizeIncrease"/>
          <button id="rxbtnBoxText" label="Box Text" size="normal" screentip="Apply Box Text style to selected paragraph/s" onAction="rxbtnApplyStyle_click" imageMso="ContentControlText"/>
          <button id="rxbtnBoxBullet" label="Box Bullet" size="normal" screentip="Apply Box Bullet style to selected paragraph/s" onAction="rxbtnApplyStyle_click" imageMso="BulletsGalleryWord"/>
        </group>
        <group id="groupOrientation" label="Orientation">
          <menu id="rxmnuLandscape" label="Landscape" imageMso="PageOrientationLandscape" screentip="Insert or change a section to landscape" size="large">
            <button id="rxbtnLandscapeNew" label="New landscape section" screentip="Add a new landscape section at the current selection point" onAction="rxbtnLandscapeNew_click"/>
            <button id="rxbtnLandscapeSwitch" label="Change to landscape" screentip="Change the current section to landscape" onAction="rxbtnLandscapeSwitch_click"/>
          </menu>
          <menu id="rxmnuPortrait" label="Portrait" imageMso="PageOrientationPortrait" screentip="Insert or change a section to portrait" size="large">
            <button id="rxbtnPortraitNew" label="New portrait section" screentip="Add a new portrait section at the current selection point" onAction="rxbtnPortraitNew_click"/>
            <button id="rxbtnPortraitSwitch" label="Change to portrait" screentip="Change the current section to portrait" onAction="rxbtnPortraitSwitch_click"/>
          </menu>
        </group>
        <group id="groupPaste" label="Custom Paste">
          <button id="rxbtnCustomPaste" label="Paste text" imageMso="Paste" size="normal" screentip="Paste text cleanly from other documents" onAction="rxbtnCustomPaste_click"/>
          <button id="rxbtnCustomPasteChart" label="Paste Excel chart" imageMso="PasteSpecialDialog" size="normal" screentip="Paste a chart copied from Excel" onAction="rxbtnCustomPasteChart_cli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E7237B621B34D8633A963D5CBF9A3" ma:contentTypeVersion="" ma:contentTypeDescription="Create a new document." ma:contentTypeScope="" ma:versionID="86207b02e9d47f534844b5fb47386b69">
  <xsd:schema xmlns:xsd="http://www.w3.org/2001/XMLSchema" xmlns:xs="http://www.w3.org/2001/XMLSchema" xmlns:p="http://schemas.microsoft.com/office/2006/metadata/properties" xmlns:ns2="57b417f7-d786-4243-a30f-6aa963038fea" targetNamespace="http://schemas.microsoft.com/office/2006/metadata/properties" ma:root="true" ma:fieldsID="1959d539da99094eaa1c65296056aff2" ns2:_="">
    <xsd:import namespace="57b417f7-d786-4243-a30f-6aa963038fea"/>
    <xsd:element name="properties">
      <xsd:complexType>
        <xsd:sequence>
          <xsd:element name="documentManagement">
            <xsd:complexType>
              <xsd:all>
                <xsd:element ref="ns2:Summary" minOccurs="0"/>
                <xsd:element ref="ns2:Document_x0020_Type" minOccurs="0"/>
                <xsd:element ref="ns2:Status" minOccurs="0"/>
                <xsd:element ref="ns2: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417f7-d786-4243-a30f-6aa963038fea" elementFormDefault="qualified">
    <xsd:import namespace="http://schemas.microsoft.com/office/2006/documentManagement/types"/>
    <xsd:import namespace="http://schemas.microsoft.com/office/infopath/2007/PartnerControls"/>
    <xsd:element name="Summary" ma:index="8" nillable="true" ma:displayName="Summary" ma:description="A short description of what's in the document can help people to find it." ma:internalName="Summary">
      <xsd:simpleType>
        <xsd:restriction base="dms:Note">
          <xsd:maxLength value="255"/>
        </xsd:restriction>
      </xsd:simpleType>
    </xsd:element>
    <xsd:element name="Document_x0020_Type" ma:index="9" nillable="true" ma:displayName="Document Type" ma:default="General" ma:description="Leave as general unless this is a special type of document (eg PID, CV, Meeting Report etc)" ma:format="Dropdown" ma:internalName="Document_x0020_Type">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0" nillable="true" ma:displayName="Status" ma:default="Active" ma:format="Dropdown" ma:internalName="Status">
      <xsd:simpleType>
        <xsd:restriction base="dms:Choice">
          <xsd:enumeration value="Active"/>
          <xsd:enumeration value="Closed"/>
          <xsd:enumeration value="Archived"/>
        </xsd:restriction>
      </xsd:simpleType>
    </xsd:element>
    <xsd:element name="Key" ma:index="11" nillable="true" ma:displayName="Key" ma:default="0" ma:description="Tick if this is a key document for this project." ma:internalName="Ke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mmary xmlns="57b417f7-d786-4243-a30f-6aa963038fea" xsi:nil="true"/>
    <Key xmlns="57b417f7-d786-4243-a30f-6aa963038fea">false</Key>
    <Document_x0020_Type xmlns="57b417f7-d786-4243-a30f-6aa963038fea">General</Document_x0020_Type>
    <Status xmlns="57b417f7-d786-4243-a30f-6aa963038fea">Active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A843-1A3D-48E6-9CEB-BE9DC956227B}">
  <ds:schemaRefs>
    <ds:schemaRef ds:uri="http://schemas.microsoft.com/sharepoint/v3/contenttype/forms"/>
  </ds:schemaRefs>
</ds:datastoreItem>
</file>

<file path=customXml/itemProps2.xml><?xml version="1.0" encoding="utf-8"?>
<ds:datastoreItem xmlns:ds="http://schemas.openxmlformats.org/officeDocument/2006/customXml" ds:itemID="{FC71FA66-E9D9-4E01-85FB-34BC96C8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417f7-d786-4243-a30f-6aa963038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6B467-BBAA-4B3F-AFAF-DBD6B681CB41}">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57b417f7-d786-4243-a30f-6aa963038fea"/>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A4C5311-E083-49A2-9EFF-DFC0CFA0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ODI</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Francis</dc:creator>
  <cp:lastModifiedBy>jkennan</cp:lastModifiedBy>
  <cp:revision>21</cp:revision>
  <dcterms:created xsi:type="dcterms:W3CDTF">2015-01-06T16:17:00Z</dcterms:created>
  <dcterms:modified xsi:type="dcterms:W3CDTF">2015-08-31T10:29:00Z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0x0101000F7E7237B621B34D8633A963D5CBF9A3</vt:lpwstr>
  </property>
</Properties>
</file>