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45A18" w14:textId="77777777" w:rsidR="00F515DA" w:rsidRPr="00B12AEC" w:rsidRDefault="00EA4839"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Yemen</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29E45A19" w14:textId="77777777" w:rsidR="00F515DA" w:rsidRDefault="00F515DA"/>
    <w:p w14:paraId="51B4EDC9" w14:textId="77777777" w:rsidR="00887216" w:rsidRDefault="00F3387B">
      <w:pPr>
        <w:pStyle w:val="TOC1"/>
        <w:rPr>
          <w:rFonts w:asciiTheme="minorHAnsi" w:eastAsiaTheme="minorEastAsia" w:hAnsiTheme="minorHAnsi" w:cstheme="minorBidi"/>
          <w:b w:val="0"/>
          <w:noProof/>
          <w:color w:val="auto"/>
          <w:sz w:val="22"/>
          <w:lang w:eastAsia="en-GB"/>
        </w:rPr>
      </w:pPr>
      <w:r w:rsidRPr="008607CD">
        <w:rPr>
          <w:rFonts w:cs="Arial"/>
          <w:b w:val="0"/>
        </w:rPr>
        <w:fldChar w:fldCharType="begin"/>
      </w:r>
      <w:r w:rsidRPr="008607CD">
        <w:rPr>
          <w:rFonts w:cs="Arial"/>
          <w:b w:val="0"/>
        </w:rPr>
        <w:instrText xml:space="preserve"> TOC \o "1-2" \t "Table Heading,3,Figure Heading,3" </w:instrText>
      </w:r>
      <w:r w:rsidRPr="008607CD">
        <w:rPr>
          <w:rFonts w:cs="Arial"/>
          <w:b w:val="0"/>
        </w:rPr>
        <w:fldChar w:fldCharType="separate"/>
      </w:r>
      <w:r w:rsidR="00887216">
        <w:rPr>
          <w:noProof/>
        </w:rPr>
        <w:t>Economic structures</w:t>
      </w:r>
      <w:r w:rsidR="00887216">
        <w:rPr>
          <w:noProof/>
        </w:rPr>
        <w:tab/>
      </w:r>
      <w:r w:rsidR="00887216">
        <w:rPr>
          <w:noProof/>
        </w:rPr>
        <w:fldChar w:fldCharType="begin"/>
      </w:r>
      <w:r w:rsidR="00887216">
        <w:rPr>
          <w:noProof/>
        </w:rPr>
        <w:instrText xml:space="preserve"> PAGEREF _Toc428448486 \h </w:instrText>
      </w:r>
      <w:r w:rsidR="00887216">
        <w:rPr>
          <w:noProof/>
        </w:rPr>
      </w:r>
      <w:r w:rsidR="00887216">
        <w:rPr>
          <w:noProof/>
        </w:rPr>
        <w:fldChar w:fldCharType="separate"/>
      </w:r>
      <w:r w:rsidR="00887216">
        <w:rPr>
          <w:noProof/>
        </w:rPr>
        <w:t>3</w:t>
      </w:r>
      <w:r w:rsidR="00887216">
        <w:rPr>
          <w:noProof/>
        </w:rPr>
        <w:fldChar w:fldCharType="end"/>
      </w:r>
    </w:p>
    <w:p w14:paraId="25130739" w14:textId="77777777" w:rsidR="00887216" w:rsidRDefault="00887216">
      <w:pPr>
        <w:pStyle w:val="TOC3"/>
        <w:rPr>
          <w:rFonts w:asciiTheme="minorHAnsi" w:eastAsiaTheme="minorEastAsia" w:hAnsiTheme="minorHAnsi" w:cstheme="minorBidi"/>
          <w:noProof/>
          <w:sz w:val="22"/>
          <w:lang w:eastAsia="en-GB"/>
        </w:rPr>
      </w:pPr>
      <w:r>
        <w:rPr>
          <w:noProof/>
        </w:rPr>
        <w:t>Table 1. Value added (% of GDP), Yemen</w:t>
      </w:r>
      <w:r>
        <w:rPr>
          <w:noProof/>
        </w:rPr>
        <w:tab/>
      </w:r>
      <w:r>
        <w:rPr>
          <w:noProof/>
        </w:rPr>
        <w:fldChar w:fldCharType="begin"/>
      </w:r>
      <w:r>
        <w:rPr>
          <w:noProof/>
        </w:rPr>
        <w:instrText xml:space="preserve"> PAGEREF _Toc428448487 \h </w:instrText>
      </w:r>
      <w:r>
        <w:rPr>
          <w:noProof/>
        </w:rPr>
      </w:r>
      <w:r>
        <w:rPr>
          <w:noProof/>
        </w:rPr>
        <w:fldChar w:fldCharType="separate"/>
      </w:r>
      <w:r>
        <w:rPr>
          <w:noProof/>
        </w:rPr>
        <w:t>3</w:t>
      </w:r>
      <w:r>
        <w:rPr>
          <w:noProof/>
        </w:rPr>
        <w:fldChar w:fldCharType="end"/>
      </w:r>
    </w:p>
    <w:p w14:paraId="6608C8F5" w14:textId="77777777" w:rsidR="00887216" w:rsidRDefault="00887216">
      <w:pPr>
        <w:pStyle w:val="TOC3"/>
        <w:tabs>
          <w:tab w:val="left" w:pos="7213"/>
        </w:tabs>
        <w:rPr>
          <w:rFonts w:asciiTheme="minorHAnsi" w:eastAsiaTheme="minorEastAsia" w:hAnsiTheme="minorHAnsi" w:cstheme="minorBidi"/>
          <w:noProof/>
          <w:sz w:val="22"/>
          <w:lang w:eastAsia="en-GB"/>
        </w:rPr>
      </w:pPr>
      <w:r>
        <w:rPr>
          <w:noProof/>
        </w:rPr>
        <w:t>Table 2. GDP, employment and relative productivity levels, Yemen, 1991–2013</w:t>
      </w:r>
      <w:r>
        <w:rPr>
          <w:rFonts w:asciiTheme="minorHAnsi" w:eastAsiaTheme="minorEastAsia" w:hAnsiTheme="minorHAnsi" w:cstheme="minorBidi"/>
          <w:noProof/>
          <w:sz w:val="22"/>
          <w:lang w:eastAsia="en-GB"/>
        </w:rPr>
        <w:tab/>
      </w:r>
      <w:r>
        <w:rPr>
          <w:noProof/>
        </w:rPr>
        <w:t xml:space="preserve">  </w:t>
      </w:r>
      <w:r w:rsidRPr="005F1637">
        <w:rPr>
          <w:noProof/>
          <w:color w:val="FF0000"/>
        </w:rPr>
        <w:t>NEW</w:t>
      </w:r>
      <w:r>
        <w:rPr>
          <w:noProof/>
        </w:rPr>
        <w:tab/>
      </w:r>
      <w:r>
        <w:rPr>
          <w:noProof/>
        </w:rPr>
        <w:fldChar w:fldCharType="begin"/>
      </w:r>
      <w:r>
        <w:rPr>
          <w:noProof/>
        </w:rPr>
        <w:instrText xml:space="preserve"> PAGEREF _Toc428448488 \h </w:instrText>
      </w:r>
      <w:r>
        <w:rPr>
          <w:noProof/>
        </w:rPr>
      </w:r>
      <w:r>
        <w:rPr>
          <w:noProof/>
        </w:rPr>
        <w:fldChar w:fldCharType="separate"/>
      </w:r>
      <w:r>
        <w:rPr>
          <w:noProof/>
        </w:rPr>
        <w:t>4</w:t>
      </w:r>
      <w:r>
        <w:rPr>
          <w:noProof/>
        </w:rPr>
        <w:fldChar w:fldCharType="end"/>
      </w:r>
    </w:p>
    <w:p w14:paraId="7A124221" w14:textId="77777777" w:rsidR="00887216" w:rsidRDefault="00887216">
      <w:pPr>
        <w:pStyle w:val="TOC3"/>
        <w:tabs>
          <w:tab w:val="left" w:pos="6369"/>
        </w:tabs>
        <w:rPr>
          <w:rFonts w:asciiTheme="minorHAnsi" w:eastAsiaTheme="minorEastAsia" w:hAnsiTheme="minorHAnsi" w:cstheme="minorBidi"/>
          <w:noProof/>
          <w:sz w:val="22"/>
          <w:lang w:eastAsia="en-GB"/>
        </w:rPr>
      </w:pPr>
      <w:r>
        <w:rPr>
          <w:noProof/>
        </w:rPr>
        <w:t xml:space="preserve">Table 3. Labour productivity levels and changes, Yemen, 1991–2013 </w:t>
      </w:r>
      <w:r>
        <w:rPr>
          <w:rFonts w:asciiTheme="minorHAnsi" w:eastAsiaTheme="minorEastAsia" w:hAnsiTheme="minorHAnsi" w:cstheme="minorBidi"/>
          <w:noProof/>
          <w:sz w:val="22"/>
          <w:lang w:eastAsia="en-GB"/>
        </w:rPr>
        <w:tab/>
      </w:r>
      <w:r>
        <w:rPr>
          <w:noProof/>
        </w:rPr>
        <w:t xml:space="preserve">  </w:t>
      </w:r>
      <w:r w:rsidRPr="005F1637">
        <w:rPr>
          <w:noProof/>
          <w:color w:val="FF0000"/>
        </w:rPr>
        <w:t>NEW</w:t>
      </w:r>
      <w:r>
        <w:rPr>
          <w:noProof/>
        </w:rPr>
        <w:tab/>
      </w:r>
      <w:r>
        <w:rPr>
          <w:noProof/>
        </w:rPr>
        <w:fldChar w:fldCharType="begin"/>
      </w:r>
      <w:r>
        <w:rPr>
          <w:noProof/>
        </w:rPr>
        <w:instrText xml:space="preserve"> PAGEREF _Toc428448489 \h </w:instrText>
      </w:r>
      <w:r>
        <w:rPr>
          <w:noProof/>
        </w:rPr>
      </w:r>
      <w:r>
        <w:rPr>
          <w:noProof/>
        </w:rPr>
        <w:fldChar w:fldCharType="separate"/>
      </w:r>
      <w:r>
        <w:rPr>
          <w:noProof/>
        </w:rPr>
        <w:t>4</w:t>
      </w:r>
      <w:r>
        <w:rPr>
          <w:noProof/>
        </w:rPr>
        <w:fldChar w:fldCharType="end"/>
      </w:r>
    </w:p>
    <w:p w14:paraId="297FF81B" w14:textId="77777777" w:rsidR="00887216" w:rsidRDefault="00887216">
      <w:pPr>
        <w:pStyle w:val="TOC3"/>
        <w:tabs>
          <w:tab w:val="left" w:pos="7679"/>
        </w:tabs>
        <w:rPr>
          <w:rFonts w:asciiTheme="minorHAnsi" w:eastAsiaTheme="minorEastAsia" w:hAnsiTheme="minorHAnsi" w:cstheme="minorBidi"/>
          <w:noProof/>
          <w:sz w:val="22"/>
          <w:lang w:eastAsia="en-GB"/>
        </w:rPr>
      </w:pPr>
      <w:r>
        <w:rPr>
          <w:noProof/>
        </w:rPr>
        <w:t>Figure 1. Relative productivity and changes in employment shares by sector, Yemen</w:t>
      </w:r>
      <w:r>
        <w:rPr>
          <w:rFonts w:asciiTheme="minorHAnsi" w:eastAsiaTheme="minorEastAsia" w:hAnsiTheme="minorHAnsi" w:cstheme="minorBidi"/>
          <w:noProof/>
          <w:sz w:val="22"/>
          <w:lang w:eastAsia="en-GB"/>
        </w:rPr>
        <w:tab/>
      </w:r>
      <w:r w:rsidRPr="005F1637">
        <w:rPr>
          <w:noProof/>
          <w:color w:val="FF0000"/>
        </w:rPr>
        <w:t>NEW</w:t>
      </w:r>
      <w:r>
        <w:rPr>
          <w:noProof/>
        </w:rPr>
        <w:tab/>
      </w:r>
      <w:r>
        <w:rPr>
          <w:noProof/>
        </w:rPr>
        <w:fldChar w:fldCharType="begin"/>
      </w:r>
      <w:r>
        <w:rPr>
          <w:noProof/>
        </w:rPr>
        <w:instrText xml:space="preserve"> PAGEREF _Toc428448490 \h </w:instrText>
      </w:r>
      <w:r>
        <w:rPr>
          <w:noProof/>
        </w:rPr>
      </w:r>
      <w:r>
        <w:rPr>
          <w:noProof/>
        </w:rPr>
        <w:fldChar w:fldCharType="separate"/>
      </w:r>
      <w:r>
        <w:rPr>
          <w:noProof/>
        </w:rPr>
        <w:t>6</w:t>
      </w:r>
      <w:r>
        <w:rPr>
          <w:noProof/>
        </w:rPr>
        <w:fldChar w:fldCharType="end"/>
      </w:r>
    </w:p>
    <w:p w14:paraId="2D5DF0E9" w14:textId="77777777" w:rsidR="00887216" w:rsidRDefault="00887216">
      <w:pPr>
        <w:pStyle w:val="TOC3"/>
        <w:tabs>
          <w:tab w:val="left" w:pos="6857"/>
        </w:tabs>
        <w:rPr>
          <w:rFonts w:asciiTheme="minorHAnsi" w:eastAsiaTheme="minorEastAsia" w:hAnsiTheme="minorHAnsi" w:cstheme="minorBidi"/>
          <w:noProof/>
          <w:sz w:val="22"/>
          <w:lang w:eastAsia="en-GB"/>
        </w:rPr>
      </w:pPr>
      <w:r>
        <w:rPr>
          <w:noProof/>
        </w:rPr>
        <w:t>Figure 2. Decomposition of labour productivity change, Yemen, 1991–2013</w:t>
      </w:r>
      <w:r>
        <w:rPr>
          <w:rFonts w:asciiTheme="minorHAnsi" w:eastAsiaTheme="minorEastAsia" w:hAnsiTheme="minorHAnsi" w:cstheme="minorBidi"/>
          <w:noProof/>
          <w:sz w:val="22"/>
          <w:lang w:eastAsia="en-GB"/>
        </w:rPr>
        <w:tab/>
      </w:r>
      <w:r w:rsidRPr="005F1637">
        <w:rPr>
          <w:noProof/>
          <w:color w:val="FF0000"/>
        </w:rPr>
        <w:t>NEW</w:t>
      </w:r>
      <w:r>
        <w:rPr>
          <w:noProof/>
        </w:rPr>
        <w:tab/>
      </w:r>
      <w:r>
        <w:rPr>
          <w:noProof/>
        </w:rPr>
        <w:fldChar w:fldCharType="begin"/>
      </w:r>
      <w:r>
        <w:rPr>
          <w:noProof/>
        </w:rPr>
        <w:instrText xml:space="preserve"> PAGEREF _Toc428448491 \h </w:instrText>
      </w:r>
      <w:r>
        <w:rPr>
          <w:noProof/>
        </w:rPr>
      </w:r>
      <w:r>
        <w:rPr>
          <w:noProof/>
        </w:rPr>
        <w:fldChar w:fldCharType="separate"/>
      </w:r>
      <w:r>
        <w:rPr>
          <w:noProof/>
        </w:rPr>
        <w:t>6</w:t>
      </w:r>
      <w:r>
        <w:rPr>
          <w:noProof/>
        </w:rPr>
        <w:fldChar w:fldCharType="end"/>
      </w:r>
    </w:p>
    <w:p w14:paraId="07EFF0F7" w14:textId="77777777" w:rsidR="00887216" w:rsidRDefault="00887216">
      <w:pPr>
        <w:pStyle w:val="TOC3"/>
        <w:tabs>
          <w:tab w:val="left" w:pos="4044"/>
        </w:tabs>
        <w:rPr>
          <w:rFonts w:asciiTheme="minorHAnsi" w:eastAsiaTheme="minorEastAsia" w:hAnsiTheme="minorHAnsi" w:cstheme="minorBidi"/>
          <w:noProof/>
          <w:sz w:val="22"/>
          <w:lang w:eastAsia="en-GB"/>
        </w:rPr>
      </w:pPr>
      <w:r>
        <w:rPr>
          <w:noProof/>
        </w:rPr>
        <w:t>Figure 3. Productivity gaps in Yemen, 2013</w:t>
      </w:r>
      <w:r>
        <w:rPr>
          <w:rFonts w:asciiTheme="minorHAnsi" w:eastAsiaTheme="minorEastAsia" w:hAnsiTheme="minorHAnsi" w:cstheme="minorBidi"/>
          <w:noProof/>
          <w:sz w:val="22"/>
          <w:lang w:eastAsia="en-GB"/>
        </w:rPr>
        <w:tab/>
      </w:r>
      <w:r w:rsidRPr="005F1637">
        <w:rPr>
          <w:noProof/>
          <w:color w:val="FF0000"/>
        </w:rPr>
        <w:t>NEW</w:t>
      </w:r>
      <w:r>
        <w:rPr>
          <w:noProof/>
        </w:rPr>
        <w:tab/>
      </w:r>
      <w:r>
        <w:rPr>
          <w:noProof/>
        </w:rPr>
        <w:fldChar w:fldCharType="begin"/>
      </w:r>
      <w:r>
        <w:rPr>
          <w:noProof/>
        </w:rPr>
        <w:instrText xml:space="preserve"> PAGEREF _Toc428448492 \h </w:instrText>
      </w:r>
      <w:r>
        <w:rPr>
          <w:noProof/>
        </w:rPr>
      </w:r>
      <w:r>
        <w:rPr>
          <w:noProof/>
        </w:rPr>
        <w:fldChar w:fldCharType="separate"/>
      </w:r>
      <w:r>
        <w:rPr>
          <w:noProof/>
        </w:rPr>
        <w:t>6</w:t>
      </w:r>
      <w:r>
        <w:rPr>
          <w:noProof/>
        </w:rPr>
        <w:fldChar w:fldCharType="end"/>
      </w:r>
    </w:p>
    <w:p w14:paraId="1AFBF0CD" w14:textId="77777777" w:rsidR="00887216" w:rsidRDefault="00887216">
      <w:pPr>
        <w:pStyle w:val="TOC3"/>
        <w:rPr>
          <w:rFonts w:asciiTheme="minorHAnsi" w:eastAsiaTheme="minorEastAsia" w:hAnsiTheme="minorHAnsi" w:cstheme="minorBidi"/>
          <w:noProof/>
          <w:sz w:val="22"/>
          <w:lang w:eastAsia="en-GB"/>
        </w:rPr>
      </w:pPr>
      <w:r>
        <w:rPr>
          <w:noProof/>
        </w:rPr>
        <w:t>Figure 4. Total employment by sex and broad sector, Yemen (ILO GET data)</w:t>
      </w:r>
      <w:r>
        <w:rPr>
          <w:noProof/>
        </w:rPr>
        <w:tab/>
      </w:r>
      <w:r>
        <w:rPr>
          <w:noProof/>
        </w:rPr>
        <w:fldChar w:fldCharType="begin"/>
      </w:r>
      <w:r>
        <w:rPr>
          <w:noProof/>
        </w:rPr>
        <w:instrText xml:space="preserve"> PAGEREF _Toc428448493 \h </w:instrText>
      </w:r>
      <w:r>
        <w:rPr>
          <w:noProof/>
        </w:rPr>
      </w:r>
      <w:r>
        <w:rPr>
          <w:noProof/>
        </w:rPr>
        <w:fldChar w:fldCharType="separate"/>
      </w:r>
      <w:r>
        <w:rPr>
          <w:noProof/>
        </w:rPr>
        <w:t>6</w:t>
      </w:r>
      <w:r>
        <w:rPr>
          <w:noProof/>
        </w:rPr>
        <w:fldChar w:fldCharType="end"/>
      </w:r>
    </w:p>
    <w:p w14:paraId="4E519D5F" w14:textId="77777777" w:rsidR="00887216" w:rsidRDefault="00887216">
      <w:pPr>
        <w:pStyle w:val="TOC3"/>
        <w:rPr>
          <w:rFonts w:asciiTheme="minorHAnsi" w:eastAsiaTheme="minorEastAsia" w:hAnsiTheme="minorHAnsi" w:cstheme="minorBidi"/>
          <w:noProof/>
          <w:sz w:val="22"/>
          <w:lang w:eastAsia="en-GB"/>
        </w:rPr>
      </w:pPr>
      <w:r>
        <w:rPr>
          <w:noProof/>
        </w:rPr>
        <w:t>Figure 5. Broad sectoral employment by sex, Yemen (ILO GET data)</w:t>
      </w:r>
      <w:r>
        <w:rPr>
          <w:noProof/>
        </w:rPr>
        <w:tab/>
      </w:r>
      <w:r>
        <w:rPr>
          <w:noProof/>
        </w:rPr>
        <w:fldChar w:fldCharType="begin"/>
      </w:r>
      <w:r>
        <w:rPr>
          <w:noProof/>
        </w:rPr>
        <w:instrText xml:space="preserve"> PAGEREF _Toc428448494 \h </w:instrText>
      </w:r>
      <w:r>
        <w:rPr>
          <w:noProof/>
        </w:rPr>
      </w:r>
      <w:r>
        <w:rPr>
          <w:noProof/>
        </w:rPr>
        <w:fldChar w:fldCharType="separate"/>
      </w:r>
      <w:r>
        <w:rPr>
          <w:noProof/>
        </w:rPr>
        <w:t>7</w:t>
      </w:r>
      <w:r>
        <w:rPr>
          <w:noProof/>
        </w:rPr>
        <w:fldChar w:fldCharType="end"/>
      </w:r>
    </w:p>
    <w:p w14:paraId="2C0F287E" w14:textId="77777777" w:rsidR="00887216" w:rsidRDefault="00887216">
      <w:pPr>
        <w:pStyle w:val="TOC3"/>
        <w:tabs>
          <w:tab w:val="left" w:pos="5945"/>
        </w:tabs>
        <w:rPr>
          <w:rFonts w:asciiTheme="minorHAnsi" w:eastAsiaTheme="minorEastAsia" w:hAnsiTheme="minorHAnsi" w:cstheme="minorBidi"/>
          <w:noProof/>
          <w:sz w:val="22"/>
          <w:lang w:eastAsia="en-GB"/>
        </w:rPr>
      </w:pPr>
      <w:r>
        <w:rPr>
          <w:noProof/>
        </w:rPr>
        <w:t>Figure 6. Sectoral employment by sex, Yemen (ILO WESO data)</w:t>
      </w:r>
      <w:r>
        <w:rPr>
          <w:rFonts w:asciiTheme="minorHAnsi" w:eastAsiaTheme="minorEastAsia" w:hAnsiTheme="minorHAnsi" w:cstheme="minorBidi"/>
          <w:noProof/>
          <w:sz w:val="22"/>
          <w:lang w:eastAsia="en-GB"/>
        </w:rPr>
        <w:tab/>
      </w:r>
      <w:r w:rsidRPr="005F1637">
        <w:rPr>
          <w:noProof/>
          <w:color w:val="FF0000"/>
        </w:rPr>
        <w:t>NEW</w:t>
      </w:r>
      <w:r>
        <w:rPr>
          <w:noProof/>
        </w:rPr>
        <w:tab/>
      </w:r>
      <w:r>
        <w:rPr>
          <w:noProof/>
        </w:rPr>
        <w:fldChar w:fldCharType="begin"/>
      </w:r>
      <w:r>
        <w:rPr>
          <w:noProof/>
        </w:rPr>
        <w:instrText xml:space="preserve"> PAGEREF _Toc428448495 \h </w:instrText>
      </w:r>
      <w:r>
        <w:rPr>
          <w:noProof/>
        </w:rPr>
      </w:r>
      <w:r>
        <w:rPr>
          <w:noProof/>
        </w:rPr>
        <w:fldChar w:fldCharType="separate"/>
      </w:r>
      <w:r>
        <w:rPr>
          <w:noProof/>
        </w:rPr>
        <w:t>7</w:t>
      </w:r>
      <w:r>
        <w:rPr>
          <w:noProof/>
        </w:rPr>
        <w:fldChar w:fldCharType="end"/>
      </w:r>
    </w:p>
    <w:p w14:paraId="5C914197" w14:textId="77777777" w:rsidR="00887216" w:rsidRDefault="00887216">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_Toc428448496 \h </w:instrText>
      </w:r>
      <w:r>
        <w:rPr>
          <w:noProof/>
        </w:rPr>
      </w:r>
      <w:r>
        <w:rPr>
          <w:noProof/>
        </w:rPr>
        <w:fldChar w:fldCharType="separate"/>
      </w:r>
      <w:r>
        <w:rPr>
          <w:noProof/>
        </w:rPr>
        <w:t>8</w:t>
      </w:r>
      <w:r>
        <w:rPr>
          <w:noProof/>
        </w:rPr>
        <w:fldChar w:fldCharType="end"/>
      </w:r>
    </w:p>
    <w:p w14:paraId="4B8E1333" w14:textId="77777777" w:rsidR="00887216" w:rsidRDefault="00887216">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_Toc428448497 \h </w:instrText>
      </w:r>
      <w:r>
        <w:rPr>
          <w:noProof/>
        </w:rPr>
      </w:r>
      <w:r>
        <w:rPr>
          <w:noProof/>
        </w:rPr>
        <w:fldChar w:fldCharType="separate"/>
      </w:r>
      <w:r>
        <w:rPr>
          <w:noProof/>
        </w:rPr>
        <w:t>8</w:t>
      </w:r>
      <w:r>
        <w:rPr>
          <w:noProof/>
        </w:rPr>
        <w:fldChar w:fldCharType="end"/>
      </w:r>
    </w:p>
    <w:p w14:paraId="24836119" w14:textId="77777777" w:rsidR="00887216" w:rsidRDefault="00887216">
      <w:pPr>
        <w:pStyle w:val="TOC3"/>
        <w:rPr>
          <w:rFonts w:asciiTheme="minorHAnsi" w:eastAsiaTheme="minorEastAsia" w:hAnsiTheme="minorHAnsi" w:cstheme="minorBidi"/>
          <w:noProof/>
          <w:sz w:val="22"/>
          <w:lang w:eastAsia="en-GB"/>
        </w:rPr>
      </w:pPr>
      <w:r>
        <w:rPr>
          <w:noProof/>
        </w:rPr>
        <w:t>Figure 7. Total value of trade, Yemen, 2006–13</w:t>
      </w:r>
      <w:r>
        <w:rPr>
          <w:noProof/>
        </w:rPr>
        <w:tab/>
      </w:r>
      <w:r>
        <w:rPr>
          <w:noProof/>
        </w:rPr>
        <w:fldChar w:fldCharType="begin"/>
      </w:r>
      <w:r>
        <w:rPr>
          <w:noProof/>
        </w:rPr>
        <w:instrText xml:space="preserve"> PAGEREF _Toc428448498 \h </w:instrText>
      </w:r>
      <w:r>
        <w:rPr>
          <w:noProof/>
        </w:rPr>
      </w:r>
      <w:r>
        <w:rPr>
          <w:noProof/>
        </w:rPr>
        <w:fldChar w:fldCharType="separate"/>
      </w:r>
      <w:r>
        <w:rPr>
          <w:noProof/>
        </w:rPr>
        <w:t>8</w:t>
      </w:r>
      <w:r>
        <w:rPr>
          <w:noProof/>
        </w:rPr>
        <w:fldChar w:fldCharType="end"/>
      </w:r>
    </w:p>
    <w:p w14:paraId="5F30C031" w14:textId="77777777" w:rsidR="00887216" w:rsidRDefault="00887216">
      <w:pPr>
        <w:pStyle w:val="TOC3"/>
        <w:rPr>
          <w:rFonts w:asciiTheme="minorHAnsi" w:eastAsiaTheme="minorEastAsia" w:hAnsiTheme="minorHAnsi" w:cstheme="minorBidi"/>
          <w:noProof/>
          <w:sz w:val="22"/>
          <w:lang w:eastAsia="en-GB"/>
        </w:rPr>
      </w:pPr>
      <w:r>
        <w:rPr>
          <w:noProof/>
        </w:rPr>
        <w:t>Figure 8. Exports by broad HS Section, Yemen, 2006–8 and 2009–13</w:t>
      </w:r>
      <w:r>
        <w:rPr>
          <w:noProof/>
        </w:rPr>
        <w:tab/>
      </w:r>
      <w:r>
        <w:rPr>
          <w:noProof/>
        </w:rPr>
        <w:fldChar w:fldCharType="begin"/>
      </w:r>
      <w:r>
        <w:rPr>
          <w:noProof/>
        </w:rPr>
        <w:instrText xml:space="preserve"> PAGEREF _Toc428448499 \h </w:instrText>
      </w:r>
      <w:r>
        <w:rPr>
          <w:noProof/>
        </w:rPr>
      </w:r>
      <w:r>
        <w:rPr>
          <w:noProof/>
        </w:rPr>
        <w:fldChar w:fldCharType="separate"/>
      </w:r>
      <w:r>
        <w:rPr>
          <w:noProof/>
        </w:rPr>
        <w:t>9</w:t>
      </w:r>
      <w:r>
        <w:rPr>
          <w:noProof/>
        </w:rPr>
        <w:fldChar w:fldCharType="end"/>
      </w:r>
    </w:p>
    <w:p w14:paraId="6C49F5E9" w14:textId="77777777" w:rsidR="00887216" w:rsidRDefault="00887216">
      <w:pPr>
        <w:pStyle w:val="TOC3"/>
        <w:rPr>
          <w:rFonts w:asciiTheme="minorHAnsi" w:eastAsiaTheme="minorEastAsia" w:hAnsiTheme="minorHAnsi" w:cstheme="minorBidi"/>
          <w:noProof/>
          <w:sz w:val="22"/>
          <w:lang w:eastAsia="en-GB"/>
        </w:rPr>
      </w:pPr>
      <w:r>
        <w:rPr>
          <w:noProof/>
        </w:rPr>
        <w:t>Figure 9. Change in export share by HS Section, Yemen, 2006–8 and 2009–13</w:t>
      </w:r>
      <w:r>
        <w:rPr>
          <w:noProof/>
        </w:rPr>
        <w:tab/>
      </w:r>
      <w:r>
        <w:rPr>
          <w:noProof/>
        </w:rPr>
        <w:fldChar w:fldCharType="begin"/>
      </w:r>
      <w:r>
        <w:rPr>
          <w:noProof/>
        </w:rPr>
        <w:instrText xml:space="preserve"> PAGEREF _Toc428448500 \h </w:instrText>
      </w:r>
      <w:r>
        <w:rPr>
          <w:noProof/>
        </w:rPr>
      </w:r>
      <w:r>
        <w:rPr>
          <w:noProof/>
        </w:rPr>
        <w:fldChar w:fldCharType="separate"/>
      </w:r>
      <w:r>
        <w:rPr>
          <w:noProof/>
        </w:rPr>
        <w:t>10</w:t>
      </w:r>
      <w:r>
        <w:rPr>
          <w:noProof/>
        </w:rPr>
        <w:fldChar w:fldCharType="end"/>
      </w:r>
    </w:p>
    <w:p w14:paraId="6C6BCAE0" w14:textId="77777777" w:rsidR="00887216" w:rsidRDefault="00887216">
      <w:pPr>
        <w:pStyle w:val="TOC3"/>
        <w:rPr>
          <w:rFonts w:asciiTheme="minorHAnsi" w:eastAsiaTheme="minorEastAsia" w:hAnsiTheme="minorHAnsi" w:cstheme="minorBidi"/>
          <w:noProof/>
          <w:sz w:val="22"/>
          <w:lang w:eastAsia="en-GB"/>
        </w:rPr>
      </w:pPr>
      <w:r>
        <w:rPr>
          <w:noProof/>
        </w:rPr>
        <w:t>Figure 10. Export visualisation, Yemen, 2005 and 2012</w:t>
      </w:r>
      <w:r>
        <w:rPr>
          <w:noProof/>
        </w:rPr>
        <w:tab/>
      </w:r>
      <w:r>
        <w:rPr>
          <w:noProof/>
        </w:rPr>
        <w:fldChar w:fldCharType="begin"/>
      </w:r>
      <w:r>
        <w:rPr>
          <w:noProof/>
        </w:rPr>
        <w:instrText xml:space="preserve"> PAGEREF _Toc428448501 \h </w:instrText>
      </w:r>
      <w:r>
        <w:rPr>
          <w:noProof/>
        </w:rPr>
      </w:r>
      <w:r>
        <w:rPr>
          <w:noProof/>
        </w:rPr>
        <w:fldChar w:fldCharType="separate"/>
      </w:r>
      <w:r>
        <w:rPr>
          <w:noProof/>
        </w:rPr>
        <w:t>11</w:t>
      </w:r>
      <w:r>
        <w:rPr>
          <w:noProof/>
        </w:rPr>
        <w:fldChar w:fldCharType="end"/>
      </w:r>
    </w:p>
    <w:p w14:paraId="7E52EE7B" w14:textId="77777777" w:rsidR="00887216" w:rsidRDefault="00887216">
      <w:pPr>
        <w:pStyle w:val="TOC3"/>
        <w:rPr>
          <w:rFonts w:asciiTheme="minorHAnsi" w:eastAsiaTheme="minorEastAsia" w:hAnsiTheme="minorHAnsi" w:cstheme="minorBidi"/>
          <w:noProof/>
          <w:sz w:val="22"/>
          <w:lang w:eastAsia="en-GB"/>
        </w:rPr>
      </w:pPr>
      <w:r>
        <w:rPr>
          <w:noProof/>
        </w:rPr>
        <w:t>Figure 11. Top export products, Yemen (average 2011–13)</w:t>
      </w:r>
      <w:r>
        <w:rPr>
          <w:noProof/>
        </w:rPr>
        <w:tab/>
      </w:r>
      <w:r>
        <w:rPr>
          <w:noProof/>
        </w:rPr>
        <w:fldChar w:fldCharType="begin"/>
      </w:r>
      <w:r>
        <w:rPr>
          <w:noProof/>
        </w:rPr>
        <w:instrText xml:space="preserve"> PAGEREF _Toc428448502 \h </w:instrText>
      </w:r>
      <w:r>
        <w:rPr>
          <w:noProof/>
        </w:rPr>
      </w:r>
      <w:r>
        <w:rPr>
          <w:noProof/>
        </w:rPr>
        <w:fldChar w:fldCharType="separate"/>
      </w:r>
      <w:r>
        <w:rPr>
          <w:noProof/>
        </w:rPr>
        <w:t>12</w:t>
      </w:r>
      <w:r>
        <w:rPr>
          <w:noProof/>
        </w:rPr>
        <w:fldChar w:fldCharType="end"/>
      </w:r>
    </w:p>
    <w:p w14:paraId="4E93CF4E" w14:textId="77777777" w:rsidR="00887216" w:rsidRDefault="00887216">
      <w:pPr>
        <w:pStyle w:val="TOC3"/>
        <w:rPr>
          <w:rFonts w:asciiTheme="minorHAnsi" w:eastAsiaTheme="minorEastAsia" w:hAnsiTheme="minorHAnsi" w:cstheme="minorBidi"/>
          <w:noProof/>
          <w:sz w:val="22"/>
          <w:lang w:eastAsia="en-GB"/>
        </w:rPr>
      </w:pPr>
      <w:r>
        <w:rPr>
          <w:noProof/>
        </w:rPr>
        <w:t>Figure 12. Top export markets, Yemen (average 2011–13)</w:t>
      </w:r>
      <w:r>
        <w:rPr>
          <w:noProof/>
        </w:rPr>
        <w:tab/>
      </w:r>
      <w:r>
        <w:rPr>
          <w:noProof/>
        </w:rPr>
        <w:fldChar w:fldCharType="begin"/>
      </w:r>
      <w:r>
        <w:rPr>
          <w:noProof/>
        </w:rPr>
        <w:instrText xml:space="preserve"> PAGEREF _Toc428448503 \h </w:instrText>
      </w:r>
      <w:r>
        <w:rPr>
          <w:noProof/>
        </w:rPr>
      </w:r>
      <w:r>
        <w:rPr>
          <w:noProof/>
        </w:rPr>
        <w:fldChar w:fldCharType="separate"/>
      </w:r>
      <w:r>
        <w:rPr>
          <w:noProof/>
        </w:rPr>
        <w:t>12</w:t>
      </w:r>
      <w:r>
        <w:rPr>
          <w:noProof/>
        </w:rPr>
        <w:fldChar w:fldCharType="end"/>
      </w:r>
    </w:p>
    <w:p w14:paraId="1784CF76" w14:textId="77777777" w:rsidR="00887216" w:rsidRDefault="00887216">
      <w:pPr>
        <w:pStyle w:val="TOC3"/>
        <w:rPr>
          <w:rFonts w:asciiTheme="minorHAnsi" w:eastAsiaTheme="minorEastAsia" w:hAnsiTheme="minorHAnsi" w:cstheme="minorBidi"/>
          <w:noProof/>
          <w:sz w:val="22"/>
          <w:lang w:eastAsia="en-GB"/>
        </w:rPr>
      </w:pPr>
      <w:r>
        <w:rPr>
          <w:noProof/>
        </w:rPr>
        <w:t>Figure 13. Imports by broad HS Section, Yemen, 2006–8 and 2009–13</w:t>
      </w:r>
      <w:r>
        <w:rPr>
          <w:noProof/>
        </w:rPr>
        <w:tab/>
      </w:r>
      <w:r>
        <w:rPr>
          <w:noProof/>
        </w:rPr>
        <w:fldChar w:fldCharType="begin"/>
      </w:r>
      <w:r>
        <w:rPr>
          <w:noProof/>
        </w:rPr>
        <w:instrText xml:space="preserve"> PAGEREF _Toc428448504 \h </w:instrText>
      </w:r>
      <w:r>
        <w:rPr>
          <w:noProof/>
        </w:rPr>
      </w:r>
      <w:r>
        <w:rPr>
          <w:noProof/>
        </w:rPr>
        <w:fldChar w:fldCharType="separate"/>
      </w:r>
      <w:r>
        <w:rPr>
          <w:noProof/>
        </w:rPr>
        <w:t>13</w:t>
      </w:r>
      <w:r>
        <w:rPr>
          <w:noProof/>
        </w:rPr>
        <w:fldChar w:fldCharType="end"/>
      </w:r>
    </w:p>
    <w:p w14:paraId="5D179976" w14:textId="77777777" w:rsidR="00887216" w:rsidRDefault="00887216">
      <w:pPr>
        <w:pStyle w:val="TOC3"/>
        <w:rPr>
          <w:rFonts w:asciiTheme="minorHAnsi" w:eastAsiaTheme="minorEastAsia" w:hAnsiTheme="minorHAnsi" w:cstheme="minorBidi"/>
          <w:noProof/>
          <w:sz w:val="22"/>
          <w:lang w:eastAsia="en-GB"/>
        </w:rPr>
      </w:pPr>
      <w:r>
        <w:rPr>
          <w:noProof/>
        </w:rPr>
        <w:t>Figure 14. Change in import share by HS Section, Yemen, 2006–8 and 2009–13</w:t>
      </w:r>
      <w:r>
        <w:rPr>
          <w:noProof/>
        </w:rPr>
        <w:tab/>
      </w:r>
      <w:r>
        <w:rPr>
          <w:noProof/>
        </w:rPr>
        <w:fldChar w:fldCharType="begin"/>
      </w:r>
      <w:r>
        <w:rPr>
          <w:noProof/>
        </w:rPr>
        <w:instrText xml:space="preserve"> PAGEREF _Toc428448505 \h </w:instrText>
      </w:r>
      <w:r>
        <w:rPr>
          <w:noProof/>
        </w:rPr>
      </w:r>
      <w:r>
        <w:rPr>
          <w:noProof/>
        </w:rPr>
        <w:fldChar w:fldCharType="separate"/>
      </w:r>
      <w:r>
        <w:rPr>
          <w:noProof/>
        </w:rPr>
        <w:t>14</w:t>
      </w:r>
      <w:r>
        <w:rPr>
          <w:noProof/>
        </w:rPr>
        <w:fldChar w:fldCharType="end"/>
      </w:r>
    </w:p>
    <w:p w14:paraId="6D673B86" w14:textId="77777777" w:rsidR="00887216" w:rsidRDefault="00887216">
      <w:pPr>
        <w:pStyle w:val="TOC3"/>
        <w:rPr>
          <w:rFonts w:asciiTheme="minorHAnsi" w:eastAsiaTheme="minorEastAsia" w:hAnsiTheme="minorHAnsi" w:cstheme="minorBidi"/>
          <w:noProof/>
          <w:sz w:val="22"/>
          <w:lang w:eastAsia="en-GB"/>
        </w:rPr>
      </w:pPr>
      <w:r>
        <w:rPr>
          <w:noProof/>
        </w:rPr>
        <w:t>Figure 15. Import visualisation, Yemen, 2005 and 2012</w:t>
      </w:r>
      <w:r>
        <w:rPr>
          <w:noProof/>
        </w:rPr>
        <w:tab/>
      </w:r>
      <w:r>
        <w:rPr>
          <w:noProof/>
        </w:rPr>
        <w:fldChar w:fldCharType="begin"/>
      </w:r>
      <w:r>
        <w:rPr>
          <w:noProof/>
        </w:rPr>
        <w:instrText xml:space="preserve"> PAGEREF _Toc428448506 \h </w:instrText>
      </w:r>
      <w:r>
        <w:rPr>
          <w:noProof/>
        </w:rPr>
      </w:r>
      <w:r>
        <w:rPr>
          <w:noProof/>
        </w:rPr>
        <w:fldChar w:fldCharType="separate"/>
      </w:r>
      <w:r>
        <w:rPr>
          <w:noProof/>
        </w:rPr>
        <w:t>15</w:t>
      </w:r>
      <w:r>
        <w:rPr>
          <w:noProof/>
        </w:rPr>
        <w:fldChar w:fldCharType="end"/>
      </w:r>
    </w:p>
    <w:p w14:paraId="2C6386F5" w14:textId="77777777" w:rsidR="00887216" w:rsidRDefault="00887216">
      <w:pPr>
        <w:pStyle w:val="TOC3"/>
        <w:rPr>
          <w:rFonts w:asciiTheme="minorHAnsi" w:eastAsiaTheme="minorEastAsia" w:hAnsiTheme="minorHAnsi" w:cstheme="minorBidi"/>
          <w:noProof/>
          <w:sz w:val="22"/>
          <w:lang w:eastAsia="en-GB"/>
        </w:rPr>
      </w:pPr>
      <w:r>
        <w:rPr>
          <w:noProof/>
        </w:rPr>
        <w:t>Figure 16. Top import products, Yemen (average 2011–13)</w:t>
      </w:r>
      <w:r>
        <w:rPr>
          <w:noProof/>
        </w:rPr>
        <w:tab/>
      </w:r>
      <w:r>
        <w:rPr>
          <w:noProof/>
        </w:rPr>
        <w:fldChar w:fldCharType="begin"/>
      </w:r>
      <w:r>
        <w:rPr>
          <w:noProof/>
        </w:rPr>
        <w:instrText xml:space="preserve"> PAGEREF _Toc428448507 \h </w:instrText>
      </w:r>
      <w:r>
        <w:rPr>
          <w:noProof/>
        </w:rPr>
      </w:r>
      <w:r>
        <w:rPr>
          <w:noProof/>
        </w:rPr>
        <w:fldChar w:fldCharType="separate"/>
      </w:r>
      <w:r>
        <w:rPr>
          <w:noProof/>
        </w:rPr>
        <w:t>16</w:t>
      </w:r>
      <w:r>
        <w:rPr>
          <w:noProof/>
        </w:rPr>
        <w:fldChar w:fldCharType="end"/>
      </w:r>
    </w:p>
    <w:p w14:paraId="013D217A" w14:textId="77777777" w:rsidR="00887216" w:rsidRDefault="00887216">
      <w:pPr>
        <w:pStyle w:val="TOC3"/>
        <w:rPr>
          <w:rFonts w:asciiTheme="minorHAnsi" w:eastAsiaTheme="minorEastAsia" w:hAnsiTheme="minorHAnsi" w:cstheme="minorBidi"/>
          <w:noProof/>
          <w:sz w:val="22"/>
          <w:lang w:eastAsia="en-GB"/>
        </w:rPr>
      </w:pPr>
      <w:r>
        <w:rPr>
          <w:noProof/>
        </w:rPr>
        <w:t>Figure 17. Top import sources, Yemen (average 2011–13)</w:t>
      </w:r>
      <w:r>
        <w:rPr>
          <w:noProof/>
        </w:rPr>
        <w:tab/>
      </w:r>
      <w:r>
        <w:rPr>
          <w:noProof/>
        </w:rPr>
        <w:fldChar w:fldCharType="begin"/>
      </w:r>
      <w:r>
        <w:rPr>
          <w:noProof/>
        </w:rPr>
        <w:instrText xml:space="preserve"> PAGEREF _Toc428448508 \h </w:instrText>
      </w:r>
      <w:r>
        <w:rPr>
          <w:noProof/>
        </w:rPr>
      </w:r>
      <w:r>
        <w:rPr>
          <w:noProof/>
        </w:rPr>
        <w:fldChar w:fldCharType="separate"/>
      </w:r>
      <w:r>
        <w:rPr>
          <w:noProof/>
        </w:rPr>
        <w:t>16</w:t>
      </w:r>
      <w:r>
        <w:rPr>
          <w:noProof/>
        </w:rPr>
        <w:fldChar w:fldCharType="end"/>
      </w:r>
    </w:p>
    <w:p w14:paraId="2139E8D7" w14:textId="77777777" w:rsidR="00887216" w:rsidRDefault="00887216">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_Toc428448509 \h </w:instrText>
      </w:r>
      <w:r>
        <w:rPr>
          <w:noProof/>
        </w:rPr>
      </w:r>
      <w:r>
        <w:rPr>
          <w:noProof/>
        </w:rPr>
        <w:fldChar w:fldCharType="separate"/>
      </w:r>
      <w:r>
        <w:rPr>
          <w:noProof/>
        </w:rPr>
        <w:t>17</w:t>
      </w:r>
      <w:r>
        <w:rPr>
          <w:noProof/>
        </w:rPr>
        <w:fldChar w:fldCharType="end"/>
      </w:r>
    </w:p>
    <w:p w14:paraId="45A63754" w14:textId="77777777" w:rsidR="00887216" w:rsidRDefault="00887216">
      <w:pPr>
        <w:pStyle w:val="TOC3"/>
        <w:rPr>
          <w:rFonts w:asciiTheme="minorHAnsi" w:eastAsiaTheme="minorEastAsia" w:hAnsiTheme="minorHAnsi" w:cstheme="minorBidi"/>
          <w:noProof/>
          <w:sz w:val="22"/>
          <w:lang w:eastAsia="en-GB"/>
        </w:rPr>
      </w:pPr>
      <w:r>
        <w:rPr>
          <w:noProof/>
        </w:rPr>
        <w:t>Figure 18. Export diversification index, Yemen, 1965–2010</w:t>
      </w:r>
      <w:r>
        <w:rPr>
          <w:noProof/>
        </w:rPr>
        <w:tab/>
      </w:r>
      <w:r>
        <w:rPr>
          <w:noProof/>
        </w:rPr>
        <w:fldChar w:fldCharType="begin"/>
      </w:r>
      <w:r>
        <w:rPr>
          <w:noProof/>
        </w:rPr>
        <w:instrText xml:space="preserve"> PAGEREF _Toc428448510 \h </w:instrText>
      </w:r>
      <w:r>
        <w:rPr>
          <w:noProof/>
        </w:rPr>
      </w:r>
      <w:r>
        <w:rPr>
          <w:noProof/>
        </w:rPr>
        <w:fldChar w:fldCharType="separate"/>
      </w:r>
      <w:r>
        <w:rPr>
          <w:noProof/>
        </w:rPr>
        <w:t>17</w:t>
      </w:r>
      <w:r>
        <w:rPr>
          <w:noProof/>
        </w:rPr>
        <w:fldChar w:fldCharType="end"/>
      </w:r>
    </w:p>
    <w:p w14:paraId="14A571D7" w14:textId="77777777" w:rsidR="00887216" w:rsidRDefault="00887216">
      <w:pPr>
        <w:pStyle w:val="TOC3"/>
        <w:rPr>
          <w:rFonts w:asciiTheme="minorHAnsi" w:eastAsiaTheme="minorEastAsia" w:hAnsiTheme="minorHAnsi" w:cstheme="minorBidi"/>
          <w:noProof/>
          <w:sz w:val="22"/>
          <w:lang w:eastAsia="en-GB"/>
        </w:rPr>
      </w:pPr>
      <w:r>
        <w:rPr>
          <w:noProof/>
        </w:rPr>
        <w:t>Figure 19. Export quality index, Yemen, 1990–2010</w:t>
      </w:r>
      <w:r>
        <w:rPr>
          <w:noProof/>
        </w:rPr>
        <w:tab/>
      </w:r>
      <w:r>
        <w:rPr>
          <w:noProof/>
        </w:rPr>
        <w:fldChar w:fldCharType="begin"/>
      </w:r>
      <w:r>
        <w:rPr>
          <w:noProof/>
        </w:rPr>
        <w:instrText xml:space="preserve"> PAGEREF _Toc428448511 \h </w:instrText>
      </w:r>
      <w:r>
        <w:rPr>
          <w:noProof/>
        </w:rPr>
      </w:r>
      <w:r>
        <w:rPr>
          <w:noProof/>
        </w:rPr>
        <w:fldChar w:fldCharType="separate"/>
      </w:r>
      <w:r>
        <w:rPr>
          <w:noProof/>
        </w:rPr>
        <w:t>17</w:t>
      </w:r>
      <w:r>
        <w:rPr>
          <w:noProof/>
        </w:rPr>
        <w:fldChar w:fldCharType="end"/>
      </w:r>
    </w:p>
    <w:p w14:paraId="2A0CF895" w14:textId="77777777" w:rsidR="00887216" w:rsidRDefault="00887216">
      <w:pPr>
        <w:pStyle w:val="TOC3"/>
        <w:rPr>
          <w:rFonts w:asciiTheme="minorHAnsi" w:eastAsiaTheme="minorEastAsia" w:hAnsiTheme="minorHAnsi" w:cstheme="minorBidi"/>
          <w:noProof/>
          <w:sz w:val="22"/>
          <w:lang w:eastAsia="en-GB"/>
        </w:rPr>
      </w:pPr>
      <w:r>
        <w:rPr>
          <w:noProof/>
        </w:rPr>
        <w:t>Figure 20. Number of export items and markets, Yemen, 2006–13</w:t>
      </w:r>
      <w:r>
        <w:rPr>
          <w:noProof/>
        </w:rPr>
        <w:tab/>
      </w:r>
      <w:r>
        <w:rPr>
          <w:noProof/>
        </w:rPr>
        <w:fldChar w:fldCharType="begin"/>
      </w:r>
      <w:r>
        <w:rPr>
          <w:noProof/>
        </w:rPr>
        <w:instrText xml:space="preserve"> PAGEREF _Toc428448512 \h </w:instrText>
      </w:r>
      <w:r>
        <w:rPr>
          <w:noProof/>
        </w:rPr>
      </w:r>
      <w:r>
        <w:rPr>
          <w:noProof/>
        </w:rPr>
        <w:fldChar w:fldCharType="separate"/>
      </w:r>
      <w:r>
        <w:rPr>
          <w:noProof/>
        </w:rPr>
        <w:t>18</w:t>
      </w:r>
      <w:r>
        <w:rPr>
          <w:noProof/>
        </w:rPr>
        <w:fldChar w:fldCharType="end"/>
      </w:r>
    </w:p>
    <w:p w14:paraId="4EA93DCD" w14:textId="77777777" w:rsidR="00887216" w:rsidRDefault="00887216">
      <w:pPr>
        <w:pStyle w:val="TOC3"/>
        <w:rPr>
          <w:rFonts w:asciiTheme="minorHAnsi" w:eastAsiaTheme="minorEastAsia" w:hAnsiTheme="minorHAnsi" w:cstheme="minorBidi"/>
          <w:noProof/>
          <w:sz w:val="22"/>
          <w:lang w:eastAsia="en-GB"/>
        </w:rPr>
      </w:pPr>
      <w:r>
        <w:rPr>
          <w:noProof/>
        </w:rPr>
        <w:t>Figure 21. Number of import items and suppliers, Yemen, 2006–13</w:t>
      </w:r>
      <w:r>
        <w:rPr>
          <w:noProof/>
        </w:rPr>
        <w:tab/>
      </w:r>
      <w:r>
        <w:rPr>
          <w:noProof/>
        </w:rPr>
        <w:fldChar w:fldCharType="begin"/>
      </w:r>
      <w:r>
        <w:rPr>
          <w:noProof/>
        </w:rPr>
        <w:instrText xml:space="preserve"> PAGEREF _Toc428448513 \h </w:instrText>
      </w:r>
      <w:r>
        <w:rPr>
          <w:noProof/>
        </w:rPr>
      </w:r>
      <w:r>
        <w:rPr>
          <w:noProof/>
        </w:rPr>
        <w:fldChar w:fldCharType="separate"/>
      </w:r>
      <w:r>
        <w:rPr>
          <w:noProof/>
        </w:rPr>
        <w:t>18</w:t>
      </w:r>
      <w:r>
        <w:rPr>
          <w:noProof/>
        </w:rPr>
        <w:fldChar w:fldCharType="end"/>
      </w:r>
    </w:p>
    <w:p w14:paraId="4DB4BADD" w14:textId="77777777" w:rsidR="00887216" w:rsidRDefault="00887216">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_Toc428448514 \h </w:instrText>
      </w:r>
      <w:r>
        <w:rPr>
          <w:noProof/>
        </w:rPr>
      </w:r>
      <w:r>
        <w:rPr>
          <w:noProof/>
        </w:rPr>
        <w:fldChar w:fldCharType="separate"/>
      </w:r>
      <w:r>
        <w:rPr>
          <w:noProof/>
        </w:rPr>
        <w:t>19</w:t>
      </w:r>
      <w:r>
        <w:rPr>
          <w:noProof/>
        </w:rPr>
        <w:fldChar w:fldCharType="end"/>
      </w:r>
    </w:p>
    <w:p w14:paraId="29717E83" w14:textId="77777777" w:rsidR="00887216" w:rsidRDefault="00887216">
      <w:pPr>
        <w:pStyle w:val="TOC3"/>
        <w:rPr>
          <w:rFonts w:asciiTheme="minorHAnsi" w:eastAsiaTheme="minorEastAsia" w:hAnsiTheme="minorHAnsi" w:cstheme="minorBidi"/>
          <w:noProof/>
          <w:sz w:val="22"/>
          <w:lang w:eastAsia="en-GB"/>
        </w:rPr>
      </w:pPr>
      <w:r>
        <w:rPr>
          <w:noProof/>
        </w:rPr>
        <w:t>Table 4. Revealed comparative advantage by HS Section, Yemen</w:t>
      </w:r>
      <w:r>
        <w:rPr>
          <w:noProof/>
        </w:rPr>
        <w:tab/>
      </w:r>
      <w:r>
        <w:rPr>
          <w:noProof/>
        </w:rPr>
        <w:fldChar w:fldCharType="begin"/>
      </w:r>
      <w:r>
        <w:rPr>
          <w:noProof/>
        </w:rPr>
        <w:instrText xml:space="preserve"> PAGEREF _Toc428448515 \h </w:instrText>
      </w:r>
      <w:r>
        <w:rPr>
          <w:noProof/>
        </w:rPr>
      </w:r>
      <w:r>
        <w:rPr>
          <w:noProof/>
        </w:rPr>
        <w:fldChar w:fldCharType="separate"/>
      </w:r>
      <w:r>
        <w:rPr>
          <w:noProof/>
        </w:rPr>
        <w:t>19</w:t>
      </w:r>
      <w:r>
        <w:rPr>
          <w:noProof/>
        </w:rPr>
        <w:fldChar w:fldCharType="end"/>
      </w:r>
    </w:p>
    <w:p w14:paraId="020F3359" w14:textId="77777777" w:rsidR="00887216" w:rsidRDefault="00887216">
      <w:pPr>
        <w:pStyle w:val="TOC2"/>
        <w:rPr>
          <w:rFonts w:asciiTheme="minorHAnsi" w:eastAsiaTheme="minorEastAsia" w:hAnsiTheme="minorHAnsi" w:cstheme="minorBidi"/>
          <w:b w:val="0"/>
          <w:noProof/>
          <w:color w:val="auto"/>
          <w:sz w:val="22"/>
          <w:lang w:eastAsia="en-GB"/>
        </w:rPr>
      </w:pPr>
      <w:r>
        <w:rPr>
          <w:noProof/>
        </w:rPr>
        <w:lastRenderedPageBreak/>
        <w:t>Trade in value added</w:t>
      </w:r>
      <w:r>
        <w:rPr>
          <w:noProof/>
        </w:rPr>
        <w:tab/>
      </w:r>
      <w:r>
        <w:rPr>
          <w:noProof/>
        </w:rPr>
        <w:fldChar w:fldCharType="begin"/>
      </w:r>
      <w:r>
        <w:rPr>
          <w:noProof/>
        </w:rPr>
        <w:instrText xml:space="preserve"> PAGEREF _Toc428448516 \h </w:instrText>
      </w:r>
      <w:r>
        <w:rPr>
          <w:noProof/>
        </w:rPr>
      </w:r>
      <w:r>
        <w:rPr>
          <w:noProof/>
        </w:rPr>
        <w:fldChar w:fldCharType="separate"/>
      </w:r>
      <w:r>
        <w:rPr>
          <w:noProof/>
        </w:rPr>
        <w:t>20</w:t>
      </w:r>
      <w:r>
        <w:rPr>
          <w:noProof/>
        </w:rPr>
        <w:fldChar w:fldCharType="end"/>
      </w:r>
    </w:p>
    <w:p w14:paraId="1C3182F3" w14:textId="77777777" w:rsidR="00887216" w:rsidRDefault="00887216">
      <w:pPr>
        <w:pStyle w:val="TOC3"/>
        <w:rPr>
          <w:rFonts w:asciiTheme="minorHAnsi" w:eastAsiaTheme="minorEastAsia" w:hAnsiTheme="minorHAnsi" w:cstheme="minorBidi"/>
          <w:noProof/>
          <w:sz w:val="22"/>
          <w:lang w:eastAsia="en-GB"/>
        </w:rPr>
      </w:pPr>
      <w:r>
        <w:rPr>
          <w:noProof/>
        </w:rPr>
        <w:t>Figure 22. Compound annual growth rate of domestic value added, foreign value added and exports, 1996-2011 and 2006-11, Yemen</w:t>
      </w:r>
      <w:r>
        <w:rPr>
          <w:noProof/>
        </w:rPr>
        <w:tab/>
      </w:r>
      <w:r>
        <w:rPr>
          <w:noProof/>
        </w:rPr>
        <w:fldChar w:fldCharType="begin"/>
      </w:r>
      <w:r>
        <w:rPr>
          <w:noProof/>
        </w:rPr>
        <w:instrText xml:space="preserve"> PAGEREF _Toc428448517 \h </w:instrText>
      </w:r>
      <w:r>
        <w:rPr>
          <w:noProof/>
        </w:rPr>
      </w:r>
      <w:r>
        <w:rPr>
          <w:noProof/>
        </w:rPr>
        <w:fldChar w:fldCharType="separate"/>
      </w:r>
      <w:r>
        <w:rPr>
          <w:noProof/>
        </w:rPr>
        <w:t>20</w:t>
      </w:r>
      <w:r>
        <w:rPr>
          <w:noProof/>
        </w:rPr>
        <w:fldChar w:fldCharType="end"/>
      </w:r>
    </w:p>
    <w:p w14:paraId="32795ECD" w14:textId="77777777" w:rsidR="00887216" w:rsidRDefault="00887216">
      <w:pPr>
        <w:pStyle w:val="TOC3"/>
        <w:rPr>
          <w:rFonts w:asciiTheme="minorHAnsi" w:eastAsiaTheme="minorEastAsia" w:hAnsiTheme="minorHAnsi" w:cstheme="minorBidi"/>
          <w:noProof/>
          <w:sz w:val="22"/>
          <w:lang w:eastAsia="en-GB"/>
        </w:rPr>
      </w:pPr>
      <w:r>
        <w:rPr>
          <w:noProof/>
        </w:rPr>
        <w:t>Figure 23.</w:t>
      </w:r>
      <w:r w:rsidRPr="005F1637">
        <w:rPr>
          <w:rFonts w:cs="Arial"/>
          <w:noProof/>
        </w:rPr>
        <w:t xml:space="preserve"> Domestic and foreign value added content of gross exports as share of gross exports, 1996, 2000, 2006 and 2011</w:t>
      </w:r>
      <w:r>
        <w:rPr>
          <w:noProof/>
        </w:rPr>
        <w:t>, Yemen</w:t>
      </w:r>
      <w:r>
        <w:rPr>
          <w:noProof/>
        </w:rPr>
        <w:tab/>
      </w:r>
      <w:r>
        <w:rPr>
          <w:noProof/>
        </w:rPr>
        <w:fldChar w:fldCharType="begin"/>
      </w:r>
      <w:r>
        <w:rPr>
          <w:noProof/>
        </w:rPr>
        <w:instrText xml:space="preserve"> PAGEREF _Toc428448518 \h </w:instrText>
      </w:r>
      <w:r>
        <w:rPr>
          <w:noProof/>
        </w:rPr>
      </w:r>
      <w:r>
        <w:rPr>
          <w:noProof/>
        </w:rPr>
        <w:fldChar w:fldCharType="separate"/>
      </w:r>
      <w:r>
        <w:rPr>
          <w:noProof/>
        </w:rPr>
        <w:t>20</w:t>
      </w:r>
      <w:r>
        <w:rPr>
          <w:noProof/>
        </w:rPr>
        <w:fldChar w:fldCharType="end"/>
      </w:r>
    </w:p>
    <w:p w14:paraId="7536A3A1" w14:textId="77777777" w:rsidR="00887216" w:rsidRDefault="00887216">
      <w:pPr>
        <w:pStyle w:val="TOC3"/>
        <w:rPr>
          <w:rFonts w:asciiTheme="minorHAnsi" w:eastAsiaTheme="minorEastAsia" w:hAnsiTheme="minorHAnsi" w:cstheme="minorBidi"/>
          <w:noProof/>
          <w:sz w:val="22"/>
          <w:lang w:eastAsia="en-GB"/>
        </w:rPr>
      </w:pPr>
      <w:r w:rsidRPr="005F1637">
        <w:rPr>
          <w:rFonts w:cs="Arial"/>
          <w:noProof/>
        </w:rPr>
        <w:t>Figure 24. Overall value of domestic and foreign value added, 1996, 2000, 2006 and 2011 (in USD 1,000)</w:t>
      </w:r>
      <w:r>
        <w:rPr>
          <w:noProof/>
        </w:rPr>
        <w:t xml:space="preserve"> , Yemen</w:t>
      </w:r>
      <w:r>
        <w:rPr>
          <w:noProof/>
        </w:rPr>
        <w:tab/>
      </w:r>
      <w:r>
        <w:rPr>
          <w:noProof/>
        </w:rPr>
        <w:fldChar w:fldCharType="begin"/>
      </w:r>
      <w:r>
        <w:rPr>
          <w:noProof/>
        </w:rPr>
        <w:instrText xml:space="preserve"> PAGEREF _Toc428448519 \h </w:instrText>
      </w:r>
      <w:r>
        <w:rPr>
          <w:noProof/>
        </w:rPr>
      </w:r>
      <w:r>
        <w:rPr>
          <w:noProof/>
        </w:rPr>
        <w:fldChar w:fldCharType="separate"/>
      </w:r>
      <w:r>
        <w:rPr>
          <w:noProof/>
        </w:rPr>
        <w:t>20</w:t>
      </w:r>
      <w:r>
        <w:rPr>
          <w:noProof/>
        </w:rPr>
        <w:fldChar w:fldCharType="end"/>
      </w:r>
    </w:p>
    <w:p w14:paraId="4C304A6E" w14:textId="77777777" w:rsidR="00887216" w:rsidRDefault="00887216">
      <w:pPr>
        <w:pStyle w:val="TOC3"/>
        <w:rPr>
          <w:rFonts w:asciiTheme="minorHAnsi" w:eastAsiaTheme="minorEastAsia" w:hAnsiTheme="minorHAnsi" w:cstheme="minorBidi"/>
          <w:noProof/>
          <w:sz w:val="22"/>
          <w:lang w:eastAsia="en-GB"/>
        </w:rPr>
      </w:pPr>
      <w:r w:rsidRPr="005F1637">
        <w:rPr>
          <w:rFonts w:cs="Arial"/>
          <w:noProof/>
        </w:rPr>
        <w:t>Figure 25. Compound annual growth rate of DVA embodied in gross exports by sector, 1996-2011 and 2006-2011</w:t>
      </w:r>
      <w:r>
        <w:rPr>
          <w:noProof/>
        </w:rPr>
        <w:t>, Yemen</w:t>
      </w:r>
      <w:r>
        <w:rPr>
          <w:noProof/>
        </w:rPr>
        <w:tab/>
      </w:r>
      <w:r>
        <w:rPr>
          <w:noProof/>
        </w:rPr>
        <w:fldChar w:fldCharType="begin"/>
      </w:r>
      <w:r>
        <w:rPr>
          <w:noProof/>
        </w:rPr>
        <w:instrText xml:space="preserve"> PAGEREF _Toc428448520 \h </w:instrText>
      </w:r>
      <w:r>
        <w:rPr>
          <w:noProof/>
        </w:rPr>
      </w:r>
      <w:r>
        <w:rPr>
          <w:noProof/>
        </w:rPr>
        <w:fldChar w:fldCharType="separate"/>
      </w:r>
      <w:r>
        <w:rPr>
          <w:noProof/>
        </w:rPr>
        <w:t>21</w:t>
      </w:r>
      <w:r>
        <w:rPr>
          <w:noProof/>
        </w:rPr>
        <w:fldChar w:fldCharType="end"/>
      </w:r>
    </w:p>
    <w:p w14:paraId="73A429DC" w14:textId="77777777" w:rsidR="00887216" w:rsidRDefault="00887216">
      <w:pPr>
        <w:pStyle w:val="TOC3"/>
        <w:rPr>
          <w:rFonts w:asciiTheme="minorHAnsi" w:eastAsiaTheme="minorEastAsia" w:hAnsiTheme="minorHAnsi" w:cstheme="minorBidi"/>
          <w:noProof/>
          <w:sz w:val="22"/>
          <w:lang w:eastAsia="en-GB"/>
        </w:rPr>
      </w:pPr>
      <w:r>
        <w:rPr>
          <w:noProof/>
        </w:rPr>
        <w:t>Figure 26.</w:t>
      </w:r>
      <w:r w:rsidRPr="005F1637">
        <w:rPr>
          <w:rFonts w:cs="Arial"/>
          <w:noProof/>
        </w:rPr>
        <w:t xml:space="preserve"> Sectoral DVA embodied in exports as a share of sectoral gross exports, 2000 and 2011</w:t>
      </w:r>
      <w:r>
        <w:rPr>
          <w:noProof/>
        </w:rPr>
        <w:t>, Yemen</w:t>
      </w:r>
      <w:r>
        <w:rPr>
          <w:noProof/>
        </w:rPr>
        <w:tab/>
      </w:r>
      <w:r>
        <w:rPr>
          <w:noProof/>
        </w:rPr>
        <w:fldChar w:fldCharType="begin"/>
      </w:r>
      <w:r>
        <w:rPr>
          <w:noProof/>
        </w:rPr>
        <w:instrText xml:space="preserve"> PAGEREF _Toc428448521 \h </w:instrText>
      </w:r>
      <w:r>
        <w:rPr>
          <w:noProof/>
        </w:rPr>
      </w:r>
      <w:r>
        <w:rPr>
          <w:noProof/>
        </w:rPr>
        <w:fldChar w:fldCharType="separate"/>
      </w:r>
      <w:r>
        <w:rPr>
          <w:noProof/>
        </w:rPr>
        <w:t>21</w:t>
      </w:r>
      <w:r>
        <w:rPr>
          <w:noProof/>
        </w:rPr>
        <w:fldChar w:fldCharType="end"/>
      </w:r>
    </w:p>
    <w:p w14:paraId="7BE6DD32" w14:textId="77777777" w:rsidR="00887216" w:rsidRDefault="00887216">
      <w:pPr>
        <w:pStyle w:val="TOC3"/>
        <w:rPr>
          <w:rFonts w:asciiTheme="minorHAnsi" w:eastAsiaTheme="minorEastAsia" w:hAnsiTheme="minorHAnsi" w:cstheme="minorBidi"/>
          <w:noProof/>
          <w:sz w:val="22"/>
          <w:lang w:eastAsia="en-GB"/>
        </w:rPr>
      </w:pPr>
      <w:r>
        <w:rPr>
          <w:noProof/>
        </w:rPr>
        <w:t>Figure 27.</w:t>
      </w:r>
      <w:r w:rsidRPr="005F1637">
        <w:rPr>
          <w:rFonts w:cs="Arial"/>
          <w:noProof/>
        </w:rPr>
        <w:t xml:space="preserve"> Sectoral DVA as a share of total DVA, 2000 and 2011</w:t>
      </w:r>
      <w:r>
        <w:rPr>
          <w:noProof/>
        </w:rPr>
        <w:t>, Yemen</w:t>
      </w:r>
      <w:r>
        <w:rPr>
          <w:noProof/>
        </w:rPr>
        <w:tab/>
      </w:r>
      <w:r>
        <w:rPr>
          <w:noProof/>
        </w:rPr>
        <w:fldChar w:fldCharType="begin"/>
      </w:r>
      <w:r>
        <w:rPr>
          <w:noProof/>
        </w:rPr>
        <w:instrText xml:space="preserve"> PAGEREF _Toc428448522 \h </w:instrText>
      </w:r>
      <w:r>
        <w:rPr>
          <w:noProof/>
        </w:rPr>
      </w:r>
      <w:r>
        <w:rPr>
          <w:noProof/>
        </w:rPr>
        <w:fldChar w:fldCharType="separate"/>
      </w:r>
      <w:r>
        <w:rPr>
          <w:noProof/>
        </w:rPr>
        <w:t>22</w:t>
      </w:r>
      <w:r>
        <w:rPr>
          <w:noProof/>
        </w:rPr>
        <w:fldChar w:fldCharType="end"/>
      </w:r>
    </w:p>
    <w:p w14:paraId="62C0C62A" w14:textId="77777777" w:rsidR="00887216" w:rsidRDefault="00887216">
      <w:pPr>
        <w:pStyle w:val="TOC3"/>
        <w:rPr>
          <w:rFonts w:asciiTheme="minorHAnsi" w:eastAsiaTheme="minorEastAsia" w:hAnsiTheme="minorHAnsi" w:cstheme="minorBidi"/>
          <w:noProof/>
          <w:sz w:val="22"/>
          <w:lang w:eastAsia="en-GB"/>
        </w:rPr>
      </w:pPr>
      <w:r w:rsidRPr="005F1637">
        <w:rPr>
          <w:rFonts w:cs="Arial"/>
          <w:noProof/>
        </w:rPr>
        <w:t>Figure 28. Compound annual growth rate of FVA embodied in gross exports by sector, 1996-2011 and 2006-2011</w:t>
      </w:r>
      <w:r>
        <w:rPr>
          <w:noProof/>
        </w:rPr>
        <w:t>, Yemen</w:t>
      </w:r>
      <w:r>
        <w:rPr>
          <w:noProof/>
        </w:rPr>
        <w:tab/>
      </w:r>
      <w:r>
        <w:rPr>
          <w:noProof/>
        </w:rPr>
        <w:fldChar w:fldCharType="begin"/>
      </w:r>
      <w:r>
        <w:rPr>
          <w:noProof/>
        </w:rPr>
        <w:instrText xml:space="preserve"> PAGEREF _Toc428448523 \h </w:instrText>
      </w:r>
      <w:r>
        <w:rPr>
          <w:noProof/>
        </w:rPr>
      </w:r>
      <w:r>
        <w:rPr>
          <w:noProof/>
        </w:rPr>
        <w:fldChar w:fldCharType="separate"/>
      </w:r>
      <w:r>
        <w:rPr>
          <w:noProof/>
        </w:rPr>
        <w:t>23</w:t>
      </w:r>
      <w:r>
        <w:rPr>
          <w:noProof/>
        </w:rPr>
        <w:fldChar w:fldCharType="end"/>
      </w:r>
    </w:p>
    <w:p w14:paraId="187F34F8" w14:textId="77777777" w:rsidR="00887216" w:rsidRDefault="00887216">
      <w:pPr>
        <w:pStyle w:val="TOC3"/>
        <w:rPr>
          <w:rFonts w:asciiTheme="minorHAnsi" w:eastAsiaTheme="minorEastAsia" w:hAnsiTheme="minorHAnsi" w:cstheme="minorBidi"/>
          <w:noProof/>
          <w:sz w:val="22"/>
          <w:lang w:eastAsia="en-GB"/>
        </w:rPr>
      </w:pPr>
      <w:r>
        <w:rPr>
          <w:noProof/>
        </w:rPr>
        <w:t>Figure 29.</w:t>
      </w:r>
      <w:r w:rsidRPr="005F1637">
        <w:rPr>
          <w:rFonts w:cs="Arial"/>
          <w:noProof/>
        </w:rPr>
        <w:t xml:space="preserve"> Sectoral FVA embodied in exports as a share of sectoral gross exports, 2000 and 2011</w:t>
      </w:r>
      <w:r>
        <w:rPr>
          <w:noProof/>
        </w:rPr>
        <w:t>, Yemen</w:t>
      </w:r>
      <w:r>
        <w:rPr>
          <w:noProof/>
        </w:rPr>
        <w:tab/>
      </w:r>
      <w:r>
        <w:rPr>
          <w:noProof/>
        </w:rPr>
        <w:fldChar w:fldCharType="begin"/>
      </w:r>
      <w:r>
        <w:rPr>
          <w:noProof/>
        </w:rPr>
        <w:instrText xml:space="preserve"> PAGEREF _Toc428448524 \h </w:instrText>
      </w:r>
      <w:r>
        <w:rPr>
          <w:noProof/>
        </w:rPr>
      </w:r>
      <w:r>
        <w:rPr>
          <w:noProof/>
        </w:rPr>
        <w:fldChar w:fldCharType="separate"/>
      </w:r>
      <w:r>
        <w:rPr>
          <w:noProof/>
        </w:rPr>
        <w:t>23</w:t>
      </w:r>
      <w:r>
        <w:rPr>
          <w:noProof/>
        </w:rPr>
        <w:fldChar w:fldCharType="end"/>
      </w:r>
    </w:p>
    <w:p w14:paraId="631FBD4C" w14:textId="77777777" w:rsidR="00887216" w:rsidRDefault="00887216">
      <w:pPr>
        <w:pStyle w:val="TOC3"/>
        <w:rPr>
          <w:rFonts w:asciiTheme="minorHAnsi" w:eastAsiaTheme="minorEastAsia" w:hAnsiTheme="minorHAnsi" w:cstheme="minorBidi"/>
          <w:noProof/>
          <w:sz w:val="22"/>
          <w:lang w:eastAsia="en-GB"/>
        </w:rPr>
      </w:pPr>
      <w:r>
        <w:rPr>
          <w:noProof/>
        </w:rPr>
        <w:t>Figure 30.</w:t>
      </w:r>
      <w:r w:rsidRPr="005F1637">
        <w:rPr>
          <w:rFonts w:cs="Arial"/>
          <w:noProof/>
        </w:rPr>
        <w:t xml:space="preserve"> Sectoral FVA as a share of total FVA, 2000 and 2011</w:t>
      </w:r>
      <w:r>
        <w:rPr>
          <w:noProof/>
        </w:rPr>
        <w:t>, Yemen</w:t>
      </w:r>
      <w:r>
        <w:rPr>
          <w:noProof/>
        </w:rPr>
        <w:tab/>
      </w:r>
      <w:r>
        <w:rPr>
          <w:noProof/>
        </w:rPr>
        <w:fldChar w:fldCharType="begin"/>
      </w:r>
      <w:r>
        <w:rPr>
          <w:noProof/>
        </w:rPr>
        <w:instrText xml:space="preserve"> PAGEREF _Toc428448525 \h </w:instrText>
      </w:r>
      <w:r>
        <w:rPr>
          <w:noProof/>
        </w:rPr>
      </w:r>
      <w:r>
        <w:rPr>
          <w:noProof/>
        </w:rPr>
        <w:fldChar w:fldCharType="separate"/>
      </w:r>
      <w:r>
        <w:rPr>
          <w:noProof/>
        </w:rPr>
        <w:t>24</w:t>
      </w:r>
      <w:r>
        <w:rPr>
          <w:noProof/>
        </w:rPr>
        <w:fldChar w:fldCharType="end"/>
      </w:r>
    </w:p>
    <w:p w14:paraId="53ADF715" w14:textId="77777777" w:rsidR="00887216" w:rsidRDefault="00887216">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_Toc428448526 \h </w:instrText>
      </w:r>
      <w:r>
        <w:rPr>
          <w:noProof/>
        </w:rPr>
      </w:r>
      <w:r>
        <w:rPr>
          <w:noProof/>
        </w:rPr>
        <w:fldChar w:fldCharType="separate"/>
      </w:r>
      <w:r>
        <w:rPr>
          <w:noProof/>
        </w:rPr>
        <w:t>25</w:t>
      </w:r>
      <w:r>
        <w:rPr>
          <w:noProof/>
        </w:rPr>
        <w:fldChar w:fldCharType="end"/>
      </w:r>
    </w:p>
    <w:p w14:paraId="53ECBEBD" w14:textId="77777777" w:rsidR="00887216" w:rsidRDefault="00887216">
      <w:pPr>
        <w:pStyle w:val="TOC3"/>
        <w:rPr>
          <w:rFonts w:asciiTheme="minorHAnsi" w:eastAsiaTheme="minorEastAsia" w:hAnsiTheme="minorHAnsi" w:cstheme="minorBidi"/>
          <w:noProof/>
          <w:sz w:val="22"/>
          <w:lang w:eastAsia="en-GB"/>
        </w:rPr>
      </w:pPr>
      <w:r>
        <w:rPr>
          <w:noProof/>
        </w:rPr>
        <w:t>Figure 31. Exports of goods and services, Yemen</w:t>
      </w:r>
      <w:r>
        <w:rPr>
          <w:noProof/>
        </w:rPr>
        <w:tab/>
      </w:r>
      <w:r>
        <w:rPr>
          <w:noProof/>
        </w:rPr>
        <w:fldChar w:fldCharType="begin"/>
      </w:r>
      <w:r>
        <w:rPr>
          <w:noProof/>
        </w:rPr>
        <w:instrText xml:space="preserve"> PAGEREF _Toc428448527 \h </w:instrText>
      </w:r>
      <w:r>
        <w:rPr>
          <w:noProof/>
        </w:rPr>
      </w:r>
      <w:r>
        <w:rPr>
          <w:noProof/>
        </w:rPr>
        <w:fldChar w:fldCharType="separate"/>
      </w:r>
      <w:r>
        <w:rPr>
          <w:noProof/>
        </w:rPr>
        <w:t>25</w:t>
      </w:r>
      <w:r>
        <w:rPr>
          <w:noProof/>
        </w:rPr>
        <w:fldChar w:fldCharType="end"/>
      </w:r>
    </w:p>
    <w:p w14:paraId="3C5E37E5" w14:textId="77777777" w:rsidR="00887216" w:rsidRDefault="00887216">
      <w:pPr>
        <w:pStyle w:val="TOC3"/>
        <w:rPr>
          <w:rFonts w:asciiTheme="minorHAnsi" w:eastAsiaTheme="minorEastAsia" w:hAnsiTheme="minorHAnsi" w:cstheme="minorBidi"/>
          <w:noProof/>
          <w:sz w:val="22"/>
          <w:lang w:eastAsia="en-GB"/>
        </w:rPr>
      </w:pPr>
      <w:r>
        <w:rPr>
          <w:noProof/>
        </w:rPr>
        <w:t>Figure 32. Sectoral shares of services exports, Yemen</w:t>
      </w:r>
      <w:r>
        <w:rPr>
          <w:noProof/>
        </w:rPr>
        <w:tab/>
      </w:r>
      <w:r>
        <w:rPr>
          <w:noProof/>
        </w:rPr>
        <w:fldChar w:fldCharType="begin"/>
      </w:r>
      <w:r>
        <w:rPr>
          <w:noProof/>
        </w:rPr>
        <w:instrText xml:space="preserve"> PAGEREF _Toc428448528 \h </w:instrText>
      </w:r>
      <w:r>
        <w:rPr>
          <w:noProof/>
        </w:rPr>
      </w:r>
      <w:r>
        <w:rPr>
          <w:noProof/>
        </w:rPr>
        <w:fldChar w:fldCharType="separate"/>
      </w:r>
      <w:r>
        <w:rPr>
          <w:noProof/>
        </w:rPr>
        <w:t>25</w:t>
      </w:r>
      <w:r>
        <w:rPr>
          <w:noProof/>
        </w:rPr>
        <w:fldChar w:fldCharType="end"/>
      </w:r>
    </w:p>
    <w:p w14:paraId="059320DD" w14:textId="77777777" w:rsidR="00887216" w:rsidRDefault="00887216">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_Toc428448529 \h </w:instrText>
      </w:r>
      <w:r>
        <w:rPr>
          <w:noProof/>
        </w:rPr>
      </w:r>
      <w:r>
        <w:rPr>
          <w:noProof/>
        </w:rPr>
        <w:fldChar w:fldCharType="separate"/>
      </w:r>
      <w:r>
        <w:rPr>
          <w:noProof/>
        </w:rPr>
        <w:t>26</w:t>
      </w:r>
      <w:r>
        <w:rPr>
          <w:noProof/>
        </w:rPr>
        <w:fldChar w:fldCharType="end"/>
      </w:r>
    </w:p>
    <w:p w14:paraId="78607B80" w14:textId="77777777" w:rsidR="00887216" w:rsidRDefault="00887216">
      <w:pPr>
        <w:pStyle w:val="TOC3"/>
        <w:rPr>
          <w:rFonts w:asciiTheme="minorHAnsi" w:eastAsiaTheme="minorEastAsia" w:hAnsiTheme="minorHAnsi" w:cstheme="minorBidi"/>
          <w:noProof/>
          <w:sz w:val="22"/>
          <w:lang w:eastAsia="en-GB"/>
        </w:rPr>
      </w:pPr>
      <w:r>
        <w:rPr>
          <w:noProof/>
        </w:rPr>
        <w:t>Figure 33. Dispersion in productivity across firms by sector – Yemen</w:t>
      </w:r>
      <w:r>
        <w:rPr>
          <w:noProof/>
        </w:rPr>
        <w:tab/>
      </w:r>
      <w:r>
        <w:rPr>
          <w:noProof/>
        </w:rPr>
        <w:fldChar w:fldCharType="begin"/>
      </w:r>
      <w:r>
        <w:rPr>
          <w:noProof/>
        </w:rPr>
        <w:instrText xml:space="preserve"> PAGEREF _Toc428448530 \h </w:instrText>
      </w:r>
      <w:r>
        <w:rPr>
          <w:noProof/>
        </w:rPr>
      </w:r>
      <w:r>
        <w:rPr>
          <w:noProof/>
        </w:rPr>
        <w:fldChar w:fldCharType="separate"/>
      </w:r>
      <w:r>
        <w:rPr>
          <w:noProof/>
        </w:rPr>
        <w:t>26</w:t>
      </w:r>
      <w:r>
        <w:rPr>
          <w:noProof/>
        </w:rPr>
        <w:fldChar w:fldCharType="end"/>
      </w:r>
    </w:p>
    <w:p w14:paraId="286EC6B3" w14:textId="77777777" w:rsidR="00887216" w:rsidRDefault="00887216">
      <w:pPr>
        <w:pStyle w:val="TOC3"/>
        <w:rPr>
          <w:rFonts w:asciiTheme="minorHAnsi" w:eastAsiaTheme="minorEastAsia" w:hAnsiTheme="minorHAnsi" w:cstheme="minorBidi"/>
          <w:noProof/>
          <w:sz w:val="22"/>
          <w:lang w:eastAsia="en-GB"/>
        </w:rPr>
      </w:pPr>
      <w:r>
        <w:rPr>
          <w:noProof/>
        </w:rPr>
        <w:t>Figure 34. Distribution in productivity in Yemen – comparing kernel and normal distributions</w:t>
      </w:r>
      <w:r>
        <w:rPr>
          <w:noProof/>
        </w:rPr>
        <w:tab/>
      </w:r>
      <w:r>
        <w:rPr>
          <w:noProof/>
        </w:rPr>
        <w:fldChar w:fldCharType="begin"/>
      </w:r>
      <w:r>
        <w:rPr>
          <w:noProof/>
        </w:rPr>
        <w:instrText xml:space="preserve"> PAGEREF _Toc428448531 \h </w:instrText>
      </w:r>
      <w:r>
        <w:rPr>
          <w:noProof/>
        </w:rPr>
      </w:r>
      <w:r>
        <w:rPr>
          <w:noProof/>
        </w:rPr>
        <w:fldChar w:fldCharType="separate"/>
      </w:r>
      <w:r>
        <w:rPr>
          <w:noProof/>
        </w:rPr>
        <w:t>27</w:t>
      </w:r>
      <w:r>
        <w:rPr>
          <w:noProof/>
        </w:rPr>
        <w:fldChar w:fldCharType="end"/>
      </w:r>
    </w:p>
    <w:p w14:paraId="29E45A3F" w14:textId="77777777" w:rsidR="00F515DA" w:rsidRPr="008607CD" w:rsidRDefault="00F3387B">
      <w:pPr>
        <w:rPr>
          <w:rFonts w:ascii="Arial" w:hAnsi="Arial" w:cs="Arial"/>
        </w:rPr>
      </w:pPr>
      <w:r w:rsidRPr="008607CD">
        <w:rPr>
          <w:rFonts w:ascii="Arial" w:hAnsi="Arial" w:cs="Arial"/>
          <w:b/>
          <w:color w:val="006C67" w:themeColor="accent1"/>
        </w:rPr>
        <w:fldChar w:fldCharType="end"/>
      </w:r>
    </w:p>
    <w:p w14:paraId="29E45A40"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29E45A41" w14:textId="77777777" w:rsidR="001228CD" w:rsidRDefault="00B12AEC" w:rsidP="00B12AEC">
      <w:pPr>
        <w:pStyle w:val="Heading1"/>
      </w:pPr>
      <w:bookmarkStart w:id="1" w:name="Start"/>
      <w:bookmarkStart w:id="2" w:name="_Toc428448486"/>
      <w:bookmarkStart w:id="3" w:name="_Toc404327254"/>
      <w:bookmarkStart w:id="4" w:name="_Toc404327348"/>
      <w:bookmarkStart w:id="5" w:name="_Toc404327524"/>
      <w:bookmarkStart w:id="6" w:name="_Toc404327736"/>
      <w:bookmarkEnd w:id="1"/>
      <w:r>
        <w:lastRenderedPageBreak/>
        <w:t>Economic structure</w:t>
      </w:r>
      <w:r w:rsidR="004565AC">
        <w:t>s</w:t>
      </w:r>
      <w:bookmarkEnd w:id="2"/>
    </w:p>
    <w:p w14:paraId="29E45A42" w14:textId="77777777" w:rsidR="009B346D" w:rsidRDefault="009B346D" w:rsidP="009B346D">
      <w:pPr>
        <w:pStyle w:val="TableHeading"/>
      </w:pPr>
      <w:bookmarkStart w:id="7" w:name="_Toc408471230"/>
      <w:bookmarkStart w:id="8" w:name="_Toc428448487"/>
      <w:bookmarkStart w:id="9" w:name="_Toc408401694"/>
      <w:r>
        <w:t xml:space="preserve">Value added (% of GDP), </w:t>
      </w:r>
      <w:bookmarkEnd w:id="7"/>
      <w:r>
        <w:t>Yemen</w:t>
      </w:r>
      <w:bookmarkEnd w:id="8"/>
    </w:p>
    <w:tbl>
      <w:tblPr>
        <w:tblW w:w="7129" w:type="dxa"/>
        <w:tblInd w:w="115" w:type="dxa"/>
        <w:tblBorders>
          <w:bottom w:val="single" w:sz="4" w:space="0" w:color="auto"/>
          <w:insideH w:val="single" w:sz="4" w:space="0" w:color="auto"/>
        </w:tblBorders>
        <w:tblLayout w:type="fixed"/>
        <w:tblCellMar>
          <w:top w:w="14" w:type="dxa"/>
          <w:left w:w="115" w:type="dxa"/>
          <w:bottom w:w="14" w:type="dxa"/>
          <w:right w:w="115" w:type="dxa"/>
        </w:tblCellMar>
        <w:tblLook w:val="04A0" w:firstRow="1" w:lastRow="0" w:firstColumn="1" w:lastColumn="0" w:noHBand="0" w:noVBand="1"/>
      </w:tblPr>
      <w:tblGrid>
        <w:gridCol w:w="2514"/>
        <w:gridCol w:w="1150"/>
        <w:gridCol w:w="1150"/>
        <w:gridCol w:w="1150"/>
        <w:gridCol w:w="1146"/>
        <w:gridCol w:w="19"/>
      </w:tblGrid>
      <w:tr w:rsidR="009B346D" w:rsidRPr="00656266" w14:paraId="29E45A48" w14:textId="77777777" w:rsidTr="008607CD">
        <w:trPr>
          <w:gridAfter w:val="1"/>
          <w:wAfter w:w="19" w:type="dxa"/>
          <w:trHeight w:val="240"/>
        </w:trPr>
        <w:tc>
          <w:tcPr>
            <w:tcW w:w="2514" w:type="dxa"/>
            <w:shd w:val="clear" w:color="auto" w:fill="E0E0E0" w:themeFill="accent4"/>
            <w:noWrap/>
            <w:vAlign w:val="bottom"/>
            <w:hideMark/>
          </w:tcPr>
          <w:p w14:paraId="29E45A43" w14:textId="77777777" w:rsidR="009B346D" w:rsidRPr="00656266" w:rsidRDefault="009B346D" w:rsidP="00417AEB">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 </w:t>
            </w:r>
          </w:p>
        </w:tc>
        <w:tc>
          <w:tcPr>
            <w:tcW w:w="1150" w:type="dxa"/>
            <w:shd w:val="clear" w:color="auto" w:fill="E0E0E0" w:themeFill="accent4"/>
            <w:noWrap/>
          </w:tcPr>
          <w:p w14:paraId="29E45A44" w14:textId="77777777" w:rsidR="009B346D" w:rsidRPr="00656266" w:rsidRDefault="009B346D" w:rsidP="00417AEB">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1991</w:t>
            </w:r>
          </w:p>
        </w:tc>
        <w:tc>
          <w:tcPr>
            <w:tcW w:w="1150" w:type="dxa"/>
            <w:shd w:val="clear" w:color="auto" w:fill="E0E0E0" w:themeFill="accent4"/>
            <w:noWrap/>
          </w:tcPr>
          <w:p w14:paraId="29E45A45" w14:textId="77777777" w:rsidR="009B346D" w:rsidRPr="00656266" w:rsidRDefault="009B346D" w:rsidP="00417AEB">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2000</w:t>
            </w:r>
          </w:p>
        </w:tc>
        <w:tc>
          <w:tcPr>
            <w:tcW w:w="1150" w:type="dxa"/>
            <w:shd w:val="clear" w:color="auto" w:fill="E0E0E0" w:themeFill="accent4"/>
            <w:noWrap/>
          </w:tcPr>
          <w:p w14:paraId="29E45A46" w14:textId="77777777" w:rsidR="009B346D" w:rsidRPr="00656266" w:rsidRDefault="009B346D" w:rsidP="009B346D">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2003</w:t>
            </w:r>
          </w:p>
        </w:tc>
        <w:tc>
          <w:tcPr>
            <w:tcW w:w="1146" w:type="dxa"/>
            <w:shd w:val="clear" w:color="auto" w:fill="E0E0E0" w:themeFill="accent4"/>
            <w:noWrap/>
          </w:tcPr>
          <w:p w14:paraId="29E45A47" w14:textId="77777777" w:rsidR="009B346D" w:rsidRPr="00656266" w:rsidRDefault="009B346D" w:rsidP="00417AEB">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2006</w:t>
            </w:r>
          </w:p>
        </w:tc>
      </w:tr>
      <w:tr w:rsidR="009B346D" w:rsidRPr="00656266" w14:paraId="29E45A4E" w14:textId="77777777" w:rsidTr="008607CD">
        <w:trPr>
          <w:trHeight w:val="240"/>
        </w:trPr>
        <w:tc>
          <w:tcPr>
            <w:tcW w:w="2514" w:type="dxa"/>
            <w:shd w:val="clear" w:color="auto" w:fill="auto"/>
            <w:noWrap/>
            <w:tcMar>
              <w:left w:w="0" w:type="dxa"/>
              <w:right w:w="115" w:type="dxa"/>
            </w:tcMar>
            <w:vAlign w:val="bottom"/>
            <w:hideMark/>
          </w:tcPr>
          <w:p w14:paraId="29E45A49" w14:textId="77777777" w:rsidR="009B346D" w:rsidRPr="00656266" w:rsidRDefault="009B346D" w:rsidP="00417AEB">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Agriculture</w:t>
            </w:r>
            <w:r w:rsidR="008607CD">
              <w:rPr>
                <w:rFonts w:asciiTheme="majorHAnsi" w:hAnsiTheme="majorHAnsi" w:cstheme="majorHAnsi"/>
                <w:color w:val="000000"/>
                <w:szCs w:val="17"/>
                <w:vertAlign w:val="superscript"/>
                <w:lang w:eastAsia="en-GB"/>
              </w:rPr>
              <w:t xml:space="preserve"> a</w:t>
            </w:r>
          </w:p>
        </w:tc>
        <w:tc>
          <w:tcPr>
            <w:tcW w:w="1150" w:type="dxa"/>
            <w:shd w:val="clear" w:color="auto" w:fill="auto"/>
            <w:noWrap/>
            <w:tcMar>
              <w:left w:w="115" w:type="dxa"/>
              <w:right w:w="216" w:type="dxa"/>
            </w:tcMar>
            <w:vAlign w:val="bottom"/>
            <w:hideMark/>
          </w:tcPr>
          <w:p w14:paraId="29E45A4A"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23.1</w:t>
            </w:r>
          </w:p>
        </w:tc>
        <w:tc>
          <w:tcPr>
            <w:tcW w:w="1150" w:type="dxa"/>
            <w:shd w:val="clear" w:color="auto" w:fill="auto"/>
            <w:noWrap/>
            <w:tcMar>
              <w:left w:w="115" w:type="dxa"/>
              <w:right w:w="216" w:type="dxa"/>
            </w:tcMar>
            <w:vAlign w:val="bottom"/>
            <w:hideMark/>
          </w:tcPr>
          <w:p w14:paraId="29E45A4B"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13.8</w:t>
            </w:r>
          </w:p>
        </w:tc>
        <w:tc>
          <w:tcPr>
            <w:tcW w:w="1150" w:type="dxa"/>
            <w:shd w:val="clear" w:color="auto" w:fill="auto"/>
            <w:noWrap/>
            <w:tcMar>
              <w:left w:w="115" w:type="dxa"/>
              <w:right w:w="216" w:type="dxa"/>
            </w:tcMar>
            <w:vAlign w:val="bottom"/>
            <w:hideMark/>
          </w:tcPr>
          <w:p w14:paraId="29E45A4C"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12.9</w:t>
            </w:r>
          </w:p>
        </w:tc>
        <w:tc>
          <w:tcPr>
            <w:tcW w:w="1165" w:type="dxa"/>
            <w:gridSpan w:val="2"/>
            <w:shd w:val="clear" w:color="auto" w:fill="auto"/>
            <w:noWrap/>
            <w:tcMar>
              <w:left w:w="115" w:type="dxa"/>
              <w:right w:w="216" w:type="dxa"/>
            </w:tcMar>
            <w:vAlign w:val="bottom"/>
            <w:hideMark/>
          </w:tcPr>
          <w:p w14:paraId="29E45A4D"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10.1</w:t>
            </w:r>
          </w:p>
        </w:tc>
      </w:tr>
      <w:tr w:rsidR="009B346D" w:rsidRPr="00656266" w14:paraId="29E45A54" w14:textId="77777777" w:rsidTr="008607CD">
        <w:trPr>
          <w:trHeight w:val="240"/>
        </w:trPr>
        <w:tc>
          <w:tcPr>
            <w:tcW w:w="2514" w:type="dxa"/>
            <w:shd w:val="clear" w:color="auto" w:fill="auto"/>
            <w:noWrap/>
            <w:tcMar>
              <w:left w:w="0" w:type="dxa"/>
              <w:right w:w="115" w:type="dxa"/>
            </w:tcMar>
            <w:vAlign w:val="bottom"/>
            <w:hideMark/>
          </w:tcPr>
          <w:p w14:paraId="29E45A4F" w14:textId="77777777" w:rsidR="009B346D" w:rsidRPr="00656266" w:rsidRDefault="009B346D" w:rsidP="00417AEB">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Industry</w:t>
            </w:r>
            <w:r w:rsidR="008607CD">
              <w:rPr>
                <w:rFonts w:asciiTheme="majorHAnsi" w:hAnsiTheme="majorHAnsi" w:cstheme="majorHAnsi"/>
                <w:color w:val="000000"/>
                <w:szCs w:val="17"/>
                <w:vertAlign w:val="superscript"/>
                <w:lang w:eastAsia="en-GB"/>
              </w:rPr>
              <w:t xml:space="preserve"> b</w:t>
            </w:r>
          </w:p>
        </w:tc>
        <w:tc>
          <w:tcPr>
            <w:tcW w:w="1150" w:type="dxa"/>
            <w:shd w:val="clear" w:color="auto" w:fill="auto"/>
            <w:noWrap/>
            <w:tcMar>
              <w:left w:w="115" w:type="dxa"/>
              <w:right w:w="216" w:type="dxa"/>
            </w:tcMar>
            <w:vAlign w:val="bottom"/>
            <w:hideMark/>
          </w:tcPr>
          <w:p w14:paraId="29E45A50"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30.7</w:t>
            </w:r>
          </w:p>
        </w:tc>
        <w:tc>
          <w:tcPr>
            <w:tcW w:w="1150" w:type="dxa"/>
            <w:shd w:val="clear" w:color="auto" w:fill="auto"/>
            <w:noWrap/>
            <w:tcMar>
              <w:left w:w="115" w:type="dxa"/>
              <w:right w:w="216" w:type="dxa"/>
            </w:tcMar>
            <w:vAlign w:val="bottom"/>
            <w:hideMark/>
          </w:tcPr>
          <w:p w14:paraId="29E45A51"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46.4</w:t>
            </w:r>
          </w:p>
        </w:tc>
        <w:tc>
          <w:tcPr>
            <w:tcW w:w="1150" w:type="dxa"/>
            <w:shd w:val="clear" w:color="auto" w:fill="auto"/>
            <w:noWrap/>
            <w:tcMar>
              <w:left w:w="115" w:type="dxa"/>
              <w:right w:w="216" w:type="dxa"/>
            </w:tcMar>
            <w:vAlign w:val="bottom"/>
            <w:hideMark/>
          </w:tcPr>
          <w:p w14:paraId="29E45A52"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43.0</w:t>
            </w:r>
          </w:p>
        </w:tc>
        <w:tc>
          <w:tcPr>
            <w:tcW w:w="1165" w:type="dxa"/>
            <w:gridSpan w:val="2"/>
            <w:shd w:val="clear" w:color="auto" w:fill="auto"/>
            <w:noWrap/>
            <w:tcMar>
              <w:left w:w="115" w:type="dxa"/>
              <w:right w:w="216" w:type="dxa"/>
            </w:tcMar>
            <w:vAlign w:val="bottom"/>
            <w:hideMark/>
          </w:tcPr>
          <w:p w14:paraId="29E45A53"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49.2</w:t>
            </w:r>
          </w:p>
        </w:tc>
      </w:tr>
      <w:tr w:rsidR="008607CD" w:rsidRPr="008607CD" w14:paraId="29E45A5A" w14:textId="77777777" w:rsidTr="008607CD">
        <w:trPr>
          <w:trHeight w:val="240"/>
        </w:trPr>
        <w:tc>
          <w:tcPr>
            <w:tcW w:w="2514" w:type="dxa"/>
            <w:shd w:val="clear" w:color="auto" w:fill="auto"/>
            <w:noWrap/>
            <w:tcMar>
              <w:left w:w="0" w:type="dxa"/>
              <w:right w:w="115" w:type="dxa"/>
            </w:tcMar>
            <w:vAlign w:val="bottom"/>
          </w:tcPr>
          <w:p w14:paraId="29E45A55" w14:textId="77777777" w:rsidR="008607CD" w:rsidRPr="008607CD" w:rsidRDefault="008607CD" w:rsidP="00417AEB">
            <w:pPr>
              <w:rPr>
                <w:rFonts w:asciiTheme="majorHAnsi" w:eastAsia="Times New Roman" w:hAnsiTheme="majorHAnsi" w:cstheme="majorHAnsi"/>
                <w:i/>
                <w:color w:val="000000"/>
                <w:sz w:val="17"/>
                <w:szCs w:val="17"/>
                <w:lang w:eastAsia="en-GB"/>
              </w:rPr>
            </w:pPr>
            <w:r w:rsidRPr="008607CD">
              <w:rPr>
                <w:rFonts w:asciiTheme="majorHAnsi" w:eastAsia="Times New Roman" w:hAnsiTheme="majorHAnsi" w:cstheme="majorHAnsi"/>
                <w:i/>
                <w:color w:val="000000"/>
                <w:sz w:val="17"/>
                <w:szCs w:val="17"/>
                <w:lang w:eastAsia="en-GB"/>
              </w:rPr>
              <w:t>Of which: Manufacturing</w:t>
            </w:r>
          </w:p>
        </w:tc>
        <w:tc>
          <w:tcPr>
            <w:tcW w:w="1150" w:type="dxa"/>
            <w:shd w:val="clear" w:color="auto" w:fill="auto"/>
            <w:noWrap/>
            <w:tcMar>
              <w:left w:w="115" w:type="dxa"/>
              <w:right w:w="216" w:type="dxa"/>
            </w:tcMar>
            <w:vAlign w:val="bottom"/>
          </w:tcPr>
          <w:p w14:paraId="29E45A56" w14:textId="77777777" w:rsidR="008607CD" w:rsidRPr="008607CD" w:rsidRDefault="008607CD" w:rsidP="00417AEB">
            <w:pPr>
              <w:jc w:val="right"/>
              <w:rPr>
                <w:rFonts w:asciiTheme="majorHAnsi" w:eastAsia="Times New Roman" w:hAnsiTheme="majorHAnsi" w:cstheme="majorHAnsi"/>
                <w:i/>
                <w:color w:val="000000"/>
                <w:sz w:val="17"/>
                <w:szCs w:val="17"/>
                <w:lang w:eastAsia="en-GB"/>
              </w:rPr>
            </w:pPr>
            <w:r w:rsidRPr="008607CD">
              <w:rPr>
                <w:rFonts w:asciiTheme="majorHAnsi" w:eastAsia="Times New Roman" w:hAnsiTheme="majorHAnsi" w:cstheme="majorHAnsi"/>
                <w:i/>
                <w:color w:val="000000"/>
                <w:sz w:val="17"/>
                <w:szCs w:val="17"/>
                <w:lang w:eastAsia="en-GB"/>
              </w:rPr>
              <w:t>18.0</w:t>
            </w:r>
          </w:p>
        </w:tc>
        <w:tc>
          <w:tcPr>
            <w:tcW w:w="1150" w:type="dxa"/>
            <w:shd w:val="clear" w:color="auto" w:fill="auto"/>
            <w:noWrap/>
            <w:tcMar>
              <w:left w:w="115" w:type="dxa"/>
              <w:right w:w="216" w:type="dxa"/>
            </w:tcMar>
            <w:vAlign w:val="bottom"/>
          </w:tcPr>
          <w:p w14:paraId="29E45A57" w14:textId="77777777" w:rsidR="008607CD" w:rsidRPr="008607CD" w:rsidRDefault="008607CD" w:rsidP="00417AEB">
            <w:pPr>
              <w:jc w:val="right"/>
              <w:rPr>
                <w:rFonts w:asciiTheme="majorHAnsi" w:eastAsia="Times New Roman" w:hAnsiTheme="majorHAnsi" w:cstheme="majorHAnsi"/>
                <w:i/>
                <w:color w:val="000000"/>
                <w:sz w:val="17"/>
                <w:szCs w:val="17"/>
                <w:lang w:eastAsia="en-GB"/>
              </w:rPr>
            </w:pPr>
            <w:r w:rsidRPr="008607CD">
              <w:rPr>
                <w:rFonts w:asciiTheme="majorHAnsi" w:eastAsia="Times New Roman" w:hAnsiTheme="majorHAnsi" w:cstheme="majorHAnsi"/>
                <w:i/>
                <w:color w:val="000000"/>
                <w:sz w:val="17"/>
                <w:szCs w:val="17"/>
                <w:lang w:eastAsia="en-GB"/>
              </w:rPr>
              <w:t>5.7</w:t>
            </w:r>
          </w:p>
        </w:tc>
        <w:tc>
          <w:tcPr>
            <w:tcW w:w="1150" w:type="dxa"/>
            <w:shd w:val="clear" w:color="auto" w:fill="auto"/>
            <w:noWrap/>
            <w:tcMar>
              <w:left w:w="115" w:type="dxa"/>
              <w:right w:w="216" w:type="dxa"/>
            </w:tcMar>
            <w:vAlign w:val="bottom"/>
          </w:tcPr>
          <w:p w14:paraId="29E45A58" w14:textId="77777777" w:rsidR="008607CD" w:rsidRPr="008607CD" w:rsidRDefault="008607CD" w:rsidP="00417AEB">
            <w:pPr>
              <w:jc w:val="right"/>
              <w:rPr>
                <w:rFonts w:asciiTheme="majorHAnsi" w:eastAsia="Times New Roman" w:hAnsiTheme="majorHAnsi" w:cstheme="majorHAnsi"/>
                <w:i/>
                <w:color w:val="000000"/>
                <w:sz w:val="17"/>
                <w:szCs w:val="17"/>
                <w:lang w:eastAsia="en-GB"/>
              </w:rPr>
            </w:pPr>
            <w:r w:rsidRPr="008607CD">
              <w:rPr>
                <w:rFonts w:asciiTheme="majorHAnsi" w:eastAsia="Times New Roman" w:hAnsiTheme="majorHAnsi" w:cstheme="majorHAnsi"/>
                <w:i/>
                <w:color w:val="000000"/>
                <w:sz w:val="17"/>
                <w:szCs w:val="17"/>
                <w:lang w:eastAsia="en-GB"/>
              </w:rPr>
              <w:t>6.5</w:t>
            </w:r>
          </w:p>
        </w:tc>
        <w:tc>
          <w:tcPr>
            <w:tcW w:w="1165" w:type="dxa"/>
            <w:gridSpan w:val="2"/>
            <w:shd w:val="clear" w:color="auto" w:fill="auto"/>
            <w:noWrap/>
            <w:tcMar>
              <w:left w:w="115" w:type="dxa"/>
              <w:right w:w="216" w:type="dxa"/>
            </w:tcMar>
            <w:vAlign w:val="bottom"/>
          </w:tcPr>
          <w:p w14:paraId="29E45A59" w14:textId="77777777" w:rsidR="008607CD" w:rsidRPr="008607CD" w:rsidRDefault="008607CD" w:rsidP="00417AEB">
            <w:pPr>
              <w:jc w:val="right"/>
              <w:rPr>
                <w:rFonts w:asciiTheme="majorHAnsi" w:eastAsia="Times New Roman" w:hAnsiTheme="majorHAnsi" w:cstheme="majorHAnsi"/>
                <w:i/>
                <w:color w:val="000000"/>
                <w:sz w:val="17"/>
                <w:szCs w:val="17"/>
                <w:lang w:eastAsia="en-GB"/>
              </w:rPr>
            </w:pPr>
            <w:r w:rsidRPr="008607CD">
              <w:rPr>
                <w:rFonts w:asciiTheme="majorHAnsi" w:eastAsia="Times New Roman" w:hAnsiTheme="majorHAnsi" w:cstheme="majorHAnsi"/>
                <w:i/>
                <w:color w:val="000000"/>
                <w:sz w:val="17"/>
                <w:szCs w:val="17"/>
                <w:lang w:eastAsia="en-GB"/>
              </w:rPr>
              <w:t>7.8</w:t>
            </w:r>
          </w:p>
        </w:tc>
      </w:tr>
      <w:tr w:rsidR="009B346D" w:rsidRPr="00656266" w14:paraId="29E45A60" w14:textId="77777777" w:rsidTr="008607CD">
        <w:trPr>
          <w:trHeight w:val="240"/>
        </w:trPr>
        <w:tc>
          <w:tcPr>
            <w:tcW w:w="2514" w:type="dxa"/>
            <w:shd w:val="clear" w:color="auto" w:fill="auto"/>
            <w:noWrap/>
            <w:tcMar>
              <w:left w:w="0" w:type="dxa"/>
              <w:right w:w="115" w:type="dxa"/>
            </w:tcMar>
            <w:vAlign w:val="bottom"/>
            <w:hideMark/>
          </w:tcPr>
          <w:p w14:paraId="29E45A5B" w14:textId="77777777" w:rsidR="009B346D" w:rsidRPr="00656266" w:rsidRDefault="009B346D" w:rsidP="00417AEB">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Services</w:t>
            </w:r>
            <w:r w:rsidR="008607CD">
              <w:rPr>
                <w:rFonts w:asciiTheme="majorHAnsi" w:eastAsia="Times New Roman" w:hAnsiTheme="majorHAnsi" w:cstheme="majorHAnsi"/>
                <w:color w:val="000000"/>
                <w:sz w:val="17"/>
                <w:szCs w:val="17"/>
                <w:vertAlign w:val="superscript"/>
                <w:lang w:eastAsia="en-GB"/>
              </w:rPr>
              <w:t xml:space="preserve"> c</w:t>
            </w:r>
          </w:p>
        </w:tc>
        <w:tc>
          <w:tcPr>
            <w:tcW w:w="1150" w:type="dxa"/>
            <w:shd w:val="clear" w:color="auto" w:fill="auto"/>
            <w:noWrap/>
            <w:tcMar>
              <w:left w:w="115" w:type="dxa"/>
              <w:right w:w="216" w:type="dxa"/>
            </w:tcMar>
            <w:vAlign w:val="bottom"/>
            <w:hideMark/>
          </w:tcPr>
          <w:p w14:paraId="29E45A5C"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46.2</w:t>
            </w:r>
          </w:p>
        </w:tc>
        <w:tc>
          <w:tcPr>
            <w:tcW w:w="1150" w:type="dxa"/>
            <w:shd w:val="clear" w:color="auto" w:fill="auto"/>
            <w:noWrap/>
            <w:tcMar>
              <w:left w:w="115" w:type="dxa"/>
              <w:right w:w="216" w:type="dxa"/>
            </w:tcMar>
            <w:vAlign w:val="bottom"/>
            <w:hideMark/>
          </w:tcPr>
          <w:p w14:paraId="29E45A5D"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39.8</w:t>
            </w:r>
          </w:p>
        </w:tc>
        <w:tc>
          <w:tcPr>
            <w:tcW w:w="1150" w:type="dxa"/>
            <w:shd w:val="clear" w:color="auto" w:fill="auto"/>
            <w:noWrap/>
            <w:tcMar>
              <w:left w:w="115" w:type="dxa"/>
              <w:right w:w="216" w:type="dxa"/>
            </w:tcMar>
            <w:vAlign w:val="bottom"/>
            <w:hideMark/>
          </w:tcPr>
          <w:p w14:paraId="29E45A5E"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44.1</w:t>
            </w:r>
          </w:p>
        </w:tc>
        <w:tc>
          <w:tcPr>
            <w:tcW w:w="1165" w:type="dxa"/>
            <w:gridSpan w:val="2"/>
            <w:shd w:val="clear" w:color="auto" w:fill="auto"/>
            <w:noWrap/>
            <w:tcMar>
              <w:left w:w="115" w:type="dxa"/>
              <w:right w:w="216" w:type="dxa"/>
            </w:tcMar>
            <w:vAlign w:val="bottom"/>
            <w:hideMark/>
          </w:tcPr>
          <w:p w14:paraId="29E45A5F" w14:textId="77777777" w:rsidR="009B346D" w:rsidRPr="009B346D" w:rsidRDefault="009B346D" w:rsidP="00417AEB">
            <w:pPr>
              <w:jc w:val="right"/>
              <w:rPr>
                <w:rFonts w:asciiTheme="majorHAnsi" w:eastAsia="Times New Roman" w:hAnsiTheme="majorHAnsi" w:cstheme="majorHAnsi"/>
                <w:color w:val="000000"/>
                <w:sz w:val="17"/>
                <w:szCs w:val="17"/>
                <w:lang w:eastAsia="en-GB"/>
              </w:rPr>
            </w:pPr>
            <w:r w:rsidRPr="009B346D">
              <w:rPr>
                <w:rFonts w:asciiTheme="majorHAnsi" w:eastAsia="Times New Roman" w:hAnsiTheme="majorHAnsi" w:cstheme="majorHAnsi"/>
                <w:color w:val="000000"/>
                <w:sz w:val="17"/>
                <w:szCs w:val="17"/>
                <w:lang w:eastAsia="en-GB"/>
              </w:rPr>
              <w:t>40.6</w:t>
            </w:r>
          </w:p>
        </w:tc>
      </w:tr>
      <w:tr w:rsidR="009B346D" w:rsidRPr="00656266" w14:paraId="29E45A66" w14:textId="77777777" w:rsidTr="008607CD">
        <w:trPr>
          <w:trHeight w:val="240"/>
        </w:trPr>
        <w:tc>
          <w:tcPr>
            <w:tcW w:w="2514" w:type="dxa"/>
            <w:shd w:val="clear" w:color="auto" w:fill="auto"/>
            <w:noWrap/>
            <w:tcMar>
              <w:left w:w="0" w:type="dxa"/>
              <w:right w:w="115" w:type="dxa"/>
            </w:tcMar>
            <w:vAlign w:val="bottom"/>
            <w:hideMark/>
          </w:tcPr>
          <w:p w14:paraId="29E45A61" w14:textId="77777777" w:rsidR="009B346D" w:rsidRPr="00656266" w:rsidRDefault="009B346D" w:rsidP="00417AEB">
            <w:pPr>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Total</w:t>
            </w:r>
          </w:p>
        </w:tc>
        <w:tc>
          <w:tcPr>
            <w:tcW w:w="1150" w:type="dxa"/>
            <w:shd w:val="clear" w:color="auto" w:fill="auto"/>
            <w:noWrap/>
            <w:tcMar>
              <w:left w:w="115" w:type="dxa"/>
              <w:right w:w="216" w:type="dxa"/>
            </w:tcMar>
            <w:vAlign w:val="bottom"/>
            <w:hideMark/>
          </w:tcPr>
          <w:p w14:paraId="29E45A62" w14:textId="77777777" w:rsidR="009B346D" w:rsidRPr="009B346D" w:rsidRDefault="009B346D" w:rsidP="00417AEB">
            <w:pPr>
              <w:jc w:val="right"/>
              <w:rPr>
                <w:rFonts w:asciiTheme="majorHAnsi" w:eastAsia="Times New Roman" w:hAnsiTheme="majorHAnsi" w:cstheme="majorHAnsi"/>
                <w:b/>
                <w:bCs/>
                <w:color w:val="000000"/>
                <w:sz w:val="17"/>
                <w:szCs w:val="17"/>
                <w:lang w:eastAsia="en-GB"/>
              </w:rPr>
            </w:pPr>
            <w:r w:rsidRPr="009B346D">
              <w:rPr>
                <w:rFonts w:asciiTheme="majorHAnsi" w:eastAsia="Times New Roman" w:hAnsiTheme="majorHAnsi" w:cstheme="majorHAnsi"/>
                <w:b/>
                <w:bCs/>
                <w:color w:val="000000"/>
                <w:sz w:val="17"/>
                <w:szCs w:val="17"/>
                <w:lang w:eastAsia="en-GB"/>
              </w:rPr>
              <w:t>100.0</w:t>
            </w:r>
          </w:p>
        </w:tc>
        <w:tc>
          <w:tcPr>
            <w:tcW w:w="1150" w:type="dxa"/>
            <w:shd w:val="clear" w:color="auto" w:fill="auto"/>
            <w:noWrap/>
            <w:tcMar>
              <w:left w:w="115" w:type="dxa"/>
              <w:right w:w="216" w:type="dxa"/>
            </w:tcMar>
            <w:vAlign w:val="bottom"/>
            <w:hideMark/>
          </w:tcPr>
          <w:p w14:paraId="29E45A63" w14:textId="77777777" w:rsidR="009B346D" w:rsidRPr="009B346D" w:rsidRDefault="009B346D" w:rsidP="00417AEB">
            <w:pPr>
              <w:jc w:val="right"/>
              <w:rPr>
                <w:rFonts w:asciiTheme="majorHAnsi" w:eastAsia="Times New Roman" w:hAnsiTheme="majorHAnsi" w:cstheme="majorHAnsi"/>
                <w:b/>
                <w:bCs/>
                <w:color w:val="000000"/>
                <w:sz w:val="17"/>
                <w:szCs w:val="17"/>
                <w:lang w:eastAsia="en-GB"/>
              </w:rPr>
            </w:pPr>
            <w:r w:rsidRPr="009B346D">
              <w:rPr>
                <w:rFonts w:asciiTheme="majorHAnsi" w:eastAsia="Times New Roman" w:hAnsiTheme="majorHAnsi" w:cstheme="majorHAnsi"/>
                <w:b/>
                <w:bCs/>
                <w:color w:val="000000"/>
                <w:sz w:val="17"/>
                <w:szCs w:val="17"/>
                <w:lang w:eastAsia="en-GB"/>
              </w:rPr>
              <w:t>100.0</w:t>
            </w:r>
          </w:p>
        </w:tc>
        <w:tc>
          <w:tcPr>
            <w:tcW w:w="1150" w:type="dxa"/>
            <w:shd w:val="clear" w:color="auto" w:fill="auto"/>
            <w:noWrap/>
            <w:tcMar>
              <w:left w:w="115" w:type="dxa"/>
              <w:right w:w="216" w:type="dxa"/>
            </w:tcMar>
            <w:vAlign w:val="bottom"/>
            <w:hideMark/>
          </w:tcPr>
          <w:p w14:paraId="29E45A64" w14:textId="77777777" w:rsidR="009B346D" w:rsidRPr="009B346D" w:rsidRDefault="009B346D" w:rsidP="00417AEB">
            <w:pPr>
              <w:jc w:val="right"/>
              <w:rPr>
                <w:rFonts w:asciiTheme="majorHAnsi" w:eastAsia="Times New Roman" w:hAnsiTheme="majorHAnsi" w:cstheme="majorHAnsi"/>
                <w:b/>
                <w:bCs/>
                <w:color w:val="000000"/>
                <w:sz w:val="17"/>
                <w:szCs w:val="17"/>
                <w:lang w:eastAsia="en-GB"/>
              </w:rPr>
            </w:pPr>
            <w:r w:rsidRPr="009B346D">
              <w:rPr>
                <w:rFonts w:asciiTheme="majorHAnsi" w:eastAsia="Times New Roman" w:hAnsiTheme="majorHAnsi" w:cstheme="majorHAnsi"/>
                <w:b/>
                <w:bCs/>
                <w:color w:val="000000"/>
                <w:sz w:val="17"/>
                <w:szCs w:val="17"/>
                <w:lang w:eastAsia="en-GB"/>
              </w:rPr>
              <w:t>100.0</w:t>
            </w:r>
          </w:p>
        </w:tc>
        <w:tc>
          <w:tcPr>
            <w:tcW w:w="1165" w:type="dxa"/>
            <w:gridSpan w:val="2"/>
            <w:shd w:val="clear" w:color="auto" w:fill="auto"/>
            <w:noWrap/>
            <w:tcMar>
              <w:left w:w="115" w:type="dxa"/>
              <w:right w:w="216" w:type="dxa"/>
            </w:tcMar>
            <w:vAlign w:val="bottom"/>
            <w:hideMark/>
          </w:tcPr>
          <w:p w14:paraId="29E45A65" w14:textId="77777777" w:rsidR="009B346D" w:rsidRPr="009B346D" w:rsidRDefault="009B346D" w:rsidP="00417AEB">
            <w:pPr>
              <w:jc w:val="right"/>
              <w:rPr>
                <w:rFonts w:asciiTheme="majorHAnsi" w:eastAsia="Times New Roman" w:hAnsiTheme="majorHAnsi" w:cstheme="majorHAnsi"/>
                <w:b/>
                <w:bCs/>
                <w:color w:val="000000"/>
                <w:sz w:val="17"/>
                <w:szCs w:val="17"/>
                <w:lang w:eastAsia="en-GB"/>
              </w:rPr>
            </w:pPr>
            <w:r w:rsidRPr="009B346D">
              <w:rPr>
                <w:rFonts w:asciiTheme="majorHAnsi" w:eastAsia="Times New Roman" w:hAnsiTheme="majorHAnsi" w:cstheme="majorHAnsi"/>
                <w:b/>
                <w:bCs/>
                <w:color w:val="000000"/>
                <w:sz w:val="17"/>
                <w:szCs w:val="17"/>
                <w:lang w:eastAsia="en-GB"/>
              </w:rPr>
              <w:t>100.0</w:t>
            </w:r>
          </w:p>
        </w:tc>
      </w:tr>
    </w:tbl>
    <w:p w14:paraId="29E45A67" w14:textId="77777777" w:rsidR="009B346D" w:rsidRDefault="008607CD" w:rsidP="009B346D">
      <w:pPr>
        <w:pStyle w:val="Source"/>
      </w:pPr>
      <w:r>
        <w:t>Notes</w:t>
      </w:r>
      <w:proofErr w:type="gramStart"/>
      <w:r>
        <w:t>:</w:t>
      </w:r>
      <w:proofErr w:type="gramEnd"/>
      <w:r>
        <w:br/>
        <w:t xml:space="preserve">(a) Agriculture corresponds to ISIC divisions 1-5 and includes forestry, hunting, and fishing, as well as cultivation of crops and livestock production. </w:t>
      </w:r>
      <w:r>
        <w:br/>
        <w:t>(b) Industry corresponds to ISIC divisions 10-45 and includes manufacturing (ISIC divisions 15-37). It comprises value added in mining, manufacturing (also reported as a separate subgroup), construction, electricity, water, and gas.</w:t>
      </w:r>
      <w:r>
        <w:br/>
        <w:t>(c) 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r>
      <w:r w:rsidR="009B346D">
        <w:t>Source: World Bank, World Development Indicators (</w:t>
      </w:r>
      <w:hyperlink r:id="rId17" w:history="1">
        <w:r w:rsidR="009B346D" w:rsidRPr="00656266">
          <w:rPr>
            <w:rStyle w:val="Hyperlink"/>
          </w:rPr>
          <w:t>http://databank.worldbank.org/data/views/variableSelection/selectvariables.aspx?source=world-development-indicators</w:t>
        </w:r>
      </w:hyperlink>
      <w:r w:rsidR="009B346D">
        <w:t>).</w:t>
      </w:r>
    </w:p>
    <w:p w14:paraId="391DA35B" w14:textId="39815690" w:rsidR="004D4BD8" w:rsidRDefault="004D4BD8" w:rsidP="009B346D">
      <w:pPr>
        <w:pStyle w:val="Source"/>
      </w:pPr>
    </w:p>
    <w:p w14:paraId="07118046" w14:textId="77777777" w:rsidR="004D4BD8" w:rsidRDefault="004D4BD8" w:rsidP="009B346D">
      <w:pPr>
        <w:pStyle w:val="Source"/>
        <w:sectPr w:rsidR="004D4BD8" w:rsidSect="001228CD">
          <w:headerReference w:type="default" r:id="rId18"/>
          <w:footerReference w:type="default" r:id="rId19"/>
          <w:pgSz w:w="11907" w:h="16839" w:code="9"/>
          <w:pgMar w:top="1469" w:right="2102" w:bottom="1368" w:left="965" w:header="706" w:footer="706" w:gutter="0"/>
          <w:cols w:space="708"/>
          <w:docGrid w:linePitch="360"/>
        </w:sectPr>
      </w:pPr>
    </w:p>
    <w:p w14:paraId="7B3F82C6" w14:textId="77777777" w:rsidR="004D4BD8" w:rsidRPr="004D4BD8" w:rsidRDefault="004D4BD8" w:rsidP="004D4BD8">
      <w:pPr>
        <w:pStyle w:val="BodyText"/>
        <w:rPr>
          <w:noProof/>
        </w:rPr>
      </w:pPr>
    </w:p>
    <w:p w14:paraId="45E75523" w14:textId="093E8A4B" w:rsidR="004D4BD8" w:rsidRPr="001B0E3C" w:rsidRDefault="004D4BD8" w:rsidP="00887216">
      <w:pPr>
        <w:pStyle w:val="TableHeading"/>
        <w:numPr>
          <w:ilvl w:val="0"/>
          <w:numId w:val="13"/>
        </w:numPr>
        <w:tabs>
          <w:tab w:val="left" w:pos="9216"/>
          <w:tab w:val="right" w:pos="9806"/>
          <w:tab w:val="right" w:pos="13950"/>
        </w:tabs>
        <w:rPr>
          <w:noProof/>
          <w:color w:val="FF0000"/>
        </w:rPr>
      </w:pPr>
      <w:bookmarkStart w:id="10" w:name="_Toc428448488"/>
      <w:r>
        <w:rPr>
          <w:noProof/>
        </w:rPr>
        <w:t>GDP, employment and relative productivity levels, Yemen, 1991–2013</w:t>
      </w:r>
      <w:r>
        <w:rPr>
          <w:noProof/>
        </w:rPr>
        <w:tab/>
      </w:r>
      <w:r w:rsidR="00887216">
        <w:rPr>
          <w:noProof/>
        </w:rPr>
        <w:tab/>
      </w:r>
      <w:r w:rsidR="00887216">
        <w:rPr>
          <w:noProof/>
        </w:rPr>
        <w:tab/>
      </w:r>
      <w:r w:rsidRPr="001B0E3C">
        <w:rPr>
          <w:noProof/>
          <w:color w:val="FF0000"/>
        </w:rPr>
        <w:t>NEW</w:t>
      </w:r>
      <w:bookmarkEnd w:id="10"/>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4D4BD8" w:rsidRPr="00EF6E3A" w14:paraId="77503E52" w14:textId="77777777" w:rsidTr="004D4BD8">
        <w:tc>
          <w:tcPr>
            <w:tcW w:w="2426" w:type="dxa"/>
            <w:tcBorders>
              <w:right w:val="single" w:sz="4" w:space="0" w:color="auto"/>
            </w:tcBorders>
            <w:shd w:val="clear" w:color="auto" w:fill="D9D9D9" w:themeFill="background1" w:themeFillShade="D9"/>
            <w:noWrap/>
            <w:vAlign w:val="center"/>
            <w:hideMark/>
          </w:tcPr>
          <w:p w14:paraId="56BA0205" w14:textId="77777777" w:rsidR="004D4BD8" w:rsidRPr="00EF6E3A" w:rsidRDefault="004D4BD8" w:rsidP="004D4BD8">
            <w:pPr>
              <w:jc w:val="center"/>
              <w:rPr>
                <w:rFonts w:ascii="Arial" w:eastAsia="Times New Roman" w:hAnsi="Arial" w:cs="Arial"/>
                <w:b/>
                <w:bCs/>
                <w:sz w:val="17"/>
                <w:szCs w:val="17"/>
                <w:lang w:eastAsia="en-GB"/>
              </w:rPr>
            </w:pPr>
            <w:r w:rsidRPr="00EF6E3A">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38EC5FA5" w14:textId="77777777" w:rsidR="004D4BD8" w:rsidRPr="00EF6E3A" w:rsidRDefault="004D4BD8" w:rsidP="004D4BD8">
            <w:pPr>
              <w:ind w:left="144" w:right="144"/>
              <w:jc w:val="center"/>
              <w:rPr>
                <w:rFonts w:ascii="Arial" w:eastAsia="Times New Roman" w:hAnsi="Arial" w:cs="Arial"/>
                <w:sz w:val="17"/>
                <w:szCs w:val="17"/>
                <w:lang w:eastAsia="en-GB"/>
              </w:rPr>
            </w:pPr>
            <w:r w:rsidRPr="00EF6E3A">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5F1E1102" w14:textId="77777777" w:rsidR="004D4BD8" w:rsidRPr="00EF6E3A" w:rsidRDefault="004D4BD8" w:rsidP="004D4BD8">
            <w:pPr>
              <w:ind w:left="144" w:right="144"/>
              <w:jc w:val="center"/>
              <w:rPr>
                <w:rFonts w:ascii="Arial" w:hAnsi="Arial" w:cs="Arial"/>
                <w:b/>
                <w:bCs/>
                <w:sz w:val="17"/>
                <w:szCs w:val="17"/>
              </w:rPr>
            </w:pPr>
            <w:r w:rsidRPr="00EF6E3A">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1F7F724A" w14:textId="77777777" w:rsidR="004D4BD8" w:rsidRPr="00EF6E3A" w:rsidRDefault="004D4BD8" w:rsidP="004D4BD8">
            <w:pPr>
              <w:ind w:left="144" w:right="144"/>
              <w:jc w:val="center"/>
              <w:rPr>
                <w:rFonts w:ascii="Arial" w:eastAsia="Times New Roman" w:hAnsi="Arial" w:cs="Arial"/>
                <w:b/>
                <w:bCs/>
                <w:sz w:val="17"/>
                <w:szCs w:val="17"/>
                <w:lang w:eastAsia="en-GB"/>
              </w:rPr>
            </w:pPr>
            <w:r w:rsidRPr="00EF6E3A">
              <w:rPr>
                <w:rFonts w:ascii="Arial" w:eastAsia="Times New Roman" w:hAnsi="Arial" w:cs="Arial"/>
                <w:b/>
                <w:bCs/>
                <w:sz w:val="17"/>
                <w:szCs w:val="17"/>
                <w:lang w:eastAsia="en-GB"/>
              </w:rPr>
              <w:t xml:space="preserve">Relative productivity levels </w:t>
            </w:r>
            <w:r w:rsidRPr="00EF6E3A">
              <w:rPr>
                <w:rFonts w:ascii="Arial" w:eastAsia="Times New Roman" w:hAnsi="Arial" w:cs="Arial"/>
                <w:b/>
                <w:bCs/>
                <w:sz w:val="17"/>
                <w:szCs w:val="17"/>
                <w:vertAlign w:val="superscript"/>
                <w:lang w:eastAsia="en-GB"/>
              </w:rPr>
              <w:t>a</w:t>
            </w:r>
          </w:p>
        </w:tc>
      </w:tr>
      <w:tr w:rsidR="004D4BD8" w:rsidRPr="00EF6E3A" w14:paraId="626884F6" w14:textId="77777777" w:rsidTr="004D4BD8">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5C73CDE4" w14:textId="77777777" w:rsidR="004D4BD8" w:rsidRPr="00EF6E3A" w:rsidRDefault="004D4BD8" w:rsidP="004D4BD8">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61AE98A4"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0222AC3D"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07365FC7"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4C0510F0"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7967A822"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18AA12EB"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4FA490DF" w14:textId="77777777" w:rsidR="004D4BD8" w:rsidRPr="00EF6E3A" w:rsidRDefault="004D4BD8" w:rsidP="004D4BD8">
            <w:pPr>
              <w:jc w:val="center"/>
              <w:rPr>
                <w:rFonts w:ascii="Arial" w:hAnsi="Arial" w:cs="Arial"/>
                <w:bCs/>
                <w:i/>
                <w:sz w:val="17"/>
                <w:szCs w:val="17"/>
              </w:rPr>
            </w:pPr>
            <w:r w:rsidRPr="00EF6E3A">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77568A22" w14:textId="77777777" w:rsidR="004D4BD8" w:rsidRPr="00EF6E3A" w:rsidRDefault="004D4BD8" w:rsidP="004D4BD8">
            <w:pPr>
              <w:jc w:val="center"/>
              <w:rPr>
                <w:rFonts w:ascii="Arial" w:hAnsi="Arial" w:cs="Arial"/>
                <w:bCs/>
                <w:i/>
                <w:sz w:val="17"/>
                <w:szCs w:val="17"/>
              </w:rPr>
            </w:pPr>
            <w:r w:rsidRPr="00EF6E3A">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4DFE335C" w14:textId="77777777" w:rsidR="004D4BD8" w:rsidRPr="00EF6E3A" w:rsidRDefault="004D4BD8" w:rsidP="004D4BD8">
            <w:pPr>
              <w:jc w:val="center"/>
              <w:rPr>
                <w:rFonts w:ascii="Arial" w:hAnsi="Arial" w:cs="Arial"/>
                <w:bCs/>
                <w:i/>
                <w:sz w:val="17"/>
                <w:szCs w:val="17"/>
              </w:rPr>
            </w:pPr>
            <w:r w:rsidRPr="00EF6E3A">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2C0537C0" w14:textId="77777777" w:rsidR="004D4BD8" w:rsidRPr="00EF6E3A" w:rsidRDefault="004D4BD8" w:rsidP="004D4BD8">
            <w:pPr>
              <w:jc w:val="center"/>
              <w:rPr>
                <w:rFonts w:ascii="Arial" w:hAnsi="Arial" w:cs="Arial"/>
                <w:bCs/>
                <w:i/>
                <w:sz w:val="17"/>
                <w:szCs w:val="17"/>
              </w:rPr>
            </w:pPr>
            <w:r w:rsidRPr="00EF6E3A">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5F3886BB" w14:textId="77777777" w:rsidR="004D4BD8" w:rsidRPr="00EF6E3A" w:rsidRDefault="004D4BD8" w:rsidP="004D4BD8">
            <w:pPr>
              <w:jc w:val="center"/>
              <w:rPr>
                <w:rFonts w:ascii="Arial" w:hAnsi="Arial" w:cs="Arial"/>
                <w:bCs/>
                <w:i/>
                <w:sz w:val="17"/>
                <w:szCs w:val="17"/>
              </w:rPr>
            </w:pPr>
            <w:r w:rsidRPr="00EF6E3A">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1695A6CD" w14:textId="77777777" w:rsidR="004D4BD8" w:rsidRPr="00EF6E3A" w:rsidRDefault="004D4BD8" w:rsidP="004D4BD8">
            <w:pPr>
              <w:jc w:val="center"/>
              <w:rPr>
                <w:rFonts w:ascii="Arial" w:hAnsi="Arial" w:cs="Arial"/>
                <w:bCs/>
                <w:i/>
                <w:sz w:val="17"/>
                <w:szCs w:val="17"/>
              </w:rPr>
            </w:pPr>
            <w:r w:rsidRPr="00EF6E3A">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062CCB69" w14:textId="77777777" w:rsidR="004D4BD8" w:rsidRPr="00EF6E3A" w:rsidRDefault="004D4BD8" w:rsidP="004D4BD8">
            <w:pPr>
              <w:jc w:val="center"/>
              <w:rPr>
                <w:rFonts w:ascii="Arial" w:eastAsia="Times New Roman" w:hAnsi="Arial" w:cs="Arial"/>
                <w:bCs/>
                <w:i/>
                <w:sz w:val="17"/>
                <w:szCs w:val="17"/>
                <w:lang w:eastAsia="en-GB"/>
              </w:rPr>
            </w:pPr>
            <w:r w:rsidRPr="00EF6E3A">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7F8432D0" w14:textId="77777777" w:rsidR="004D4BD8" w:rsidRPr="00EF6E3A" w:rsidRDefault="004D4BD8" w:rsidP="004D4BD8">
            <w:pPr>
              <w:jc w:val="center"/>
              <w:rPr>
                <w:rFonts w:ascii="Arial" w:eastAsia="Times New Roman" w:hAnsi="Arial" w:cs="Arial"/>
                <w:bCs/>
                <w:i/>
                <w:sz w:val="17"/>
                <w:szCs w:val="17"/>
                <w:lang w:eastAsia="en-GB"/>
              </w:rPr>
            </w:pPr>
            <w:r w:rsidRPr="00EF6E3A">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0D9E5432" w14:textId="77777777" w:rsidR="004D4BD8" w:rsidRPr="00EF6E3A" w:rsidRDefault="004D4BD8" w:rsidP="004D4BD8">
            <w:pPr>
              <w:jc w:val="center"/>
              <w:rPr>
                <w:rFonts w:ascii="Arial" w:eastAsia="Times New Roman" w:hAnsi="Arial" w:cs="Arial"/>
                <w:bCs/>
                <w:i/>
                <w:sz w:val="17"/>
                <w:szCs w:val="17"/>
                <w:lang w:eastAsia="en-GB"/>
              </w:rPr>
            </w:pPr>
            <w:r w:rsidRPr="00EF6E3A">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0E10B498" w14:textId="77777777" w:rsidR="004D4BD8" w:rsidRPr="00EF6E3A" w:rsidRDefault="004D4BD8" w:rsidP="004D4BD8">
            <w:pPr>
              <w:jc w:val="center"/>
              <w:rPr>
                <w:rFonts w:ascii="Arial" w:eastAsia="Times New Roman" w:hAnsi="Arial" w:cs="Arial"/>
                <w:bCs/>
                <w:i/>
                <w:sz w:val="17"/>
                <w:szCs w:val="17"/>
                <w:lang w:eastAsia="en-GB"/>
              </w:rPr>
            </w:pPr>
            <w:r w:rsidRPr="00EF6E3A">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31ECE810" w14:textId="77777777" w:rsidR="004D4BD8" w:rsidRPr="00EF6E3A" w:rsidRDefault="004D4BD8" w:rsidP="004D4BD8">
            <w:pPr>
              <w:jc w:val="center"/>
              <w:rPr>
                <w:rFonts w:ascii="Arial" w:eastAsia="Times New Roman" w:hAnsi="Arial" w:cs="Arial"/>
                <w:bCs/>
                <w:i/>
                <w:sz w:val="17"/>
                <w:szCs w:val="17"/>
                <w:lang w:eastAsia="en-GB"/>
              </w:rPr>
            </w:pPr>
            <w:r w:rsidRPr="00EF6E3A">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688F742B" w14:textId="77777777" w:rsidR="004D4BD8" w:rsidRPr="00EF6E3A" w:rsidRDefault="004D4BD8" w:rsidP="004D4BD8">
            <w:pPr>
              <w:jc w:val="center"/>
              <w:rPr>
                <w:rFonts w:ascii="Arial" w:eastAsia="Times New Roman" w:hAnsi="Arial" w:cs="Arial"/>
                <w:bCs/>
                <w:i/>
                <w:sz w:val="17"/>
                <w:szCs w:val="17"/>
                <w:lang w:eastAsia="en-GB"/>
              </w:rPr>
            </w:pPr>
            <w:r w:rsidRPr="00EF6E3A">
              <w:rPr>
                <w:rFonts w:ascii="Arial" w:eastAsia="Times New Roman" w:hAnsi="Arial" w:cs="Arial"/>
                <w:bCs/>
                <w:i/>
                <w:sz w:val="17"/>
                <w:szCs w:val="17"/>
                <w:lang w:eastAsia="en-GB"/>
              </w:rPr>
              <w:t>2013</w:t>
            </w:r>
          </w:p>
        </w:tc>
      </w:tr>
      <w:tr w:rsidR="004D4BD8" w:rsidRPr="00EF6E3A" w14:paraId="75993B66" w14:textId="77777777" w:rsidTr="004D4BD8">
        <w:trPr>
          <w:trHeight w:val="240"/>
        </w:trPr>
        <w:tc>
          <w:tcPr>
            <w:tcW w:w="2426" w:type="dxa"/>
            <w:tcBorders>
              <w:top w:val="single" w:sz="4" w:space="0" w:color="auto"/>
              <w:right w:val="single" w:sz="4" w:space="0" w:color="auto"/>
            </w:tcBorders>
            <w:shd w:val="clear" w:color="auto" w:fill="auto"/>
            <w:noWrap/>
            <w:vAlign w:val="center"/>
            <w:hideMark/>
          </w:tcPr>
          <w:p w14:paraId="5EC1CE6C" w14:textId="256C6003" w:rsidR="004D4BD8" w:rsidRPr="00EF6E3A" w:rsidRDefault="004D4BD8" w:rsidP="004D4BD8">
            <w:pPr>
              <w:tabs>
                <w:tab w:val="left" w:pos="1217"/>
              </w:tabs>
              <w:rPr>
                <w:rFonts w:ascii="Arial" w:eastAsia="Times New Roman" w:hAnsi="Arial" w:cs="Arial"/>
                <w:sz w:val="17"/>
                <w:szCs w:val="17"/>
                <w:lang w:eastAsia="en-GB"/>
              </w:rPr>
            </w:pPr>
            <w:r w:rsidRPr="00EF6E3A">
              <w:rPr>
                <w:rFonts w:ascii="Arial" w:eastAsia="Times New Roman" w:hAnsi="Arial" w:cs="Arial"/>
                <w:sz w:val="17"/>
                <w:szCs w:val="17"/>
                <w:lang w:eastAsia="en-GB"/>
              </w:rPr>
              <w:t>Agriculture</w:t>
            </w:r>
          </w:p>
        </w:tc>
        <w:tc>
          <w:tcPr>
            <w:tcW w:w="642" w:type="dxa"/>
            <w:tcBorders>
              <w:top w:val="single" w:sz="4" w:space="0" w:color="auto"/>
              <w:left w:val="single" w:sz="4" w:space="0" w:color="auto"/>
            </w:tcBorders>
            <w:vAlign w:val="center"/>
          </w:tcPr>
          <w:p w14:paraId="4C18E524" w14:textId="5FBD58F6"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 xml:space="preserve">n/a </w:t>
            </w:r>
          </w:p>
        </w:tc>
        <w:tc>
          <w:tcPr>
            <w:tcW w:w="643" w:type="dxa"/>
            <w:tcBorders>
              <w:top w:val="single" w:sz="4" w:space="0" w:color="auto"/>
            </w:tcBorders>
            <w:vAlign w:val="center"/>
          </w:tcPr>
          <w:p w14:paraId="721B8319" w14:textId="7E0ACBFA"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19.1</w:t>
            </w:r>
          </w:p>
        </w:tc>
        <w:tc>
          <w:tcPr>
            <w:tcW w:w="642" w:type="dxa"/>
            <w:tcBorders>
              <w:top w:val="single" w:sz="4" w:space="0" w:color="auto"/>
            </w:tcBorders>
            <w:vAlign w:val="center"/>
          </w:tcPr>
          <w:p w14:paraId="24813AF0" w14:textId="7F402443"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12.2</w:t>
            </w:r>
          </w:p>
        </w:tc>
        <w:tc>
          <w:tcPr>
            <w:tcW w:w="643" w:type="dxa"/>
            <w:tcBorders>
              <w:top w:val="single" w:sz="4" w:space="0" w:color="auto"/>
            </w:tcBorders>
            <w:vAlign w:val="center"/>
          </w:tcPr>
          <w:p w14:paraId="0CBECF66" w14:textId="5ABC1480"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9.6</w:t>
            </w:r>
          </w:p>
        </w:tc>
        <w:tc>
          <w:tcPr>
            <w:tcW w:w="642" w:type="dxa"/>
            <w:tcBorders>
              <w:top w:val="single" w:sz="4" w:space="0" w:color="auto"/>
            </w:tcBorders>
            <w:vAlign w:val="center"/>
          </w:tcPr>
          <w:p w14:paraId="0F27371A" w14:textId="7C6B5D92"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12.1</w:t>
            </w:r>
          </w:p>
        </w:tc>
        <w:tc>
          <w:tcPr>
            <w:tcW w:w="643" w:type="dxa"/>
            <w:tcBorders>
              <w:top w:val="single" w:sz="4" w:space="0" w:color="auto"/>
              <w:right w:val="single" w:sz="4" w:space="0" w:color="auto"/>
            </w:tcBorders>
            <w:vAlign w:val="center"/>
          </w:tcPr>
          <w:p w14:paraId="6E799903" w14:textId="3DF19988"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15.0</w:t>
            </w:r>
          </w:p>
        </w:tc>
        <w:tc>
          <w:tcPr>
            <w:tcW w:w="642" w:type="dxa"/>
            <w:tcBorders>
              <w:top w:val="single" w:sz="4" w:space="0" w:color="auto"/>
              <w:left w:val="single" w:sz="4" w:space="0" w:color="auto"/>
            </w:tcBorders>
            <w:vAlign w:val="center"/>
          </w:tcPr>
          <w:p w14:paraId="49F00D9D" w14:textId="2D9C4859"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n/a</w:t>
            </w:r>
          </w:p>
        </w:tc>
        <w:tc>
          <w:tcPr>
            <w:tcW w:w="644" w:type="dxa"/>
            <w:tcBorders>
              <w:top w:val="single" w:sz="4" w:space="0" w:color="auto"/>
            </w:tcBorders>
            <w:vAlign w:val="center"/>
          </w:tcPr>
          <w:p w14:paraId="19470DBD" w14:textId="5432A627"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49.3</w:t>
            </w:r>
          </w:p>
        </w:tc>
        <w:tc>
          <w:tcPr>
            <w:tcW w:w="643" w:type="dxa"/>
            <w:tcBorders>
              <w:top w:val="single" w:sz="4" w:space="0" w:color="auto"/>
            </w:tcBorders>
            <w:vAlign w:val="center"/>
          </w:tcPr>
          <w:p w14:paraId="55E6CCFF" w14:textId="196CCF7E"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40.9</w:t>
            </w:r>
          </w:p>
        </w:tc>
        <w:tc>
          <w:tcPr>
            <w:tcW w:w="644" w:type="dxa"/>
            <w:tcBorders>
              <w:top w:val="single" w:sz="4" w:space="0" w:color="auto"/>
            </w:tcBorders>
            <w:vAlign w:val="center"/>
          </w:tcPr>
          <w:p w14:paraId="12533B77" w14:textId="0958E04A"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31.9</w:t>
            </w:r>
          </w:p>
        </w:tc>
        <w:tc>
          <w:tcPr>
            <w:tcW w:w="643" w:type="dxa"/>
            <w:tcBorders>
              <w:top w:val="single" w:sz="4" w:space="0" w:color="auto"/>
            </w:tcBorders>
            <w:vAlign w:val="center"/>
          </w:tcPr>
          <w:p w14:paraId="1E1CFC21" w14:textId="33E14F22"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24.1</w:t>
            </w:r>
          </w:p>
        </w:tc>
        <w:tc>
          <w:tcPr>
            <w:tcW w:w="644" w:type="dxa"/>
            <w:tcBorders>
              <w:top w:val="single" w:sz="4" w:space="0" w:color="auto"/>
              <w:right w:val="single" w:sz="4" w:space="0" w:color="auto"/>
            </w:tcBorders>
            <w:vAlign w:val="center"/>
          </w:tcPr>
          <w:p w14:paraId="590144CB" w14:textId="2AB1D2AB"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26.2</w:t>
            </w:r>
          </w:p>
        </w:tc>
        <w:tc>
          <w:tcPr>
            <w:tcW w:w="643" w:type="dxa"/>
            <w:tcBorders>
              <w:top w:val="single" w:sz="4" w:space="0" w:color="auto"/>
              <w:left w:val="single" w:sz="4" w:space="0" w:color="auto"/>
            </w:tcBorders>
            <w:vAlign w:val="center"/>
          </w:tcPr>
          <w:p w14:paraId="20B9128A" w14:textId="1A306B6B"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n/a</w:t>
            </w:r>
          </w:p>
        </w:tc>
        <w:tc>
          <w:tcPr>
            <w:tcW w:w="644" w:type="dxa"/>
            <w:tcBorders>
              <w:top w:val="single" w:sz="4" w:space="0" w:color="auto"/>
            </w:tcBorders>
            <w:vAlign w:val="center"/>
          </w:tcPr>
          <w:p w14:paraId="7708F618" w14:textId="5ABC2210"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0.2</w:t>
            </w:r>
          </w:p>
        </w:tc>
        <w:tc>
          <w:tcPr>
            <w:tcW w:w="643" w:type="dxa"/>
            <w:tcBorders>
              <w:top w:val="single" w:sz="4" w:space="0" w:color="auto"/>
            </w:tcBorders>
            <w:vAlign w:val="center"/>
          </w:tcPr>
          <w:p w14:paraId="2DD5FF3D" w14:textId="4938D21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0.2</w:t>
            </w:r>
          </w:p>
        </w:tc>
        <w:tc>
          <w:tcPr>
            <w:tcW w:w="644" w:type="dxa"/>
            <w:tcBorders>
              <w:top w:val="single" w:sz="4" w:space="0" w:color="auto"/>
            </w:tcBorders>
            <w:vAlign w:val="center"/>
          </w:tcPr>
          <w:p w14:paraId="05AD9F0E" w14:textId="5AD891DE"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0.3</w:t>
            </w:r>
          </w:p>
        </w:tc>
        <w:tc>
          <w:tcPr>
            <w:tcW w:w="643" w:type="dxa"/>
            <w:tcBorders>
              <w:top w:val="single" w:sz="4" w:space="0" w:color="auto"/>
            </w:tcBorders>
            <w:vAlign w:val="center"/>
          </w:tcPr>
          <w:p w14:paraId="70BB9208" w14:textId="71F7B112"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0.5</w:t>
            </w:r>
          </w:p>
        </w:tc>
        <w:tc>
          <w:tcPr>
            <w:tcW w:w="644" w:type="dxa"/>
            <w:tcBorders>
              <w:top w:val="single" w:sz="4" w:space="0" w:color="auto"/>
            </w:tcBorders>
            <w:vAlign w:val="center"/>
          </w:tcPr>
          <w:p w14:paraId="66DE34B7" w14:textId="50939091"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0.5</w:t>
            </w:r>
          </w:p>
        </w:tc>
      </w:tr>
      <w:tr w:rsidR="004D4BD8" w:rsidRPr="00EF6E3A" w14:paraId="47C3F75D" w14:textId="77777777" w:rsidTr="004D4BD8">
        <w:trPr>
          <w:trHeight w:val="240"/>
        </w:trPr>
        <w:tc>
          <w:tcPr>
            <w:tcW w:w="2426" w:type="dxa"/>
            <w:tcBorders>
              <w:right w:val="single" w:sz="4" w:space="0" w:color="auto"/>
            </w:tcBorders>
            <w:shd w:val="clear" w:color="auto" w:fill="auto"/>
            <w:noWrap/>
            <w:vAlign w:val="center"/>
            <w:hideMark/>
          </w:tcPr>
          <w:p w14:paraId="1288BFFA"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2339A054" w14:textId="789BDB08"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 xml:space="preserve"> n/a </w:t>
            </w:r>
          </w:p>
        </w:tc>
        <w:tc>
          <w:tcPr>
            <w:tcW w:w="643" w:type="dxa"/>
            <w:vAlign w:val="center"/>
          </w:tcPr>
          <w:p w14:paraId="74C88D6E" w14:textId="0E2EBFF0"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9.8</w:t>
            </w:r>
          </w:p>
        </w:tc>
        <w:tc>
          <w:tcPr>
            <w:tcW w:w="642" w:type="dxa"/>
            <w:vAlign w:val="center"/>
          </w:tcPr>
          <w:p w14:paraId="4CE6A9C6" w14:textId="32862198"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32.8</w:t>
            </w:r>
          </w:p>
        </w:tc>
        <w:tc>
          <w:tcPr>
            <w:tcW w:w="643" w:type="dxa"/>
            <w:vAlign w:val="center"/>
          </w:tcPr>
          <w:p w14:paraId="480BF1A9" w14:textId="5EC3A20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33.5</w:t>
            </w:r>
          </w:p>
        </w:tc>
        <w:tc>
          <w:tcPr>
            <w:tcW w:w="642" w:type="dxa"/>
            <w:vAlign w:val="center"/>
          </w:tcPr>
          <w:p w14:paraId="0D42CD58" w14:textId="122BD045"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24.7</w:t>
            </w:r>
          </w:p>
        </w:tc>
        <w:tc>
          <w:tcPr>
            <w:tcW w:w="643" w:type="dxa"/>
            <w:tcBorders>
              <w:right w:val="single" w:sz="4" w:space="0" w:color="auto"/>
            </w:tcBorders>
            <w:vAlign w:val="center"/>
          </w:tcPr>
          <w:p w14:paraId="56CC607D" w14:textId="35E1A5DB"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23.7</w:t>
            </w:r>
          </w:p>
        </w:tc>
        <w:tc>
          <w:tcPr>
            <w:tcW w:w="642" w:type="dxa"/>
            <w:tcBorders>
              <w:left w:val="single" w:sz="4" w:space="0" w:color="auto"/>
            </w:tcBorders>
            <w:vAlign w:val="center"/>
          </w:tcPr>
          <w:p w14:paraId="799E8C19" w14:textId="509E82E7"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n/a</w:t>
            </w:r>
          </w:p>
        </w:tc>
        <w:tc>
          <w:tcPr>
            <w:tcW w:w="644" w:type="dxa"/>
            <w:vAlign w:val="center"/>
          </w:tcPr>
          <w:p w14:paraId="5271A27A" w14:textId="7CBDF860"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0.9</w:t>
            </w:r>
          </w:p>
        </w:tc>
        <w:tc>
          <w:tcPr>
            <w:tcW w:w="643" w:type="dxa"/>
            <w:vAlign w:val="center"/>
          </w:tcPr>
          <w:p w14:paraId="6C7304D9" w14:textId="01132618"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1.1</w:t>
            </w:r>
          </w:p>
        </w:tc>
        <w:tc>
          <w:tcPr>
            <w:tcW w:w="644" w:type="dxa"/>
            <w:vAlign w:val="center"/>
          </w:tcPr>
          <w:p w14:paraId="138DF391" w14:textId="09F7C272"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1.3</w:t>
            </w:r>
          </w:p>
        </w:tc>
        <w:tc>
          <w:tcPr>
            <w:tcW w:w="643" w:type="dxa"/>
            <w:vAlign w:val="center"/>
          </w:tcPr>
          <w:p w14:paraId="47C5C962" w14:textId="0521AF39"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1.7</w:t>
            </w:r>
          </w:p>
        </w:tc>
        <w:tc>
          <w:tcPr>
            <w:tcW w:w="644" w:type="dxa"/>
            <w:tcBorders>
              <w:right w:val="single" w:sz="4" w:space="0" w:color="auto"/>
            </w:tcBorders>
            <w:vAlign w:val="center"/>
          </w:tcPr>
          <w:p w14:paraId="09CB87ED" w14:textId="13394952"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1.7</w:t>
            </w:r>
          </w:p>
        </w:tc>
        <w:tc>
          <w:tcPr>
            <w:tcW w:w="643" w:type="dxa"/>
            <w:tcBorders>
              <w:left w:val="single" w:sz="4" w:space="0" w:color="auto"/>
            </w:tcBorders>
            <w:vAlign w:val="center"/>
          </w:tcPr>
          <w:p w14:paraId="602A41F9" w14:textId="18D31B8A"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n/a</w:t>
            </w:r>
          </w:p>
        </w:tc>
        <w:tc>
          <w:tcPr>
            <w:tcW w:w="644" w:type="dxa"/>
            <w:vAlign w:val="center"/>
          </w:tcPr>
          <w:p w14:paraId="5031D41C" w14:textId="7F69A9C0"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38.4</w:t>
            </w:r>
          </w:p>
        </w:tc>
        <w:tc>
          <w:tcPr>
            <w:tcW w:w="643" w:type="dxa"/>
            <w:vAlign w:val="center"/>
          </w:tcPr>
          <w:p w14:paraId="22A30A2B" w14:textId="1D44EC19"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40.9</w:t>
            </w:r>
          </w:p>
        </w:tc>
        <w:tc>
          <w:tcPr>
            <w:tcW w:w="644" w:type="dxa"/>
            <w:vAlign w:val="center"/>
          </w:tcPr>
          <w:p w14:paraId="63C9DED9" w14:textId="4A490BA8"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25.1</w:t>
            </w:r>
          </w:p>
        </w:tc>
        <w:tc>
          <w:tcPr>
            <w:tcW w:w="643" w:type="dxa"/>
            <w:vAlign w:val="center"/>
          </w:tcPr>
          <w:p w14:paraId="527712C2" w14:textId="0D1F93C2"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13.0</w:t>
            </w:r>
          </w:p>
        </w:tc>
        <w:tc>
          <w:tcPr>
            <w:tcW w:w="644" w:type="dxa"/>
            <w:vAlign w:val="center"/>
          </w:tcPr>
          <w:p w14:paraId="3D1773D8" w14:textId="79CF1989"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11.9</w:t>
            </w:r>
          </w:p>
        </w:tc>
      </w:tr>
      <w:tr w:rsidR="004D4BD8" w:rsidRPr="00EF6E3A" w14:paraId="045C34B8" w14:textId="77777777" w:rsidTr="004D4BD8">
        <w:trPr>
          <w:trHeight w:val="240"/>
        </w:trPr>
        <w:tc>
          <w:tcPr>
            <w:tcW w:w="2426" w:type="dxa"/>
            <w:tcBorders>
              <w:right w:val="single" w:sz="4" w:space="0" w:color="auto"/>
            </w:tcBorders>
            <w:shd w:val="clear" w:color="auto" w:fill="auto"/>
            <w:noWrap/>
            <w:vAlign w:val="center"/>
            <w:hideMark/>
          </w:tcPr>
          <w:p w14:paraId="43F59914"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Manufacturing</w:t>
            </w:r>
          </w:p>
        </w:tc>
        <w:tc>
          <w:tcPr>
            <w:tcW w:w="642" w:type="dxa"/>
            <w:tcBorders>
              <w:left w:val="single" w:sz="4" w:space="0" w:color="auto"/>
            </w:tcBorders>
            <w:vAlign w:val="center"/>
          </w:tcPr>
          <w:p w14:paraId="3FFE7C7E" w14:textId="2CA4A4A4"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 xml:space="preserve"> n/a </w:t>
            </w:r>
          </w:p>
        </w:tc>
        <w:tc>
          <w:tcPr>
            <w:tcW w:w="643" w:type="dxa"/>
            <w:vAlign w:val="center"/>
          </w:tcPr>
          <w:p w14:paraId="20FABAA7" w14:textId="434CF880"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8.6</w:t>
            </w:r>
          </w:p>
        </w:tc>
        <w:tc>
          <w:tcPr>
            <w:tcW w:w="642" w:type="dxa"/>
            <w:vAlign w:val="center"/>
          </w:tcPr>
          <w:p w14:paraId="4DD75A14" w14:textId="7AE626EE"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5.3</w:t>
            </w:r>
          </w:p>
        </w:tc>
        <w:tc>
          <w:tcPr>
            <w:tcW w:w="643" w:type="dxa"/>
            <w:vAlign w:val="center"/>
          </w:tcPr>
          <w:p w14:paraId="59A7A10F" w14:textId="6A706FE5"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5.8</w:t>
            </w:r>
          </w:p>
        </w:tc>
        <w:tc>
          <w:tcPr>
            <w:tcW w:w="642" w:type="dxa"/>
            <w:vAlign w:val="center"/>
          </w:tcPr>
          <w:p w14:paraId="0EDA9697" w14:textId="7681928F"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8.5</w:t>
            </w:r>
          </w:p>
        </w:tc>
        <w:tc>
          <w:tcPr>
            <w:tcW w:w="643" w:type="dxa"/>
            <w:tcBorders>
              <w:right w:val="single" w:sz="4" w:space="0" w:color="auto"/>
            </w:tcBorders>
            <w:vAlign w:val="center"/>
          </w:tcPr>
          <w:p w14:paraId="72CFE609" w14:textId="63E06724"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8.2</w:t>
            </w:r>
          </w:p>
        </w:tc>
        <w:tc>
          <w:tcPr>
            <w:tcW w:w="642" w:type="dxa"/>
            <w:tcBorders>
              <w:left w:val="single" w:sz="4" w:space="0" w:color="auto"/>
            </w:tcBorders>
            <w:vAlign w:val="center"/>
          </w:tcPr>
          <w:p w14:paraId="2CB8D68A" w14:textId="7878E7CA"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n/a</w:t>
            </w:r>
          </w:p>
        </w:tc>
        <w:tc>
          <w:tcPr>
            <w:tcW w:w="644" w:type="dxa"/>
            <w:vAlign w:val="center"/>
          </w:tcPr>
          <w:p w14:paraId="4A0B3BEE" w14:textId="134D1CAA"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3.6</w:t>
            </w:r>
          </w:p>
        </w:tc>
        <w:tc>
          <w:tcPr>
            <w:tcW w:w="643" w:type="dxa"/>
            <w:vAlign w:val="center"/>
          </w:tcPr>
          <w:p w14:paraId="2C070476" w14:textId="671E820B"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4.8</w:t>
            </w:r>
          </w:p>
        </w:tc>
        <w:tc>
          <w:tcPr>
            <w:tcW w:w="644" w:type="dxa"/>
            <w:vAlign w:val="center"/>
          </w:tcPr>
          <w:p w14:paraId="2442E508" w14:textId="666BE3A0"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5.4</w:t>
            </w:r>
          </w:p>
        </w:tc>
        <w:tc>
          <w:tcPr>
            <w:tcW w:w="643" w:type="dxa"/>
            <w:vAlign w:val="center"/>
          </w:tcPr>
          <w:p w14:paraId="3559264B" w14:textId="1F588F9B"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6.6</w:t>
            </w:r>
          </w:p>
        </w:tc>
        <w:tc>
          <w:tcPr>
            <w:tcW w:w="644" w:type="dxa"/>
            <w:tcBorders>
              <w:right w:val="single" w:sz="4" w:space="0" w:color="auto"/>
            </w:tcBorders>
            <w:vAlign w:val="center"/>
          </w:tcPr>
          <w:p w14:paraId="381EE28A" w14:textId="4016C9F7"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7.0</w:t>
            </w:r>
          </w:p>
        </w:tc>
        <w:tc>
          <w:tcPr>
            <w:tcW w:w="643" w:type="dxa"/>
            <w:tcBorders>
              <w:left w:val="single" w:sz="4" w:space="0" w:color="auto"/>
            </w:tcBorders>
            <w:vAlign w:val="center"/>
          </w:tcPr>
          <w:p w14:paraId="13E59310" w14:textId="7116631B"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n/a</w:t>
            </w:r>
          </w:p>
        </w:tc>
        <w:tc>
          <w:tcPr>
            <w:tcW w:w="644" w:type="dxa"/>
            <w:vAlign w:val="center"/>
          </w:tcPr>
          <w:p w14:paraId="694798DD" w14:textId="3E18C9BD"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1.1</w:t>
            </w:r>
          </w:p>
        </w:tc>
        <w:tc>
          <w:tcPr>
            <w:tcW w:w="643" w:type="dxa"/>
            <w:vAlign w:val="center"/>
          </w:tcPr>
          <w:p w14:paraId="7AC03E22" w14:textId="6B77CE2F"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1.2</w:t>
            </w:r>
          </w:p>
        </w:tc>
        <w:tc>
          <w:tcPr>
            <w:tcW w:w="644" w:type="dxa"/>
            <w:vAlign w:val="center"/>
          </w:tcPr>
          <w:p w14:paraId="3C1C951D" w14:textId="3FDAA3E1"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1.1</w:t>
            </w:r>
          </w:p>
        </w:tc>
        <w:tc>
          <w:tcPr>
            <w:tcW w:w="643" w:type="dxa"/>
            <w:vAlign w:val="center"/>
          </w:tcPr>
          <w:p w14:paraId="2F914FA1" w14:textId="45F0C0C2"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1.0</w:t>
            </w:r>
          </w:p>
        </w:tc>
        <w:tc>
          <w:tcPr>
            <w:tcW w:w="644" w:type="dxa"/>
            <w:vAlign w:val="center"/>
          </w:tcPr>
          <w:p w14:paraId="74A8A203" w14:textId="6080B3A1"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1.0</w:t>
            </w:r>
          </w:p>
        </w:tc>
      </w:tr>
      <w:tr w:rsidR="004D4BD8" w:rsidRPr="00EF6E3A" w14:paraId="25BAB152" w14:textId="77777777" w:rsidTr="004D4BD8">
        <w:trPr>
          <w:trHeight w:val="240"/>
        </w:trPr>
        <w:tc>
          <w:tcPr>
            <w:tcW w:w="2426" w:type="dxa"/>
            <w:tcBorders>
              <w:right w:val="single" w:sz="4" w:space="0" w:color="auto"/>
            </w:tcBorders>
            <w:shd w:val="clear" w:color="auto" w:fill="auto"/>
            <w:noWrap/>
            <w:vAlign w:val="center"/>
            <w:hideMark/>
          </w:tcPr>
          <w:p w14:paraId="605F3269"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Construction</w:t>
            </w:r>
          </w:p>
        </w:tc>
        <w:tc>
          <w:tcPr>
            <w:tcW w:w="642" w:type="dxa"/>
            <w:tcBorders>
              <w:left w:val="single" w:sz="4" w:space="0" w:color="auto"/>
            </w:tcBorders>
            <w:vAlign w:val="center"/>
          </w:tcPr>
          <w:p w14:paraId="3F1DCF7E" w14:textId="32E1BF33"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 xml:space="preserve"> n/a </w:t>
            </w:r>
          </w:p>
        </w:tc>
        <w:tc>
          <w:tcPr>
            <w:tcW w:w="643" w:type="dxa"/>
            <w:vAlign w:val="center"/>
          </w:tcPr>
          <w:p w14:paraId="75ADFD72" w14:textId="1970C951"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2.8</w:t>
            </w:r>
          </w:p>
        </w:tc>
        <w:tc>
          <w:tcPr>
            <w:tcW w:w="642" w:type="dxa"/>
            <w:vAlign w:val="center"/>
          </w:tcPr>
          <w:p w14:paraId="2EE0F51A" w14:textId="16E7EE56"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4.0</w:t>
            </w:r>
          </w:p>
        </w:tc>
        <w:tc>
          <w:tcPr>
            <w:tcW w:w="643" w:type="dxa"/>
            <w:vAlign w:val="center"/>
          </w:tcPr>
          <w:p w14:paraId="0727B580" w14:textId="5AAF1EC6"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4.5</w:t>
            </w:r>
          </w:p>
        </w:tc>
        <w:tc>
          <w:tcPr>
            <w:tcW w:w="642" w:type="dxa"/>
            <w:vAlign w:val="center"/>
          </w:tcPr>
          <w:p w14:paraId="196A94D1" w14:textId="0B3C815A"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5.4</w:t>
            </w:r>
          </w:p>
        </w:tc>
        <w:tc>
          <w:tcPr>
            <w:tcW w:w="643" w:type="dxa"/>
            <w:tcBorders>
              <w:right w:val="single" w:sz="4" w:space="0" w:color="auto"/>
            </w:tcBorders>
            <w:vAlign w:val="center"/>
          </w:tcPr>
          <w:p w14:paraId="28DBDAF0" w14:textId="2B3B10FE"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4.2</w:t>
            </w:r>
          </w:p>
        </w:tc>
        <w:tc>
          <w:tcPr>
            <w:tcW w:w="642" w:type="dxa"/>
            <w:tcBorders>
              <w:left w:val="single" w:sz="4" w:space="0" w:color="auto"/>
            </w:tcBorders>
            <w:vAlign w:val="center"/>
          </w:tcPr>
          <w:p w14:paraId="156AE7D5" w14:textId="14440108"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n/a</w:t>
            </w:r>
          </w:p>
        </w:tc>
        <w:tc>
          <w:tcPr>
            <w:tcW w:w="644" w:type="dxa"/>
            <w:vAlign w:val="center"/>
          </w:tcPr>
          <w:p w14:paraId="414C8429" w14:textId="5D154054"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6.2</w:t>
            </w:r>
          </w:p>
        </w:tc>
        <w:tc>
          <w:tcPr>
            <w:tcW w:w="643" w:type="dxa"/>
            <w:vAlign w:val="center"/>
          </w:tcPr>
          <w:p w14:paraId="2F76F20F" w14:textId="6D8403AA"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8.2</w:t>
            </w:r>
          </w:p>
        </w:tc>
        <w:tc>
          <w:tcPr>
            <w:tcW w:w="644" w:type="dxa"/>
            <w:vAlign w:val="center"/>
          </w:tcPr>
          <w:p w14:paraId="01310923" w14:textId="5DE02CCA"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9.7</w:t>
            </w:r>
          </w:p>
        </w:tc>
        <w:tc>
          <w:tcPr>
            <w:tcW w:w="643" w:type="dxa"/>
            <w:vAlign w:val="center"/>
          </w:tcPr>
          <w:p w14:paraId="51383577" w14:textId="7B7CFEEA"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10.7</w:t>
            </w:r>
          </w:p>
        </w:tc>
        <w:tc>
          <w:tcPr>
            <w:tcW w:w="644" w:type="dxa"/>
            <w:tcBorders>
              <w:right w:val="single" w:sz="4" w:space="0" w:color="auto"/>
            </w:tcBorders>
            <w:vAlign w:val="center"/>
          </w:tcPr>
          <w:p w14:paraId="74680772" w14:textId="3D629311"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9.7</w:t>
            </w:r>
          </w:p>
        </w:tc>
        <w:tc>
          <w:tcPr>
            <w:tcW w:w="643" w:type="dxa"/>
            <w:tcBorders>
              <w:left w:val="single" w:sz="4" w:space="0" w:color="auto"/>
            </w:tcBorders>
            <w:vAlign w:val="center"/>
          </w:tcPr>
          <w:p w14:paraId="55F29753" w14:textId="29F02CA9"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n/a</w:t>
            </w:r>
          </w:p>
        </w:tc>
        <w:tc>
          <w:tcPr>
            <w:tcW w:w="644" w:type="dxa"/>
            <w:vAlign w:val="center"/>
          </w:tcPr>
          <w:p w14:paraId="56A42F2E" w14:textId="2692BA40"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0.8</w:t>
            </w:r>
          </w:p>
        </w:tc>
        <w:tc>
          <w:tcPr>
            <w:tcW w:w="643" w:type="dxa"/>
            <w:vAlign w:val="center"/>
          </w:tcPr>
          <w:p w14:paraId="73B2E45B" w14:textId="13AF4295"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0.4</w:t>
            </w:r>
          </w:p>
        </w:tc>
        <w:tc>
          <w:tcPr>
            <w:tcW w:w="644" w:type="dxa"/>
            <w:vAlign w:val="center"/>
          </w:tcPr>
          <w:p w14:paraId="30EF5F6F" w14:textId="163F3595"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0.5</w:t>
            </w:r>
          </w:p>
        </w:tc>
        <w:tc>
          <w:tcPr>
            <w:tcW w:w="643" w:type="dxa"/>
            <w:vAlign w:val="center"/>
          </w:tcPr>
          <w:p w14:paraId="6A2D0036" w14:textId="73A85099"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0.6</w:t>
            </w:r>
          </w:p>
        </w:tc>
        <w:tc>
          <w:tcPr>
            <w:tcW w:w="644" w:type="dxa"/>
            <w:vAlign w:val="center"/>
          </w:tcPr>
          <w:p w14:paraId="5B6DFE1E" w14:textId="6E6F1B59"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0.6</w:t>
            </w:r>
          </w:p>
        </w:tc>
      </w:tr>
      <w:tr w:rsidR="004D4BD8" w:rsidRPr="00EF6E3A" w14:paraId="56424D88" w14:textId="77777777" w:rsidTr="004D4BD8">
        <w:trPr>
          <w:trHeight w:val="240"/>
        </w:trPr>
        <w:tc>
          <w:tcPr>
            <w:tcW w:w="2426" w:type="dxa"/>
            <w:tcBorders>
              <w:right w:val="single" w:sz="4" w:space="0" w:color="auto"/>
            </w:tcBorders>
            <w:shd w:val="clear" w:color="auto" w:fill="auto"/>
            <w:noWrap/>
            <w:vAlign w:val="center"/>
            <w:hideMark/>
          </w:tcPr>
          <w:p w14:paraId="06316A43"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30C64D27" w14:textId="1407BC10"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 xml:space="preserve"> n/a </w:t>
            </w:r>
          </w:p>
        </w:tc>
        <w:tc>
          <w:tcPr>
            <w:tcW w:w="643" w:type="dxa"/>
            <w:vAlign w:val="center"/>
          </w:tcPr>
          <w:p w14:paraId="428AAF94" w14:textId="07C678D9"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12.6</w:t>
            </w:r>
          </w:p>
        </w:tc>
        <w:tc>
          <w:tcPr>
            <w:tcW w:w="642" w:type="dxa"/>
            <w:vAlign w:val="center"/>
          </w:tcPr>
          <w:p w14:paraId="5D7E9582" w14:textId="6416D7CC"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15.5</w:t>
            </w:r>
          </w:p>
        </w:tc>
        <w:tc>
          <w:tcPr>
            <w:tcW w:w="643" w:type="dxa"/>
            <w:vAlign w:val="center"/>
          </w:tcPr>
          <w:p w14:paraId="5C3A86C6" w14:textId="5B61AB70"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17.6</w:t>
            </w:r>
          </w:p>
        </w:tc>
        <w:tc>
          <w:tcPr>
            <w:tcW w:w="642" w:type="dxa"/>
            <w:vAlign w:val="center"/>
          </w:tcPr>
          <w:p w14:paraId="4C513F02" w14:textId="4CFACAF8"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19.6</w:t>
            </w:r>
          </w:p>
        </w:tc>
        <w:tc>
          <w:tcPr>
            <w:tcW w:w="643" w:type="dxa"/>
            <w:tcBorders>
              <w:right w:val="single" w:sz="4" w:space="0" w:color="auto"/>
            </w:tcBorders>
            <w:vAlign w:val="center"/>
          </w:tcPr>
          <w:p w14:paraId="63EB0AD6" w14:textId="4C49596B"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15.5</w:t>
            </w:r>
          </w:p>
        </w:tc>
        <w:tc>
          <w:tcPr>
            <w:tcW w:w="642" w:type="dxa"/>
            <w:tcBorders>
              <w:left w:val="single" w:sz="4" w:space="0" w:color="auto"/>
            </w:tcBorders>
            <w:vAlign w:val="center"/>
          </w:tcPr>
          <w:p w14:paraId="4B0BAF26" w14:textId="648D4E01"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n/a</w:t>
            </w:r>
          </w:p>
        </w:tc>
        <w:tc>
          <w:tcPr>
            <w:tcW w:w="644" w:type="dxa"/>
            <w:vAlign w:val="center"/>
          </w:tcPr>
          <w:p w14:paraId="1A4B24DE" w14:textId="5BCCF01B"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13.1</w:t>
            </w:r>
          </w:p>
        </w:tc>
        <w:tc>
          <w:tcPr>
            <w:tcW w:w="643" w:type="dxa"/>
            <w:vAlign w:val="center"/>
          </w:tcPr>
          <w:p w14:paraId="4FD206E1" w14:textId="52B1DCEE"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15.7</w:t>
            </w:r>
          </w:p>
        </w:tc>
        <w:tc>
          <w:tcPr>
            <w:tcW w:w="644" w:type="dxa"/>
            <w:vAlign w:val="center"/>
          </w:tcPr>
          <w:p w14:paraId="475EC259" w14:textId="5E920C45"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19.1</w:t>
            </w:r>
          </w:p>
        </w:tc>
        <w:tc>
          <w:tcPr>
            <w:tcW w:w="643" w:type="dxa"/>
            <w:vAlign w:val="center"/>
          </w:tcPr>
          <w:p w14:paraId="1952BDA8" w14:textId="1531583C"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22.2</w:t>
            </w:r>
          </w:p>
        </w:tc>
        <w:tc>
          <w:tcPr>
            <w:tcW w:w="644" w:type="dxa"/>
            <w:tcBorders>
              <w:right w:val="single" w:sz="4" w:space="0" w:color="auto"/>
            </w:tcBorders>
            <w:vAlign w:val="center"/>
          </w:tcPr>
          <w:p w14:paraId="16428A09" w14:textId="3B1A6B79"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21.8</w:t>
            </w:r>
          </w:p>
        </w:tc>
        <w:tc>
          <w:tcPr>
            <w:tcW w:w="643" w:type="dxa"/>
            <w:tcBorders>
              <w:left w:val="single" w:sz="4" w:space="0" w:color="auto"/>
            </w:tcBorders>
            <w:vAlign w:val="center"/>
          </w:tcPr>
          <w:p w14:paraId="11B630FF" w14:textId="5BFE6085"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n/a</w:t>
            </w:r>
          </w:p>
        </w:tc>
        <w:tc>
          <w:tcPr>
            <w:tcW w:w="644" w:type="dxa"/>
            <w:vAlign w:val="center"/>
          </w:tcPr>
          <w:p w14:paraId="1582632F" w14:textId="58198480"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1.0</w:t>
            </w:r>
          </w:p>
        </w:tc>
        <w:tc>
          <w:tcPr>
            <w:tcW w:w="643" w:type="dxa"/>
            <w:vAlign w:val="center"/>
          </w:tcPr>
          <w:p w14:paraId="4623AC8F" w14:textId="66545D01"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0.8</w:t>
            </w:r>
          </w:p>
        </w:tc>
        <w:tc>
          <w:tcPr>
            <w:tcW w:w="644" w:type="dxa"/>
            <w:vAlign w:val="center"/>
          </w:tcPr>
          <w:p w14:paraId="619FC369" w14:textId="5A7CFC4A"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0.9</w:t>
            </w:r>
          </w:p>
        </w:tc>
        <w:tc>
          <w:tcPr>
            <w:tcW w:w="643" w:type="dxa"/>
            <w:vAlign w:val="center"/>
          </w:tcPr>
          <w:p w14:paraId="49188EB3" w14:textId="4820202E"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0.8</w:t>
            </w:r>
          </w:p>
        </w:tc>
        <w:tc>
          <w:tcPr>
            <w:tcW w:w="644" w:type="dxa"/>
            <w:vAlign w:val="center"/>
          </w:tcPr>
          <w:p w14:paraId="4E275706" w14:textId="62A15300"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0.9</w:t>
            </w:r>
          </w:p>
        </w:tc>
      </w:tr>
      <w:tr w:rsidR="004D4BD8" w:rsidRPr="00EF6E3A" w14:paraId="545C75BC" w14:textId="77777777" w:rsidTr="004D4BD8">
        <w:trPr>
          <w:trHeight w:val="240"/>
        </w:trPr>
        <w:tc>
          <w:tcPr>
            <w:tcW w:w="2426" w:type="dxa"/>
            <w:tcBorders>
              <w:right w:val="single" w:sz="4" w:space="0" w:color="auto"/>
            </w:tcBorders>
            <w:shd w:val="clear" w:color="auto" w:fill="auto"/>
            <w:noWrap/>
            <w:vAlign w:val="center"/>
            <w:hideMark/>
          </w:tcPr>
          <w:p w14:paraId="48A537C4"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 xml:space="preserve">Transport, storage, </w:t>
            </w:r>
            <w:proofErr w:type="spellStart"/>
            <w:r w:rsidRPr="00EF6E3A">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0559407C" w14:textId="34F84918"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 xml:space="preserve"> n/a </w:t>
            </w:r>
          </w:p>
        </w:tc>
        <w:tc>
          <w:tcPr>
            <w:tcW w:w="643" w:type="dxa"/>
            <w:vAlign w:val="center"/>
          </w:tcPr>
          <w:p w14:paraId="4C0B8633" w14:textId="3418F4C9"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14.3</w:t>
            </w:r>
          </w:p>
        </w:tc>
        <w:tc>
          <w:tcPr>
            <w:tcW w:w="642" w:type="dxa"/>
            <w:vAlign w:val="center"/>
          </w:tcPr>
          <w:p w14:paraId="7128325C" w14:textId="3C739F68"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11.0</w:t>
            </w:r>
          </w:p>
        </w:tc>
        <w:tc>
          <w:tcPr>
            <w:tcW w:w="643" w:type="dxa"/>
            <w:vAlign w:val="center"/>
          </w:tcPr>
          <w:p w14:paraId="2E20D97A" w14:textId="3AB73133"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11.0</w:t>
            </w:r>
          </w:p>
        </w:tc>
        <w:tc>
          <w:tcPr>
            <w:tcW w:w="642" w:type="dxa"/>
            <w:vAlign w:val="center"/>
          </w:tcPr>
          <w:p w14:paraId="3D43DFEF" w14:textId="20E731E5"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11.1</w:t>
            </w:r>
          </w:p>
        </w:tc>
        <w:tc>
          <w:tcPr>
            <w:tcW w:w="643" w:type="dxa"/>
            <w:tcBorders>
              <w:right w:val="single" w:sz="4" w:space="0" w:color="auto"/>
            </w:tcBorders>
            <w:vAlign w:val="center"/>
          </w:tcPr>
          <w:p w14:paraId="6FF299A8" w14:textId="6071D2CA"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10.8</w:t>
            </w:r>
          </w:p>
        </w:tc>
        <w:tc>
          <w:tcPr>
            <w:tcW w:w="642" w:type="dxa"/>
            <w:tcBorders>
              <w:left w:val="single" w:sz="4" w:space="0" w:color="auto"/>
            </w:tcBorders>
            <w:vAlign w:val="center"/>
          </w:tcPr>
          <w:p w14:paraId="48FDA6F6" w14:textId="7817C0DC"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n/a</w:t>
            </w:r>
          </w:p>
        </w:tc>
        <w:tc>
          <w:tcPr>
            <w:tcW w:w="644" w:type="dxa"/>
            <w:vAlign w:val="center"/>
          </w:tcPr>
          <w:p w14:paraId="45FAF89E" w14:textId="1611A9B5"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4.5</w:t>
            </w:r>
          </w:p>
        </w:tc>
        <w:tc>
          <w:tcPr>
            <w:tcW w:w="643" w:type="dxa"/>
            <w:vAlign w:val="center"/>
          </w:tcPr>
          <w:p w14:paraId="4820A9A7" w14:textId="1AE1136F"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4.4</w:t>
            </w:r>
          </w:p>
        </w:tc>
        <w:tc>
          <w:tcPr>
            <w:tcW w:w="644" w:type="dxa"/>
            <w:vAlign w:val="center"/>
          </w:tcPr>
          <w:p w14:paraId="281946DC" w14:textId="582E5350"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5.4</w:t>
            </w:r>
          </w:p>
        </w:tc>
        <w:tc>
          <w:tcPr>
            <w:tcW w:w="643" w:type="dxa"/>
            <w:vAlign w:val="center"/>
          </w:tcPr>
          <w:p w14:paraId="6CC01B91" w14:textId="2CB72350"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6.5</w:t>
            </w:r>
          </w:p>
        </w:tc>
        <w:tc>
          <w:tcPr>
            <w:tcW w:w="644" w:type="dxa"/>
            <w:tcBorders>
              <w:right w:val="single" w:sz="4" w:space="0" w:color="auto"/>
            </w:tcBorders>
            <w:vAlign w:val="center"/>
          </w:tcPr>
          <w:p w14:paraId="20EE8BFA" w14:textId="3A84D012"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6.2</w:t>
            </w:r>
          </w:p>
        </w:tc>
        <w:tc>
          <w:tcPr>
            <w:tcW w:w="643" w:type="dxa"/>
            <w:tcBorders>
              <w:left w:val="single" w:sz="4" w:space="0" w:color="auto"/>
            </w:tcBorders>
            <w:vAlign w:val="center"/>
          </w:tcPr>
          <w:p w14:paraId="7A7CCADC" w14:textId="7984D07C"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n/a</w:t>
            </w:r>
          </w:p>
        </w:tc>
        <w:tc>
          <w:tcPr>
            <w:tcW w:w="644" w:type="dxa"/>
            <w:vAlign w:val="center"/>
          </w:tcPr>
          <w:p w14:paraId="207F6058" w14:textId="5606923F"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2.8</w:t>
            </w:r>
          </w:p>
        </w:tc>
        <w:tc>
          <w:tcPr>
            <w:tcW w:w="643" w:type="dxa"/>
            <w:vAlign w:val="center"/>
          </w:tcPr>
          <w:p w14:paraId="519FE490" w14:textId="091669DB"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2.0</w:t>
            </w:r>
          </w:p>
        </w:tc>
        <w:tc>
          <w:tcPr>
            <w:tcW w:w="644" w:type="dxa"/>
            <w:vAlign w:val="center"/>
          </w:tcPr>
          <w:p w14:paraId="7E1044EC" w14:textId="0182DB08"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2.0</w:t>
            </w:r>
          </w:p>
        </w:tc>
        <w:tc>
          <w:tcPr>
            <w:tcW w:w="643" w:type="dxa"/>
            <w:vAlign w:val="center"/>
          </w:tcPr>
          <w:p w14:paraId="5130FF0E" w14:textId="090BF1FB"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2.4</w:t>
            </w:r>
          </w:p>
        </w:tc>
        <w:tc>
          <w:tcPr>
            <w:tcW w:w="644" w:type="dxa"/>
            <w:vAlign w:val="center"/>
          </w:tcPr>
          <w:p w14:paraId="5FB59686" w14:textId="3DAC7D6E"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2.2</w:t>
            </w:r>
          </w:p>
        </w:tc>
      </w:tr>
      <w:tr w:rsidR="004D4BD8" w:rsidRPr="00EF6E3A" w14:paraId="04B13E8D" w14:textId="77777777" w:rsidTr="004D4BD8">
        <w:trPr>
          <w:trHeight w:val="240"/>
        </w:trPr>
        <w:tc>
          <w:tcPr>
            <w:tcW w:w="2426" w:type="dxa"/>
            <w:tcBorders>
              <w:bottom w:val="single" w:sz="4" w:space="0" w:color="auto"/>
              <w:right w:val="single" w:sz="4" w:space="0" w:color="auto"/>
            </w:tcBorders>
            <w:shd w:val="clear" w:color="auto" w:fill="auto"/>
            <w:noWrap/>
            <w:vAlign w:val="center"/>
            <w:hideMark/>
          </w:tcPr>
          <w:p w14:paraId="7A1D8C14"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5A93D2DA" w14:textId="09B07CDB"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 xml:space="preserve"> n/a </w:t>
            </w:r>
          </w:p>
        </w:tc>
        <w:tc>
          <w:tcPr>
            <w:tcW w:w="643" w:type="dxa"/>
            <w:tcBorders>
              <w:bottom w:val="single" w:sz="4" w:space="0" w:color="auto"/>
            </w:tcBorders>
            <w:vAlign w:val="center"/>
          </w:tcPr>
          <w:p w14:paraId="740CCB23" w14:textId="52B29F7F"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32.8</w:t>
            </w:r>
          </w:p>
        </w:tc>
        <w:tc>
          <w:tcPr>
            <w:tcW w:w="642" w:type="dxa"/>
            <w:tcBorders>
              <w:bottom w:val="single" w:sz="4" w:space="0" w:color="auto"/>
            </w:tcBorders>
            <w:vAlign w:val="center"/>
          </w:tcPr>
          <w:p w14:paraId="29D9E4AB" w14:textId="299D9EFC"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19.2</w:t>
            </w:r>
          </w:p>
        </w:tc>
        <w:tc>
          <w:tcPr>
            <w:tcW w:w="643" w:type="dxa"/>
            <w:tcBorders>
              <w:bottom w:val="single" w:sz="4" w:space="0" w:color="auto"/>
            </w:tcBorders>
            <w:vAlign w:val="center"/>
          </w:tcPr>
          <w:p w14:paraId="27263DA1" w14:textId="1EE8E6D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18.0</w:t>
            </w:r>
          </w:p>
        </w:tc>
        <w:tc>
          <w:tcPr>
            <w:tcW w:w="642" w:type="dxa"/>
            <w:tcBorders>
              <w:bottom w:val="single" w:sz="4" w:space="0" w:color="auto"/>
            </w:tcBorders>
            <w:vAlign w:val="center"/>
          </w:tcPr>
          <w:p w14:paraId="0117043C" w14:textId="67EC8FE8"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18.5</w:t>
            </w:r>
          </w:p>
        </w:tc>
        <w:tc>
          <w:tcPr>
            <w:tcW w:w="643" w:type="dxa"/>
            <w:tcBorders>
              <w:bottom w:val="single" w:sz="4" w:space="0" w:color="auto"/>
              <w:right w:val="single" w:sz="4" w:space="0" w:color="auto"/>
            </w:tcBorders>
            <w:vAlign w:val="center"/>
          </w:tcPr>
          <w:p w14:paraId="6B0A34DB" w14:textId="7959B442"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22.7</w:t>
            </w:r>
          </w:p>
        </w:tc>
        <w:tc>
          <w:tcPr>
            <w:tcW w:w="642" w:type="dxa"/>
            <w:tcBorders>
              <w:left w:val="single" w:sz="4" w:space="0" w:color="auto"/>
              <w:bottom w:val="single" w:sz="4" w:space="0" w:color="auto"/>
            </w:tcBorders>
            <w:vAlign w:val="center"/>
          </w:tcPr>
          <w:p w14:paraId="019AA535" w14:textId="6F2DAB72"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n/a</w:t>
            </w:r>
          </w:p>
        </w:tc>
        <w:tc>
          <w:tcPr>
            <w:tcW w:w="644" w:type="dxa"/>
            <w:tcBorders>
              <w:bottom w:val="single" w:sz="4" w:space="0" w:color="auto"/>
            </w:tcBorders>
            <w:vAlign w:val="center"/>
          </w:tcPr>
          <w:p w14:paraId="24C093A2" w14:textId="09532E41"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22.6</w:t>
            </w:r>
          </w:p>
        </w:tc>
        <w:tc>
          <w:tcPr>
            <w:tcW w:w="643" w:type="dxa"/>
            <w:tcBorders>
              <w:bottom w:val="single" w:sz="4" w:space="0" w:color="auto"/>
            </w:tcBorders>
            <w:vAlign w:val="center"/>
          </w:tcPr>
          <w:p w14:paraId="0AEC7C3B" w14:textId="5A310B46"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25.1</w:t>
            </w:r>
          </w:p>
        </w:tc>
        <w:tc>
          <w:tcPr>
            <w:tcW w:w="644" w:type="dxa"/>
            <w:tcBorders>
              <w:bottom w:val="single" w:sz="4" w:space="0" w:color="auto"/>
            </w:tcBorders>
            <w:vAlign w:val="center"/>
          </w:tcPr>
          <w:p w14:paraId="2D66A243" w14:textId="41F406E6"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27.2</w:t>
            </w:r>
          </w:p>
        </w:tc>
        <w:tc>
          <w:tcPr>
            <w:tcW w:w="643" w:type="dxa"/>
            <w:tcBorders>
              <w:bottom w:val="single" w:sz="4" w:space="0" w:color="auto"/>
            </w:tcBorders>
            <w:vAlign w:val="center"/>
          </w:tcPr>
          <w:p w14:paraId="556BB6B9" w14:textId="21672C35"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28.1</w:t>
            </w:r>
          </w:p>
        </w:tc>
        <w:tc>
          <w:tcPr>
            <w:tcW w:w="644" w:type="dxa"/>
            <w:tcBorders>
              <w:bottom w:val="single" w:sz="4" w:space="0" w:color="auto"/>
              <w:right w:val="single" w:sz="4" w:space="0" w:color="auto"/>
            </w:tcBorders>
            <w:vAlign w:val="center"/>
          </w:tcPr>
          <w:p w14:paraId="204DB941" w14:textId="00318059"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27.3</w:t>
            </w:r>
          </w:p>
        </w:tc>
        <w:tc>
          <w:tcPr>
            <w:tcW w:w="643" w:type="dxa"/>
            <w:tcBorders>
              <w:left w:val="single" w:sz="4" w:space="0" w:color="auto"/>
              <w:bottom w:val="single" w:sz="4" w:space="0" w:color="auto"/>
            </w:tcBorders>
            <w:vAlign w:val="center"/>
          </w:tcPr>
          <w:p w14:paraId="60C8ACE8" w14:textId="75DEED93"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n/a</w:t>
            </w:r>
          </w:p>
        </w:tc>
        <w:tc>
          <w:tcPr>
            <w:tcW w:w="644" w:type="dxa"/>
            <w:tcBorders>
              <w:bottom w:val="single" w:sz="4" w:space="0" w:color="auto"/>
            </w:tcBorders>
            <w:vAlign w:val="center"/>
          </w:tcPr>
          <w:p w14:paraId="0D9E2643" w14:textId="62BB0ADC"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1.0</w:t>
            </w:r>
          </w:p>
        </w:tc>
        <w:tc>
          <w:tcPr>
            <w:tcW w:w="643" w:type="dxa"/>
            <w:tcBorders>
              <w:bottom w:val="single" w:sz="4" w:space="0" w:color="auto"/>
            </w:tcBorders>
            <w:vAlign w:val="center"/>
          </w:tcPr>
          <w:p w14:paraId="072E93FD" w14:textId="0B62C01E"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0.7</w:t>
            </w:r>
          </w:p>
        </w:tc>
        <w:tc>
          <w:tcPr>
            <w:tcW w:w="644" w:type="dxa"/>
            <w:tcBorders>
              <w:bottom w:val="single" w:sz="4" w:space="0" w:color="auto"/>
            </w:tcBorders>
            <w:vAlign w:val="center"/>
          </w:tcPr>
          <w:p w14:paraId="20EFF481" w14:textId="7E919AC1"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0.7</w:t>
            </w:r>
          </w:p>
        </w:tc>
        <w:tc>
          <w:tcPr>
            <w:tcW w:w="643" w:type="dxa"/>
            <w:tcBorders>
              <w:bottom w:val="single" w:sz="4" w:space="0" w:color="auto"/>
            </w:tcBorders>
            <w:vAlign w:val="center"/>
          </w:tcPr>
          <w:p w14:paraId="3083B70E" w14:textId="455964CD"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0.7</w:t>
            </w:r>
          </w:p>
        </w:tc>
        <w:tc>
          <w:tcPr>
            <w:tcW w:w="644" w:type="dxa"/>
            <w:tcBorders>
              <w:bottom w:val="single" w:sz="4" w:space="0" w:color="auto"/>
            </w:tcBorders>
            <w:vAlign w:val="center"/>
          </w:tcPr>
          <w:p w14:paraId="481264C9" w14:textId="0FDF8928"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0.8</w:t>
            </w:r>
          </w:p>
        </w:tc>
      </w:tr>
      <w:tr w:rsidR="004D4BD8" w:rsidRPr="00EF6E3A" w14:paraId="668D1606" w14:textId="77777777" w:rsidTr="004D4BD8">
        <w:trPr>
          <w:trHeight w:val="240"/>
        </w:trPr>
        <w:tc>
          <w:tcPr>
            <w:tcW w:w="2426" w:type="dxa"/>
            <w:tcBorders>
              <w:bottom w:val="single" w:sz="4" w:space="0" w:color="auto"/>
              <w:right w:val="single" w:sz="4" w:space="0" w:color="auto"/>
            </w:tcBorders>
            <w:shd w:val="clear" w:color="auto" w:fill="auto"/>
            <w:noWrap/>
            <w:vAlign w:val="center"/>
            <w:hideMark/>
          </w:tcPr>
          <w:p w14:paraId="1EB95E4C" w14:textId="77777777" w:rsidR="004D4BD8" w:rsidRPr="00EF6E3A" w:rsidRDefault="004D4BD8" w:rsidP="004D4BD8">
            <w:pPr>
              <w:rPr>
                <w:rFonts w:ascii="Arial" w:eastAsia="Times New Roman" w:hAnsi="Arial" w:cs="Arial"/>
                <w:b/>
                <w:iCs/>
                <w:sz w:val="17"/>
                <w:szCs w:val="17"/>
                <w:lang w:eastAsia="en-GB"/>
              </w:rPr>
            </w:pPr>
            <w:r w:rsidRPr="00EF6E3A">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shd w:val="clear" w:color="auto" w:fill="auto"/>
            <w:vAlign w:val="center"/>
          </w:tcPr>
          <w:p w14:paraId="4863507E" w14:textId="49AC182D" w:rsidR="004D4BD8" w:rsidRPr="00EF6E3A" w:rsidRDefault="004D4BD8" w:rsidP="004D4BD8">
            <w:pPr>
              <w:ind w:left="72" w:right="72"/>
              <w:jc w:val="right"/>
              <w:rPr>
                <w:rFonts w:ascii="Arial" w:eastAsia="Times New Roman" w:hAnsi="Arial" w:cs="Arial"/>
                <w:b/>
                <w:sz w:val="17"/>
                <w:szCs w:val="17"/>
                <w:lang w:eastAsia="en-GB"/>
              </w:rPr>
            </w:pPr>
            <w:r w:rsidRPr="00EF6E3A">
              <w:rPr>
                <w:rFonts w:ascii="Arial" w:eastAsia="Times New Roman" w:hAnsi="Arial" w:cs="Arial"/>
                <w:b/>
                <w:sz w:val="17"/>
                <w:szCs w:val="17"/>
                <w:lang w:eastAsia="en-GB"/>
              </w:rPr>
              <w:t>n/a</w:t>
            </w:r>
          </w:p>
        </w:tc>
        <w:tc>
          <w:tcPr>
            <w:tcW w:w="643" w:type="dxa"/>
            <w:tcBorders>
              <w:bottom w:val="single" w:sz="4" w:space="0" w:color="auto"/>
            </w:tcBorders>
            <w:vAlign w:val="center"/>
          </w:tcPr>
          <w:p w14:paraId="2513C52C" w14:textId="77777777" w:rsidR="004D4BD8" w:rsidRPr="00EF6E3A" w:rsidRDefault="004D4BD8" w:rsidP="004D4BD8">
            <w:pPr>
              <w:ind w:left="72" w:right="72"/>
              <w:jc w:val="right"/>
              <w:rPr>
                <w:rFonts w:ascii="Arial" w:eastAsia="Times New Roman" w:hAnsi="Arial" w:cs="Arial"/>
                <w:b/>
                <w:sz w:val="17"/>
                <w:szCs w:val="17"/>
                <w:lang w:eastAsia="en-GB"/>
              </w:rPr>
            </w:pPr>
            <w:r w:rsidRPr="00EF6E3A">
              <w:rPr>
                <w:rFonts w:ascii="Arial" w:eastAsia="Times New Roman" w:hAnsi="Arial" w:cs="Arial"/>
                <w:b/>
                <w:bCs/>
                <w:sz w:val="17"/>
                <w:szCs w:val="17"/>
                <w:lang w:eastAsia="en-GB"/>
              </w:rPr>
              <w:t>100</w:t>
            </w:r>
          </w:p>
        </w:tc>
        <w:tc>
          <w:tcPr>
            <w:tcW w:w="642" w:type="dxa"/>
            <w:tcBorders>
              <w:bottom w:val="single" w:sz="4" w:space="0" w:color="auto"/>
            </w:tcBorders>
            <w:vAlign w:val="center"/>
          </w:tcPr>
          <w:p w14:paraId="027FE2D5" w14:textId="77777777" w:rsidR="004D4BD8" w:rsidRPr="00EF6E3A" w:rsidRDefault="004D4BD8" w:rsidP="004D4BD8">
            <w:pPr>
              <w:ind w:left="72" w:right="72"/>
              <w:jc w:val="right"/>
              <w:rPr>
                <w:rFonts w:ascii="Arial" w:eastAsia="Times New Roman" w:hAnsi="Arial" w:cs="Arial"/>
                <w:b/>
                <w:sz w:val="17"/>
                <w:szCs w:val="17"/>
                <w:lang w:eastAsia="en-GB"/>
              </w:rPr>
            </w:pPr>
            <w:r w:rsidRPr="00EF6E3A">
              <w:rPr>
                <w:rFonts w:ascii="Arial" w:eastAsia="Times New Roman" w:hAnsi="Arial" w:cs="Arial"/>
                <w:b/>
                <w:bCs/>
                <w:sz w:val="17"/>
                <w:szCs w:val="17"/>
                <w:lang w:eastAsia="en-GB"/>
              </w:rPr>
              <w:t>100</w:t>
            </w:r>
          </w:p>
        </w:tc>
        <w:tc>
          <w:tcPr>
            <w:tcW w:w="643" w:type="dxa"/>
            <w:tcBorders>
              <w:bottom w:val="single" w:sz="4" w:space="0" w:color="auto"/>
            </w:tcBorders>
            <w:vAlign w:val="center"/>
          </w:tcPr>
          <w:p w14:paraId="7F2DC18B" w14:textId="77777777" w:rsidR="004D4BD8" w:rsidRPr="00EF6E3A" w:rsidRDefault="004D4BD8" w:rsidP="004D4BD8">
            <w:pPr>
              <w:ind w:left="72" w:right="72"/>
              <w:jc w:val="right"/>
              <w:rPr>
                <w:rFonts w:ascii="Arial" w:eastAsia="Times New Roman" w:hAnsi="Arial" w:cs="Arial"/>
                <w:b/>
                <w:sz w:val="17"/>
                <w:szCs w:val="17"/>
                <w:lang w:eastAsia="en-GB"/>
              </w:rPr>
            </w:pPr>
            <w:r w:rsidRPr="00EF6E3A">
              <w:rPr>
                <w:rFonts w:ascii="Arial" w:eastAsia="Times New Roman" w:hAnsi="Arial" w:cs="Arial"/>
                <w:b/>
                <w:bCs/>
                <w:sz w:val="17"/>
                <w:szCs w:val="17"/>
                <w:lang w:eastAsia="en-GB"/>
              </w:rPr>
              <w:t>100</w:t>
            </w:r>
          </w:p>
        </w:tc>
        <w:tc>
          <w:tcPr>
            <w:tcW w:w="642" w:type="dxa"/>
            <w:tcBorders>
              <w:bottom w:val="single" w:sz="4" w:space="0" w:color="auto"/>
            </w:tcBorders>
            <w:vAlign w:val="center"/>
          </w:tcPr>
          <w:p w14:paraId="1966EC3C" w14:textId="77777777" w:rsidR="004D4BD8" w:rsidRPr="00EF6E3A" w:rsidRDefault="004D4BD8" w:rsidP="004D4BD8">
            <w:pPr>
              <w:ind w:left="72" w:right="72"/>
              <w:jc w:val="right"/>
              <w:rPr>
                <w:rFonts w:ascii="Arial" w:eastAsia="Times New Roman" w:hAnsi="Arial" w:cs="Arial"/>
                <w:b/>
                <w:sz w:val="17"/>
                <w:szCs w:val="17"/>
                <w:lang w:eastAsia="en-GB"/>
              </w:rPr>
            </w:pPr>
            <w:r w:rsidRPr="00EF6E3A">
              <w:rPr>
                <w:rFonts w:ascii="Arial" w:eastAsia="Times New Roman" w:hAnsi="Arial" w:cs="Arial"/>
                <w:b/>
                <w:bCs/>
                <w:sz w:val="17"/>
                <w:szCs w:val="17"/>
                <w:lang w:eastAsia="en-GB"/>
              </w:rPr>
              <w:t>100</w:t>
            </w:r>
          </w:p>
        </w:tc>
        <w:tc>
          <w:tcPr>
            <w:tcW w:w="643" w:type="dxa"/>
            <w:tcBorders>
              <w:bottom w:val="single" w:sz="4" w:space="0" w:color="auto"/>
              <w:right w:val="single" w:sz="4" w:space="0" w:color="auto"/>
            </w:tcBorders>
            <w:vAlign w:val="center"/>
          </w:tcPr>
          <w:p w14:paraId="1C817212" w14:textId="77777777" w:rsidR="004D4BD8" w:rsidRPr="00EF6E3A" w:rsidRDefault="004D4BD8" w:rsidP="004D4BD8">
            <w:pPr>
              <w:ind w:left="72" w:right="72"/>
              <w:jc w:val="right"/>
              <w:rPr>
                <w:rFonts w:ascii="Arial" w:eastAsia="Times New Roman" w:hAnsi="Arial" w:cs="Arial"/>
                <w:b/>
                <w:sz w:val="17"/>
                <w:szCs w:val="17"/>
                <w:lang w:eastAsia="en-GB"/>
              </w:rPr>
            </w:pPr>
            <w:r w:rsidRPr="00EF6E3A">
              <w:rPr>
                <w:rFonts w:ascii="Arial" w:eastAsia="Times New Roman" w:hAnsi="Arial" w:cs="Arial"/>
                <w:b/>
                <w:bCs/>
                <w:sz w:val="17"/>
                <w:szCs w:val="17"/>
                <w:lang w:eastAsia="en-GB"/>
              </w:rPr>
              <w:t>100</w:t>
            </w:r>
          </w:p>
        </w:tc>
        <w:tc>
          <w:tcPr>
            <w:tcW w:w="642" w:type="dxa"/>
            <w:tcBorders>
              <w:left w:val="single" w:sz="4" w:space="0" w:color="auto"/>
              <w:bottom w:val="single" w:sz="4" w:space="0" w:color="auto"/>
            </w:tcBorders>
            <w:vAlign w:val="center"/>
          </w:tcPr>
          <w:p w14:paraId="2D01DFD3" w14:textId="77777777" w:rsidR="004D4BD8" w:rsidRPr="00EF6E3A" w:rsidRDefault="004D4BD8" w:rsidP="004D4BD8">
            <w:pPr>
              <w:ind w:left="72" w:right="72"/>
              <w:jc w:val="right"/>
              <w:rPr>
                <w:rFonts w:ascii="Arial" w:hAnsi="Arial" w:cs="Arial"/>
                <w:b/>
                <w:iCs/>
                <w:sz w:val="17"/>
                <w:szCs w:val="17"/>
              </w:rPr>
            </w:pPr>
            <w:r w:rsidRPr="00EF6E3A">
              <w:rPr>
                <w:rFonts w:ascii="Arial" w:eastAsia="Times New Roman" w:hAnsi="Arial" w:cs="Arial"/>
                <w:b/>
                <w:iCs/>
                <w:sz w:val="17"/>
                <w:szCs w:val="17"/>
                <w:lang w:eastAsia="en-GB"/>
              </w:rPr>
              <w:t>n/a</w:t>
            </w:r>
          </w:p>
        </w:tc>
        <w:tc>
          <w:tcPr>
            <w:tcW w:w="644" w:type="dxa"/>
            <w:tcBorders>
              <w:bottom w:val="single" w:sz="4" w:space="0" w:color="auto"/>
            </w:tcBorders>
            <w:vAlign w:val="center"/>
          </w:tcPr>
          <w:p w14:paraId="3BF47FD6" w14:textId="77777777" w:rsidR="004D4BD8" w:rsidRPr="00EF6E3A" w:rsidRDefault="004D4BD8" w:rsidP="004D4BD8">
            <w:pPr>
              <w:ind w:left="72" w:right="72"/>
              <w:jc w:val="right"/>
              <w:rPr>
                <w:rFonts w:ascii="Arial" w:hAnsi="Arial" w:cs="Arial"/>
                <w:b/>
                <w:iCs/>
                <w:sz w:val="17"/>
                <w:szCs w:val="17"/>
              </w:rPr>
            </w:pPr>
            <w:r w:rsidRPr="00EF6E3A">
              <w:rPr>
                <w:rFonts w:ascii="Arial" w:eastAsia="Times New Roman" w:hAnsi="Arial" w:cs="Arial"/>
                <w:b/>
                <w:iCs/>
                <w:sz w:val="17"/>
                <w:szCs w:val="17"/>
                <w:lang w:eastAsia="en-GB"/>
              </w:rPr>
              <w:t>100</w:t>
            </w:r>
          </w:p>
        </w:tc>
        <w:tc>
          <w:tcPr>
            <w:tcW w:w="643" w:type="dxa"/>
            <w:tcBorders>
              <w:bottom w:val="single" w:sz="4" w:space="0" w:color="auto"/>
            </w:tcBorders>
            <w:vAlign w:val="center"/>
          </w:tcPr>
          <w:p w14:paraId="2DD91AF2" w14:textId="77777777" w:rsidR="004D4BD8" w:rsidRPr="00EF6E3A" w:rsidRDefault="004D4BD8" w:rsidP="004D4BD8">
            <w:pPr>
              <w:ind w:left="72" w:right="72"/>
              <w:jc w:val="right"/>
              <w:rPr>
                <w:rFonts w:ascii="Arial" w:hAnsi="Arial" w:cs="Arial"/>
                <w:b/>
                <w:iCs/>
                <w:sz w:val="17"/>
                <w:szCs w:val="17"/>
              </w:rPr>
            </w:pPr>
            <w:r w:rsidRPr="00EF6E3A">
              <w:rPr>
                <w:rFonts w:ascii="Arial" w:eastAsia="Times New Roman" w:hAnsi="Arial" w:cs="Arial"/>
                <w:b/>
                <w:iCs/>
                <w:sz w:val="17"/>
                <w:szCs w:val="17"/>
                <w:lang w:eastAsia="en-GB"/>
              </w:rPr>
              <w:t>100</w:t>
            </w:r>
          </w:p>
        </w:tc>
        <w:tc>
          <w:tcPr>
            <w:tcW w:w="644" w:type="dxa"/>
            <w:tcBorders>
              <w:bottom w:val="single" w:sz="4" w:space="0" w:color="auto"/>
            </w:tcBorders>
            <w:vAlign w:val="center"/>
          </w:tcPr>
          <w:p w14:paraId="7CEB8675" w14:textId="77777777" w:rsidR="004D4BD8" w:rsidRPr="00EF6E3A" w:rsidRDefault="004D4BD8" w:rsidP="004D4BD8">
            <w:pPr>
              <w:ind w:left="72" w:right="72"/>
              <w:jc w:val="right"/>
              <w:rPr>
                <w:rFonts w:ascii="Arial" w:hAnsi="Arial" w:cs="Arial"/>
                <w:b/>
                <w:iCs/>
                <w:sz w:val="17"/>
                <w:szCs w:val="17"/>
              </w:rPr>
            </w:pPr>
            <w:r w:rsidRPr="00EF6E3A">
              <w:rPr>
                <w:rFonts w:ascii="Arial" w:eastAsia="Times New Roman" w:hAnsi="Arial" w:cs="Arial"/>
                <w:b/>
                <w:iCs/>
                <w:sz w:val="17"/>
                <w:szCs w:val="17"/>
                <w:lang w:eastAsia="en-GB"/>
              </w:rPr>
              <w:t>100</w:t>
            </w:r>
          </w:p>
        </w:tc>
        <w:tc>
          <w:tcPr>
            <w:tcW w:w="643" w:type="dxa"/>
            <w:tcBorders>
              <w:bottom w:val="single" w:sz="4" w:space="0" w:color="auto"/>
            </w:tcBorders>
            <w:vAlign w:val="center"/>
          </w:tcPr>
          <w:p w14:paraId="729240D2" w14:textId="77777777" w:rsidR="004D4BD8" w:rsidRPr="00EF6E3A" w:rsidRDefault="004D4BD8" w:rsidP="004D4BD8">
            <w:pPr>
              <w:ind w:left="72" w:right="72"/>
              <w:jc w:val="right"/>
              <w:rPr>
                <w:rFonts w:ascii="Arial" w:hAnsi="Arial" w:cs="Arial"/>
                <w:b/>
                <w:iCs/>
                <w:sz w:val="17"/>
                <w:szCs w:val="17"/>
              </w:rPr>
            </w:pPr>
            <w:r w:rsidRPr="00EF6E3A">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6FCD9DF7" w14:textId="77777777" w:rsidR="004D4BD8" w:rsidRPr="00EF6E3A" w:rsidRDefault="004D4BD8" w:rsidP="004D4BD8">
            <w:pPr>
              <w:ind w:left="72" w:right="72"/>
              <w:jc w:val="right"/>
              <w:rPr>
                <w:rFonts w:ascii="Arial" w:hAnsi="Arial" w:cs="Arial"/>
                <w:b/>
                <w:iCs/>
                <w:sz w:val="17"/>
                <w:szCs w:val="17"/>
              </w:rPr>
            </w:pPr>
            <w:r w:rsidRPr="00EF6E3A">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3E31F94D" w14:textId="77777777" w:rsidR="004D4BD8" w:rsidRPr="00EF6E3A" w:rsidRDefault="004D4BD8" w:rsidP="004D4BD8">
            <w:pPr>
              <w:ind w:left="72" w:right="72"/>
              <w:jc w:val="right"/>
              <w:rPr>
                <w:rFonts w:ascii="Arial" w:eastAsia="Times New Roman" w:hAnsi="Arial" w:cs="Arial"/>
                <w:b/>
                <w:iCs/>
                <w:sz w:val="17"/>
                <w:szCs w:val="17"/>
                <w:lang w:eastAsia="en-GB"/>
              </w:rPr>
            </w:pPr>
            <w:r w:rsidRPr="00EF6E3A">
              <w:rPr>
                <w:rFonts w:ascii="Arial" w:eastAsia="Times New Roman" w:hAnsi="Arial" w:cs="Arial"/>
                <w:b/>
                <w:iCs/>
                <w:sz w:val="17"/>
                <w:szCs w:val="17"/>
                <w:lang w:eastAsia="en-GB"/>
              </w:rPr>
              <w:t>n/a</w:t>
            </w:r>
          </w:p>
        </w:tc>
        <w:tc>
          <w:tcPr>
            <w:tcW w:w="644" w:type="dxa"/>
            <w:tcBorders>
              <w:bottom w:val="single" w:sz="4" w:space="0" w:color="auto"/>
            </w:tcBorders>
            <w:vAlign w:val="center"/>
          </w:tcPr>
          <w:p w14:paraId="1E35E075" w14:textId="77777777" w:rsidR="004D4BD8" w:rsidRPr="00EF6E3A" w:rsidRDefault="004D4BD8" w:rsidP="004D4BD8">
            <w:pPr>
              <w:ind w:left="72" w:right="72"/>
              <w:jc w:val="right"/>
              <w:rPr>
                <w:rFonts w:ascii="Arial" w:eastAsia="Times New Roman" w:hAnsi="Arial" w:cs="Arial"/>
                <w:b/>
                <w:iCs/>
                <w:sz w:val="17"/>
                <w:szCs w:val="17"/>
                <w:lang w:eastAsia="en-GB"/>
              </w:rPr>
            </w:pPr>
            <w:r w:rsidRPr="00EF6E3A">
              <w:rPr>
                <w:rFonts w:ascii="Arial" w:eastAsia="Times New Roman" w:hAnsi="Arial" w:cs="Arial"/>
                <w:b/>
                <w:sz w:val="17"/>
                <w:szCs w:val="17"/>
                <w:lang w:eastAsia="en-GB"/>
              </w:rPr>
              <w:t>1.0</w:t>
            </w:r>
          </w:p>
        </w:tc>
        <w:tc>
          <w:tcPr>
            <w:tcW w:w="643" w:type="dxa"/>
            <w:tcBorders>
              <w:bottom w:val="single" w:sz="4" w:space="0" w:color="auto"/>
            </w:tcBorders>
            <w:vAlign w:val="center"/>
          </w:tcPr>
          <w:p w14:paraId="13F0A80C" w14:textId="77777777" w:rsidR="004D4BD8" w:rsidRPr="00EF6E3A" w:rsidRDefault="004D4BD8" w:rsidP="004D4BD8">
            <w:pPr>
              <w:ind w:left="72" w:right="72"/>
              <w:jc w:val="right"/>
              <w:rPr>
                <w:rFonts w:ascii="Arial" w:eastAsia="Times New Roman" w:hAnsi="Arial" w:cs="Arial"/>
                <w:b/>
                <w:iCs/>
                <w:sz w:val="17"/>
                <w:szCs w:val="17"/>
                <w:lang w:eastAsia="en-GB"/>
              </w:rPr>
            </w:pPr>
            <w:r w:rsidRPr="00EF6E3A">
              <w:rPr>
                <w:rFonts w:ascii="Arial" w:eastAsia="Times New Roman" w:hAnsi="Arial" w:cs="Arial"/>
                <w:b/>
                <w:sz w:val="17"/>
                <w:szCs w:val="17"/>
                <w:lang w:eastAsia="en-GB"/>
              </w:rPr>
              <w:t>1.0</w:t>
            </w:r>
          </w:p>
        </w:tc>
        <w:tc>
          <w:tcPr>
            <w:tcW w:w="644" w:type="dxa"/>
            <w:tcBorders>
              <w:bottom w:val="single" w:sz="4" w:space="0" w:color="auto"/>
            </w:tcBorders>
            <w:vAlign w:val="center"/>
          </w:tcPr>
          <w:p w14:paraId="126B8909" w14:textId="77777777" w:rsidR="004D4BD8" w:rsidRPr="00EF6E3A" w:rsidRDefault="004D4BD8" w:rsidP="004D4BD8">
            <w:pPr>
              <w:ind w:left="72" w:right="72"/>
              <w:jc w:val="right"/>
              <w:rPr>
                <w:rFonts w:ascii="Arial" w:eastAsia="Times New Roman" w:hAnsi="Arial" w:cs="Arial"/>
                <w:b/>
                <w:iCs/>
                <w:sz w:val="17"/>
                <w:szCs w:val="17"/>
                <w:lang w:eastAsia="en-GB"/>
              </w:rPr>
            </w:pPr>
            <w:r w:rsidRPr="00EF6E3A">
              <w:rPr>
                <w:rFonts w:ascii="Arial" w:eastAsia="Times New Roman" w:hAnsi="Arial" w:cs="Arial"/>
                <w:b/>
                <w:sz w:val="17"/>
                <w:szCs w:val="17"/>
                <w:lang w:eastAsia="en-GB"/>
              </w:rPr>
              <w:t>1.0</w:t>
            </w:r>
          </w:p>
        </w:tc>
        <w:tc>
          <w:tcPr>
            <w:tcW w:w="643" w:type="dxa"/>
            <w:tcBorders>
              <w:bottom w:val="single" w:sz="4" w:space="0" w:color="auto"/>
            </w:tcBorders>
            <w:vAlign w:val="center"/>
          </w:tcPr>
          <w:p w14:paraId="4274EC58" w14:textId="77777777" w:rsidR="004D4BD8" w:rsidRPr="00EF6E3A" w:rsidRDefault="004D4BD8" w:rsidP="004D4BD8">
            <w:pPr>
              <w:ind w:left="72" w:right="72"/>
              <w:jc w:val="right"/>
              <w:rPr>
                <w:rFonts w:ascii="Arial" w:eastAsia="Times New Roman" w:hAnsi="Arial" w:cs="Arial"/>
                <w:b/>
                <w:iCs/>
                <w:sz w:val="17"/>
                <w:szCs w:val="17"/>
                <w:lang w:eastAsia="en-GB"/>
              </w:rPr>
            </w:pPr>
            <w:r w:rsidRPr="00EF6E3A">
              <w:rPr>
                <w:rFonts w:ascii="Arial" w:eastAsia="Times New Roman" w:hAnsi="Arial" w:cs="Arial"/>
                <w:b/>
                <w:sz w:val="17"/>
                <w:szCs w:val="17"/>
                <w:lang w:eastAsia="en-GB"/>
              </w:rPr>
              <w:t>1.0</w:t>
            </w:r>
          </w:p>
        </w:tc>
        <w:tc>
          <w:tcPr>
            <w:tcW w:w="644" w:type="dxa"/>
            <w:tcBorders>
              <w:bottom w:val="single" w:sz="4" w:space="0" w:color="auto"/>
            </w:tcBorders>
            <w:vAlign w:val="center"/>
          </w:tcPr>
          <w:p w14:paraId="1A9BD027" w14:textId="77777777" w:rsidR="004D4BD8" w:rsidRPr="00EF6E3A" w:rsidRDefault="004D4BD8" w:rsidP="004D4BD8">
            <w:pPr>
              <w:ind w:left="72" w:right="72"/>
              <w:jc w:val="right"/>
              <w:rPr>
                <w:rFonts w:ascii="Arial" w:eastAsia="Times New Roman" w:hAnsi="Arial" w:cs="Arial"/>
                <w:b/>
                <w:iCs/>
                <w:sz w:val="17"/>
                <w:szCs w:val="17"/>
                <w:lang w:eastAsia="en-GB"/>
              </w:rPr>
            </w:pPr>
            <w:r w:rsidRPr="00EF6E3A">
              <w:rPr>
                <w:rFonts w:ascii="Arial" w:eastAsia="Times New Roman" w:hAnsi="Arial" w:cs="Arial"/>
                <w:b/>
                <w:sz w:val="17"/>
                <w:szCs w:val="17"/>
                <w:lang w:eastAsia="en-GB"/>
              </w:rPr>
              <w:t>1.0</w:t>
            </w:r>
          </w:p>
        </w:tc>
      </w:tr>
    </w:tbl>
    <w:p w14:paraId="4D92C450" w14:textId="77777777" w:rsidR="004D4BD8" w:rsidRDefault="004D4BD8" w:rsidP="004D4BD8">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0"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1" w:history="1">
        <w:r w:rsidRPr="00DC3FEA">
          <w:rPr>
            <w:rStyle w:val="Hyperlink"/>
          </w:rPr>
          <w:t>http://www.ilo.org/global/research/global-reports/weso/2015/lang--en/index.htm</w:t>
        </w:r>
      </w:hyperlink>
      <w:r>
        <w:t>).</w:t>
      </w:r>
    </w:p>
    <w:p w14:paraId="3863463E" w14:textId="6AEB6095" w:rsidR="004D4BD8" w:rsidRDefault="004D4BD8" w:rsidP="004D4BD8">
      <w:pPr>
        <w:pStyle w:val="TableHeading"/>
        <w:numPr>
          <w:ilvl w:val="0"/>
          <w:numId w:val="13"/>
        </w:numPr>
        <w:tabs>
          <w:tab w:val="right" w:pos="9806"/>
          <w:tab w:val="right" w:pos="13925"/>
        </w:tabs>
      </w:pPr>
      <w:bookmarkStart w:id="11" w:name="_Toc428448489"/>
      <w:r>
        <w:t xml:space="preserve">Labour productivity levels and changes, </w:t>
      </w:r>
      <w:r>
        <w:rPr>
          <w:noProof/>
        </w:rPr>
        <w:t>Yemen</w:t>
      </w:r>
      <w:r>
        <w:t xml:space="preserve">, 1991–2013 </w:t>
      </w:r>
      <w:r w:rsidR="00887216">
        <w:tab/>
      </w:r>
      <w:r>
        <w:t xml:space="preserve"> </w:t>
      </w:r>
      <w:r>
        <w:tab/>
      </w:r>
      <w:r w:rsidRPr="001B0E3C">
        <w:rPr>
          <w:color w:val="FF0000"/>
        </w:rPr>
        <w:t>NEW</w:t>
      </w:r>
      <w:bookmarkEnd w:id="11"/>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4D4BD8" w:rsidRPr="00EF6E3A" w14:paraId="02B113B2" w14:textId="77777777" w:rsidTr="004D4BD8">
        <w:tc>
          <w:tcPr>
            <w:tcW w:w="2875" w:type="dxa"/>
            <w:tcBorders>
              <w:right w:val="single" w:sz="4" w:space="0" w:color="auto"/>
            </w:tcBorders>
            <w:shd w:val="clear" w:color="auto" w:fill="D9D9D9" w:themeFill="background1" w:themeFillShade="D9"/>
            <w:noWrap/>
            <w:hideMark/>
          </w:tcPr>
          <w:p w14:paraId="538A99DB" w14:textId="77777777" w:rsidR="004D4BD8" w:rsidRPr="00EF6E3A" w:rsidRDefault="004D4BD8" w:rsidP="004D4BD8">
            <w:pPr>
              <w:ind w:left="144" w:right="144"/>
              <w:jc w:val="center"/>
              <w:rPr>
                <w:rFonts w:ascii="Arial" w:hAnsi="Arial" w:cs="Arial"/>
                <w:b/>
                <w:sz w:val="17"/>
                <w:szCs w:val="17"/>
                <w:lang w:eastAsia="en-GB"/>
              </w:rPr>
            </w:pPr>
            <w:r w:rsidRPr="00EF6E3A">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073D3E87" w14:textId="77777777" w:rsidR="004D4BD8" w:rsidRPr="00EF6E3A" w:rsidRDefault="004D4BD8" w:rsidP="004D4BD8">
            <w:pPr>
              <w:ind w:left="144" w:right="144"/>
              <w:jc w:val="center"/>
              <w:rPr>
                <w:rFonts w:ascii="Arial" w:eastAsia="Times New Roman" w:hAnsi="Arial" w:cs="Arial"/>
                <w:sz w:val="17"/>
                <w:szCs w:val="17"/>
                <w:lang w:eastAsia="en-GB"/>
              </w:rPr>
            </w:pPr>
            <w:r w:rsidRPr="00EF6E3A">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53947DF5" w14:textId="77777777" w:rsidR="004D4BD8" w:rsidRPr="00EF6E3A" w:rsidRDefault="004D4BD8" w:rsidP="004D4BD8">
            <w:pPr>
              <w:ind w:left="144" w:right="144"/>
              <w:jc w:val="center"/>
              <w:rPr>
                <w:rFonts w:ascii="Arial" w:hAnsi="Arial" w:cs="Arial"/>
                <w:b/>
                <w:bCs/>
                <w:sz w:val="17"/>
                <w:szCs w:val="17"/>
              </w:rPr>
            </w:pPr>
            <w:r w:rsidRPr="00EF6E3A">
              <w:rPr>
                <w:rFonts w:ascii="Arial" w:eastAsia="Times New Roman" w:hAnsi="Arial" w:cs="Arial"/>
                <w:b/>
                <w:bCs/>
                <w:sz w:val="17"/>
                <w:szCs w:val="17"/>
                <w:lang w:eastAsia="en-GB"/>
              </w:rPr>
              <w:t>Annualised growth in labour productivity</w:t>
            </w:r>
          </w:p>
        </w:tc>
      </w:tr>
      <w:tr w:rsidR="004D4BD8" w:rsidRPr="00EF6E3A" w14:paraId="00E56F1E" w14:textId="77777777" w:rsidTr="004D4BD8">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5E4D5886" w14:textId="77777777" w:rsidR="004D4BD8" w:rsidRPr="00EF6E3A" w:rsidRDefault="004D4BD8" w:rsidP="004D4BD8">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5849E3BF"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tcPr>
          <w:p w14:paraId="25B309C7"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tcPr>
          <w:p w14:paraId="608AE6A4"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tcPr>
          <w:p w14:paraId="4BBF0921"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7ACE11DF"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4E90A4E0" w14:textId="77777777" w:rsidR="004D4BD8" w:rsidRPr="00EF6E3A" w:rsidRDefault="004D4BD8" w:rsidP="004D4BD8">
            <w:pPr>
              <w:jc w:val="center"/>
              <w:rPr>
                <w:rFonts w:ascii="Arial" w:eastAsia="Times New Roman" w:hAnsi="Arial" w:cs="Arial"/>
                <w:i/>
                <w:sz w:val="17"/>
                <w:szCs w:val="17"/>
                <w:lang w:eastAsia="en-GB"/>
              </w:rPr>
            </w:pPr>
            <w:r w:rsidRPr="00EF6E3A">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tcPr>
          <w:p w14:paraId="1E1211CC" w14:textId="77777777" w:rsidR="004D4BD8" w:rsidRPr="00EF6E3A" w:rsidRDefault="004D4BD8" w:rsidP="004D4BD8">
            <w:pPr>
              <w:jc w:val="center"/>
              <w:rPr>
                <w:rFonts w:ascii="Arial" w:hAnsi="Arial" w:cs="Arial"/>
                <w:bCs/>
                <w:i/>
                <w:sz w:val="17"/>
                <w:szCs w:val="17"/>
              </w:rPr>
            </w:pPr>
            <w:r w:rsidRPr="00EF6E3A">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tcPr>
          <w:p w14:paraId="36419295" w14:textId="77777777" w:rsidR="004D4BD8" w:rsidRPr="00EF6E3A" w:rsidRDefault="004D4BD8" w:rsidP="004D4BD8">
            <w:pPr>
              <w:jc w:val="center"/>
              <w:rPr>
                <w:rFonts w:ascii="Arial" w:hAnsi="Arial" w:cs="Arial"/>
                <w:bCs/>
                <w:i/>
                <w:sz w:val="17"/>
                <w:szCs w:val="17"/>
              </w:rPr>
            </w:pPr>
            <w:r w:rsidRPr="00EF6E3A">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tcPr>
          <w:p w14:paraId="0CA11EF2" w14:textId="77777777" w:rsidR="004D4BD8" w:rsidRPr="00EF6E3A" w:rsidRDefault="004D4BD8" w:rsidP="004D4BD8">
            <w:pPr>
              <w:jc w:val="center"/>
              <w:rPr>
                <w:rFonts w:ascii="Arial" w:hAnsi="Arial" w:cs="Arial"/>
                <w:bCs/>
                <w:i/>
                <w:sz w:val="17"/>
                <w:szCs w:val="17"/>
              </w:rPr>
            </w:pPr>
            <w:r w:rsidRPr="00EF6E3A">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tcPr>
          <w:p w14:paraId="1C2CE1F7" w14:textId="77777777" w:rsidR="004D4BD8" w:rsidRPr="00EF6E3A" w:rsidRDefault="004D4BD8" w:rsidP="004D4BD8">
            <w:pPr>
              <w:jc w:val="center"/>
              <w:rPr>
                <w:rFonts w:ascii="Arial" w:hAnsi="Arial" w:cs="Arial"/>
                <w:bCs/>
                <w:i/>
                <w:sz w:val="17"/>
                <w:szCs w:val="17"/>
              </w:rPr>
            </w:pPr>
            <w:r w:rsidRPr="00EF6E3A">
              <w:rPr>
                <w:rFonts w:ascii="Arial" w:eastAsia="Times New Roman" w:hAnsi="Arial" w:cs="Arial"/>
                <w:bCs/>
                <w:i/>
                <w:sz w:val="17"/>
                <w:szCs w:val="17"/>
                <w:lang w:eastAsia="en-GB"/>
              </w:rPr>
              <w:t>2010-13</w:t>
            </w:r>
          </w:p>
        </w:tc>
      </w:tr>
      <w:tr w:rsidR="004D4BD8" w:rsidRPr="00EF6E3A" w14:paraId="4032BB70" w14:textId="77777777" w:rsidTr="004D4BD8">
        <w:trPr>
          <w:trHeight w:val="240"/>
        </w:trPr>
        <w:tc>
          <w:tcPr>
            <w:tcW w:w="2875" w:type="dxa"/>
            <w:tcBorders>
              <w:top w:val="single" w:sz="4" w:space="0" w:color="auto"/>
              <w:right w:val="single" w:sz="4" w:space="0" w:color="auto"/>
            </w:tcBorders>
            <w:shd w:val="clear" w:color="auto" w:fill="auto"/>
            <w:noWrap/>
            <w:vAlign w:val="center"/>
            <w:hideMark/>
          </w:tcPr>
          <w:p w14:paraId="7CE46FB7"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629ECAEC" w14:textId="7777777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7"/>
                <w:lang w:eastAsia="en-GB"/>
              </w:rPr>
              <w:t>100</w:t>
            </w:r>
          </w:p>
        </w:tc>
        <w:tc>
          <w:tcPr>
            <w:tcW w:w="763" w:type="dxa"/>
            <w:tcBorders>
              <w:top w:val="single" w:sz="4" w:space="0" w:color="auto"/>
            </w:tcBorders>
            <w:vAlign w:val="center"/>
          </w:tcPr>
          <w:p w14:paraId="00DBA651" w14:textId="75F1B335"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147.7</w:t>
            </w:r>
          </w:p>
        </w:tc>
        <w:tc>
          <w:tcPr>
            <w:tcW w:w="763" w:type="dxa"/>
            <w:tcBorders>
              <w:top w:val="single" w:sz="4" w:space="0" w:color="auto"/>
            </w:tcBorders>
            <w:vAlign w:val="center"/>
          </w:tcPr>
          <w:p w14:paraId="05881818" w14:textId="5474DC22"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191.0</w:t>
            </w:r>
          </w:p>
        </w:tc>
        <w:tc>
          <w:tcPr>
            <w:tcW w:w="763" w:type="dxa"/>
            <w:tcBorders>
              <w:top w:val="single" w:sz="4" w:space="0" w:color="auto"/>
            </w:tcBorders>
            <w:vAlign w:val="center"/>
          </w:tcPr>
          <w:p w14:paraId="5110F9B4" w14:textId="222DE323"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303.2</w:t>
            </w:r>
          </w:p>
        </w:tc>
        <w:tc>
          <w:tcPr>
            <w:tcW w:w="761" w:type="dxa"/>
            <w:tcBorders>
              <w:top w:val="single" w:sz="4" w:space="0" w:color="auto"/>
              <w:right w:val="single" w:sz="4" w:space="0" w:color="auto"/>
            </w:tcBorders>
            <w:vAlign w:val="center"/>
          </w:tcPr>
          <w:p w14:paraId="13486172" w14:textId="556F86F0"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261.7</w:t>
            </w:r>
          </w:p>
        </w:tc>
        <w:tc>
          <w:tcPr>
            <w:tcW w:w="763" w:type="dxa"/>
            <w:tcBorders>
              <w:top w:val="single" w:sz="4" w:space="0" w:color="auto"/>
              <w:left w:val="single" w:sz="4" w:space="0" w:color="auto"/>
            </w:tcBorders>
            <w:vAlign w:val="center"/>
          </w:tcPr>
          <w:p w14:paraId="5ACF15A0" w14:textId="32987B22"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4.5%</w:t>
            </w:r>
          </w:p>
        </w:tc>
        <w:tc>
          <w:tcPr>
            <w:tcW w:w="763" w:type="dxa"/>
            <w:tcBorders>
              <w:top w:val="single" w:sz="4" w:space="0" w:color="auto"/>
            </w:tcBorders>
            <w:vAlign w:val="center"/>
          </w:tcPr>
          <w:p w14:paraId="557D7257" w14:textId="1EB887F1"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4.4%</w:t>
            </w:r>
          </w:p>
        </w:tc>
        <w:tc>
          <w:tcPr>
            <w:tcW w:w="764" w:type="dxa"/>
            <w:tcBorders>
              <w:top w:val="single" w:sz="4" w:space="0" w:color="auto"/>
            </w:tcBorders>
            <w:vAlign w:val="center"/>
          </w:tcPr>
          <w:p w14:paraId="48985DEE" w14:textId="2843F20F"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5.3%</w:t>
            </w:r>
          </w:p>
        </w:tc>
        <w:tc>
          <w:tcPr>
            <w:tcW w:w="764" w:type="dxa"/>
            <w:tcBorders>
              <w:top w:val="single" w:sz="4" w:space="0" w:color="auto"/>
            </w:tcBorders>
            <w:vAlign w:val="center"/>
          </w:tcPr>
          <w:p w14:paraId="185843A3" w14:textId="51A9E431"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9.7%</w:t>
            </w:r>
          </w:p>
        </w:tc>
        <w:tc>
          <w:tcPr>
            <w:tcW w:w="764" w:type="dxa"/>
            <w:tcBorders>
              <w:top w:val="single" w:sz="4" w:space="0" w:color="auto"/>
            </w:tcBorders>
            <w:vAlign w:val="center"/>
          </w:tcPr>
          <w:p w14:paraId="0D278555" w14:textId="7DA41539"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-4.8%</w:t>
            </w:r>
          </w:p>
        </w:tc>
      </w:tr>
      <w:tr w:rsidR="004D4BD8" w:rsidRPr="00EF6E3A" w14:paraId="5CFFF57D" w14:textId="77777777" w:rsidTr="004D4BD8">
        <w:trPr>
          <w:trHeight w:val="240"/>
        </w:trPr>
        <w:tc>
          <w:tcPr>
            <w:tcW w:w="2875" w:type="dxa"/>
            <w:tcBorders>
              <w:right w:val="single" w:sz="4" w:space="0" w:color="auto"/>
            </w:tcBorders>
            <w:shd w:val="clear" w:color="auto" w:fill="auto"/>
            <w:noWrap/>
            <w:vAlign w:val="center"/>
            <w:hideMark/>
          </w:tcPr>
          <w:p w14:paraId="754D7BF2"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 xml:space="preserve">Mining &amp; utilities </w:t>
            </w:r>
          </w:p>
        </w:tc>
        <w:tc>
          <w:tcPr>
            <w:tcW w:w="759" w:type="dxa"/>
            <w:tcBorders>
              <w:left w:val="single" w:sz="4" w:space="0" w:color="auto"/>
            </w:tcBorders>
            <w:vAlign w:val="center"/>
          </w:tcPr>
          <w:p w14:paraId="3898DEF6" w14:textId="7777777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7"/>
                <w:lang w:eastAsia="en-GB"/>
              </w:rPr>
              <w:t>100</w:t>
            </w:r>
          </w:p>
        </w:tc>
        <w:tc>
          <w:tcPr>
            <w:tcW w:w="763" w:type="dxa"/>
            <w:vAlign w:val="center"/>
          </w:tcPr>
          <w:p w14:paraId="5BAE5A5C" w14:textId="1ACF1B5A"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143.6</w:t>
            </w:r>
          </w:p>
        </w:tc>
        <w:tc>
          <w:tcPr>
            <w:tcW w:w="763" w:type="dxa"/>
            <w:vAlign w:val="center"/>
          </w:tcPr>
          <w:p w14:paraId="4ACD50D7" w14:textId="165917E6"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88.2</w:t>
            </w:r>
          </w:p>
        </w:tc>
        <w:tc>
          <w:tcPr>
            <w:tcW w:w="763" w:type="dxa"/>
            <w:vAlign w:val="center"/>
          </w:tcPr>
          <w:p w14:paraId="41A324A4" w14:textId="72F6A1FA"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45.2</w:t>
            </w:r>
          </w:p>
        </w:tc>
        <w:tc>
          <w:tcPr>
            <w:tcW w:w="761" w:type="dxa"/>
            <w:tcBorders>
              <w:right w:val="single" w:sz="4" w:space="0" w:color="auto"/>
            </w:tcBorders>
            <w:vAlign w:val="center"/>
          </w:tcPr>
          <w:p w14:paraId="2AC18DEF" w14:textId="7AB0E256"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34.0</w:t>
            </w:r>
          </w:p>
        </w:tc>
        <w:tc>
          <w:tcPr>
            <w:tcW w:w="763" w:type="dxa"/>
            <w:tcBorders>
              <w:left w:val="single" w:sz="4" w:space="0" w:color="auto"/>
            </w:tcBorders>
            <w:vAlign w:val="center"/>
          </w:tcPr>
          <w:p w14:paraId="5E6EC1F2" w14:textId="6EE7FA72"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-4.8%</w:t>
            </w:r>
          </w:p>
        </w:tc>
        <w:tc>
          <w:tcPr>
            <w:tcW w:w="763" w:type="dxa"/>
            <w:vAlign w:val="center"/>
          </w:tcPr>
          <w:p w14:paraId="5A133CA0" w14:textId="547FD555"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4.1%</w:t>
            </w:r>
          </w:p>
        </w:tc>
        <w:tc>
          <w:tcPr>
            <w:tcW w:w="764" w:type="dxa"/>
            <w:vAlign w:val="center"/>
          </w:tcPr>
          <w:p w14:paraId="2F09AC8E" w14:textId="472809B3"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-9.3%</w:t>
            </w:r>
          </w:p>
        </w:tc>
        <w:tc>
          <w:tcPr>
            <w:tcW w:w="764" w:type="dxa"/>
            <w:vAlign w:val="center"/>
          </w:tcPr>
          <w:p w14:paraId="212D82AE" w14:textId="6609007A"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-12.5%</w:t>
            </w:r>
          </w:p>
        </w:tc>
        <w:tc>
          <w:tcPr>
            <w:tcW w:w="764" w:type="dxa"/>
            <w:vAlign w:val="center"/>
          </w:tcPr>
          <w:p w14:paraId="69FAFE70" w14:textId="02642A1B"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-9.1%</w:t>
            </w:r>
          </w:p>
        </w:tc>
      </w:tr>
      <w:tr w:rsidR="004D4BD8" w:rsidRPr="00EF6E3A" w14:paraId="66295E9B" w14:textId="77777777" w:rsidTr="004D4BD8">
        <w:trPr>
          <w:trHeight w:val="240"/>
        </w:trPr>
        <w:tc>
          <w:tcPr>
            <w:tcW w:w="2875" w:type="dxa"/>
            <w:tcBorders>
              <w:right w:val="single" w:sz="4" w:space="0" w:color="auto"/>
            </w:tcBorders>
            <w:shd w:val="clear" w:color="auto" w:fill="auto"/>
            <w:noWrap/>
            <w:vAlign w:val="center"/>
            <w:hideMark/>
          </w:tcPr>
          <w:p w14:paraId="62799E57"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Manufacturing</w:t>
            </w:r>
          </w:p>
        </w:tc>
        <w:tc>
          <w:tcPr>
            <w:tcW w:w="759" w:type="dxa"/>
            <w:tcBorders>
              <w:left w:val="single" w:sz="4" w:space="0" w:color="auto"/>
            </w:tcBorders>
            <w:vAlign w:val="center"/>
          </w:tcPr>
          <w:p w14:paraId="6EBC58F4" w14:textId="7777777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7"/>
                <w:lang w:eastAsia="en-GB"/>
              </w:rPr>
              <w:t>100</w:t>
            </w:r>
          </w:p>
        </w:tc>
        <w:tc>
          <w:tcPr>
            <w:tcW w:w="763" w:type="dxa"/>
            <w:vAlign w:val="center"/>
          </w:tcPr>
          <w:p w14:paraId="4AAD7151" w14:textId="57B002DB"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151.3</w:t>
            </w:r>
          </w:p>
        </w:tc>
        <w:tc>
          <w:tcPr>
            <w:tcW w:w="763" w:type="dxa"/>
            <w:vAlign w:val="center"/>
          </w:tcPr>
          <w:p w14:paraId="7AE100D2" w14:textId="166A7C7B"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132.8</w:t>
            </w:r>
          </w:p>
        </w:tc>
        <w:tc>
          <w:tcPr>
            <w:tcW w:w="763" w:type="dxa"/>
            <w:vAlign w:val="center"/>
          </w:tcPr>
          <w:p w14:paraId="24E974AC" w14:textId="0E363AE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123.8</w:t>
            </w:r>
          </w:p>
        </w:tc>
        <w:tc>
          <w:tcPr>
            <w:tcW w:w="761" w:type="dxa"/>
            <w:tcBorders>
              <w:right w:val="single" w:sz="4" w:space="0" w:color="auto"/>
            </w:tcBorders>
            <w:vAlign w:val="center"/>
          </w:tcPr>
          <w:p w14:paraId="2B2DB20B" w14:textId="517E5695"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97.5</w:t>
            </w:r>
          </w:p>
        </w:tc>
        <w:tc>
          <w:tcPr>
            <w:tcW w:w="763" w:type="dxa"/>
            <w:tcBorders>
              <w:left w:val="single" w:sz="4" w:space="0" w:color="auto"/>
            </w:tcBorders>
            <w:vAlign w:val="center"/>
          </w:tcPr>
          <w:p w14:paraId="13141562" w14:textId="76CC617A"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-0.1%</w:t>
            </w:r>
          </w:p>
        </w:tc>
        <w:tc>
          <w:tcPr>
            <w:tcW w:w="763" w:type="dxa"/>
            <w:vAlign w:val="center"/>
          </w:tcPr>
          <w:p w14:paraId="04850BB9" w14:textId="19C46CE0"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4.7%</w:t>
            </w:r>
          </w:p>
        </w:tc>
        <w:tc>
          <w:tcPr>
            <w:tcW w:w="764" w:type="dxa"/>
            <w:vAlign w:val="center"/>
          </w:tcPr>
          <w:p w14:paraId="7F1F77BE" w14:textId="1F9181E7"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-2.6%</w:t>
            </w:r>
          </w:p>
        </w:tc>
        <w:tc>
          <w:tcPr>
            <w:tcW w:w="764" w:type="dxa"/>
            <w:vAlign w:val="center"/>
          </w:tcPr>
          <w:p w14:paraId="7541B56C" w14:textId="2C313B0F"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-1.4%</w:t>
            </w:r>
          </w:p>
        </w:tc>
        <w:tc>
          <w:tcPr>
            <w:tcW w:w="764" w:type="dxa"/>
            <w:vAlign w:val="center"/>
          </w:tcPr>
          <w:p w14:paraId="74D9E4BF" w14:textId="77B37481"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-7.6%</w:t>
            </w:r>
          </w:p>
        </w:tc>
      </w:tr>
      <w:tr w:rsidR="004D4BD8" w:rsidRPr="00EF6E3A" w14:paraId="6C12DFEF" w14:textId="77777777" w:rsidTr="004D4BD8">
        <w:trPr>
          <w:trHeight w:val="240"/>
        </w:trPr>
        <w:tc>
          <w:tcPr>
            <w:tcW w:w="2875" w:type="dxa"/>
            <w:tcBorders>
              <w:right w:val="single" w:sz="4" w:space="0" w:color="auto"/>
            </w:tcBorders>
            <w:shd w:val="clear" w:color="auto" w:fill="auto"/>
            <w:noWrap/>
            <w:vAlign w:val="center"/>
            <w:hideMark/>
          </w:tcPr>
          <w:p w14:paraId="5C1F5DD0"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Construction</w:t>
            </w:r>
          </w:p>
        </w:tc>
        <w:tc>
          <w:tcPr>
            <w:tcW w:w="759" w:type="dxa"/>
            <w:tcBorders>
              <w:left w:val="single" w:sz="4" w:space="0" w:color="auto"/>
            </w:tcBorders>
            <w:vAlign w:val="center"/>
          </w:tcPr>
          <w:p w14:paraId="3A5ED7EB" w14:textId="7777777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7"/>
                <w:lang w:eastAsia="en-GB"/>
              </w:rPr>
              <w:t>100</w:t>
            </w:r>
          </w:p>
        </w:tc>
        <w:tc>
          <w:tcPr>
            <w:tcW w:w="763" w:type="dxa"/>
            <w:vAlign w:val="center"/>
          </w:tcPr>
          <w:p w14:paraId="638E26AA" w14:textId="3A8972B3"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62.8</w:t>
            </w:r>
          </w:p>
        </w:tc>
        <w:tc>
          <w:tcPr>
            <w:tcW w:w="763" w:type="dxa"/>
            <w:vAlign w:val="center"/>
          </w:tcPr>
          <w:p w14:paraId="5F6E2EDC" w14:textId="4601FDD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77.9</w:t>
            </w:r>
          </w:p>
        </w:tc>
        <w:tc>
          <w:tcPr>
            <w:tcW w:w="763" w:type="dxa"/>
            <w:vAlign w:val="center"/>
          </w:tcPr>
          <w:p w14:paraId="2108855E" w14:textId="5573FF84"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91.5</w:t>
            </w:r>
          </w:p>
        </w:tc>
        <w:tc>
          <w:tcPr>
            <w:tcW w:w="761" w:type="dxa"/>
            <w:tcBorders>
              <w:right w:val="single" w:sz="4" w:space="0" w:color="auto"/>
            </w:tcBorders>
            <w:vAlign w:val="center"/>
          </w:tcPr>
          <w:p w14:paraId="5EF119A6" w14:textId="5E1E3FB2"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77.8</w:t>
            </w:r>
          </w:p>
        </w:tc>
        <w:tc>
          <w:tcPr>
            <w:tcW w:w="763" w:type="dxa"/>
            <w:tcBorders>
              <w:left w:val="single" w:sz="4" w:space="0" w:color="auto"/>
            </w:tcBorders>
            <w:vAlign w:val="center"/>
          </w:tcPr>
          <w:p w14:paraId="6271DF7A" w14:textId="497E7A36"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-1.1%</w:t>
            </w:r>
          </w:p>
        </w:tc>
        <w:tc>
          <w:tcPr>
            <w:tcW w:w="763" w:type="dxa"/>
            <w:vAlign w:val="center"/>
          </w:tcPr>
          <w:p w14:paraId="459733EC" w14:textId="14234EB3"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-5.0%</w:t>
            </w:r>
          </w:p>
        </w:tc>
        <w:tc>
          <w:tcPr>
            <w:tcW w:w="764" w:type="dxa"/>
            <w:vAlign w:val="center"/>
          </w:tcPr>
          <w:p w14:paraId="54AFAE17" w14:textId="298EDDC7"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4.4%</w:t>
            </w:r>
          </w:p>
        </w:tc>
        <w:tc>
          <w:tcPr>
            <w:tcW w:w="764" w:type="dxa"/>
            <w:vAlign w:val="center"/>
          </w:tcPr>
          <w:p w14:paraId="72B67B86" w14:textId="68DEF056"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3.3%</w:t>
            </w:r>
          </w:p>
        </w:tc>
        <w:tc>
          <w:tcPr>
            <w:tcW w:w="764" w:type="dxa"/>
            <w:vAlign w:val="center"/>
          </w:tcPr>
          <w:p w14:paraId="5DADB558" w14:textId="4BB6F34D"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-5.3%</w:t>
            </w:r>
          </w:p>
        </w:tc>
      </w:tr>
      <w:tr w:rsidR="004D4BD8" w:rsidRPr="00EF6E3A" w14:paraId="34A063F3" w14:textId="77777777" w:rsidTr="004D4BD8">
        <w:trPr>
          <w:trHeight w:val="240"/>
        </w:trPr>
        <w:tc>
          <w:tcPr>
            <w:tcW w:w="2875" w:type="dxa"/>
            <w:tcBorders>
              <w:right w:val="single" w:sz="4" w:space="0" w:color="auto"/>
            </w:tcBorders>
            <w:shd w:val="clear" w:color="auto" w:fill="auto"/>
            <w:noWrap/>
            <w:vAlign w:val="center"/>
            <w:hideMark/>
          </w:tcPr>
          <w:p w14:paraId="2B25D467"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65524191" w14:textId="7777777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7"/>
                <w:lang w:eastAsia="en-GB"/>
              </w:rPr>
              <w:t>100</w:t>
            </w:r>
          </w:p>
        </w:tc>
        <w:tc>
          <w:tcPr>
            <w:tcW w:w="763" w:type="dxa"/>
            <w:vAlign w:val="center"/>
          </w:tcPr>
          <w:p w14:paraId="1FAA42D3" w14:textId="44A0A591"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107.0</w:t>
            </w:r>
          </w:p>
        </w:tc>
        <w:tc>
          <w:tcPr>
            <w:tcW w:w="763" w:type="dxa"/>
            <w:vAlign w:val="center"/>
          </w:tcPr>
          <w:p w14:paraId="61D268C0" w14:textId="61FC8849"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129.1</w:t>
            </w:r>
          </w:p>
        </w:tc>
        <w:tc>
          <w:tcPr>
            <w:tcW w:w="763" w:type="dxa"/>
            <w:vAlign w:val="center"/>
          </w:tcPr>
          <w:p w14:paraId="60096E42" w14:textId="300545D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117.4</w:t>
            </w:r>
          </w:p>
        </w:tc>
        <w:tc>
          <w:tcPr>
            <w:tcW w:w="761" w:type="dxa"/>
            <w:tcBorders>
              <w:right w:val="single" w:sz="4" w:space="0" w:color="auto"/>
            </w:tcBorders>
            <w:vAlign w:val="center"/>
          </w:tcPr>
          <w:p w14:paraId="64D7B204" w14:textId="55552378"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97.5</w:t>
            </w:r>
          </w:p>
        </w:tc>
        <w:tc>
          <w:tcPr>
            <w:tcW w:w="763" w:type="dxa"/>
            <w:tcBorders>
              <w:left w:val="single" w:sz="4" w:space="0" w:color="auto"/>
            </w:tcBorders>
            <w:vAlign w:val="center"/>
          </w:tcPr>
          <w:p w14:paraId="41D52DB4" w14:textId="3E3E8EAE"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-0.1%</w:t>
            </w:r>
          </w:p>
        </w:tc>
        <w:tc>
          <w:tcPr>
            <w:tcW w:w="763" w:type="dxa"/>
            <w:vAlign w:val="center"/>
          </w:tcPr>
          <w:p w14:paraId="2A471B99" w14:textId="00F48C1F"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0.8%</w:t>
            </w:r>
          </w:p>
        </w:tc>
        <w:tc>
          <w:tcPr>
            <w:tcW w:w="764" w:type="dxa"/>
            <w:vAlign w:val="center"/>
          </w:tcPr>
          <w:p w14:paraId="04FA81D2" w14:textId="40B02BBF"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3.8%</w:t>
            </w:r>
          </w:p>
        </w:tc>
        <w:tc>
          <w:tcPr>
            <w:tcW w:w="764" w:type="dxa"/>
            <w:vAlign w:val="center"/>
          </w:tcPr>
          <w:p w14:paraId="19530279" w14:textId="418B17DA"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-1.9%</w:t>
            </w:r>
          </w:p>
        </w:tc>
        <w:tc>
          <w:tcPr>
            <w:tcW w:w="764" w:type="dxa"/>
            <w:vAlign w:val="center"/>
          </w:tcPr>
          <w:p w14:paraId="2092A3BE" w14:textId="101EE6DB"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-6.0%</w:t>
            </w:r>
          </w:p>
        </w:tc>
      </w:tr>
      <w:tr w:rsidR="004D4BD8" w:rsidRPr="00EF6E3A" w14:paraId="572CF5B3" w14:textId="77777777" w:rsidTr="004D4BD8">
        <w:trPr>
          <w:trHeight w:val="240"/>
        </w:trPr>
        <w:tc>
          <w:tcPr>
            <w:tcW w:w="2875" w:type="dxa"/>
            <w:tcBorders>
              <w:right w:val="single" w:sz="4" w:space="0" w:color="auto"/>
            </w:tcBorders>
            <w:shd w:val="clear" w:color="auto" w:fill="auto"/>
            <w:noWrap/>
            <w:vAlign w:val="center"/>
            <w:hideMark/>
          </w:tcPr>
          <w:p w14:paraId="08273666"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 xml:space="preserve">Transport, storage, </w:t>
            </w:r>
            <w:proofErr w:type="spellStart"/>
            <w:r w:rsidRPr="00EF6E3A">
              <w:rPr>
                <w:rFonts w:ascii="Arial" w:eastAsia="Times New Roman" w:hAnsi="Arial" w:cs="Arial"/>
                <w:sz w:val="17"/>
                <w:szCs w:val="17"/>
                <w:lang w:eastAsia="en-GB"/>
              </w:rPr>
              <w:t>comms</w:t>
            </w:r>
            <w:proofErr w:type="spellEnd"/>
          </w:p>
        </w:tc>
        <w:tc>
          <w:tcPr>
            <w:tcW w:w="759" w:type="dxa"/>
            <w:tcBorders>
              <w:left w:val="single" w:sz="4" w:space="0" w:color="auto"/>
            </w:tcBorders>
            <w:vAlign w:val="center"/>
          </w:tcPr>
          <w:p w14:paraId="635EA7B7" w14:textId="7777777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7"/>
                <w:lang w:eastAsia="en-GB"/>
              </w:rPr>
              <w:t>100</w:t>
            </w:r>
          </w:p>
        </w:tc>
        <w:tc>
          <w:tcPr>
            <w:tcW w:w="763" w:type="dxa"/>
            <w:vAlign w:val="center"/>
          </w:tcPr>
          <w:p w14:paraId="41550E51" w14:textId="0C8B1F2D"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94.6</w:t>
            </w:r>
          </w:p>
        </w:tc>
        <w:tc>
          <w:tcPr>
            <w:tcW w:w="763" w:type="dxa"/>
            <w:vAlign w:val="center"/>
          </w:tcPr>
          <w:p w14:paraId="77131669" w14:textId="5037BCFD"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98.4</w:t>
            </w:r>
          </w:p>
        </w:tc>
        <w:tc>
          <w:tcPr>
            <w:tcW w:w="763" w:type="dxa"/>
            <w:vAlign w:val="center"/>
          </w:tcPr>
          <w:p w14:paraId="324FA3F2" w14:textId="055A263B"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112.8</w:t>
            </w:r>
          </w:p>
        </w:tc>
        <w:tc>
          <w:tcPr>
            <w:tcW w:w="761" w:type="dxa"/>
            <w:tcBorders>
              <w:right w:val="single" w:sz="4" w:space="0" w:color="auto"/>
            </w:tcBorders>
            <w:vAlign w:val="center"/>
          </w:tcPr>
          <w:p w14:paraId="345140AC" w14:textId="6E79639F"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88.0</w:t>
            </w:r>
          </w:p>
        </w:tc>
        <w:tc>
          <w:tcPr>
            <w:tcW w:w="763" w:type="dxa"/>
            <w:tcBorders>
              <w:left w:val="single" w:sz="4" w:space="0" w:color="auto"/>
            </w:tcBorders>
            <w:vAlign w:val="center"/>
          </w:tcPr>
          <w:p w14:paraId="2C2AE472" w14:textId="41EFC1D3"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-0.6%</w:t>
            </w:r>
          </w:p>
        </w:tc>
        <w:tc>
          <w:tcPr>
            <w:tcW w:w="763" w:type="dxa"/>
            <w:vAlign w:val="center"/>
          </w:tcPr>
          <w:p w14:paraId="048ABAB7" w14:textId="25EB8742"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-0.6%</w:t>
            </w:r>
          </w:p>
        </w:tc>
        <w:tc>
          <w:tcPr>
            <w:tcW w:w="764" w:type="dxa"/>
            <w:vAlign w:val="center"/>
          </w:tcPr>
          <w:p w14:paraId="5929B507" w14:textId="57B0AD04"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0.8%</w:t>
            </w:r>
          </w:p>
        </w:tc>
        <w:tc>
          <w:tcPr>
            <w:tcW w:w="764" w:type="dxa"/>
            <w:vAlign w:val="center"/>
          </w:tcPr>
          <w:p w14:paraId="3012B060" w14:textId="2FEA5B94"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2.8%</w:t>
            </w:r>
          </w:p>
        </w:tc>
        <w:tc>
          <w:tcPr>
            <w:tcW w:w="764" w:type="dxa"/>
            <w:vAlign w:val="center"/>
          </w:tcPr>
          <w:p w14:paraId="58051CC1" w14:textId="4CC81089"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-7.9%</w:t>
            </w:r>
          </w:p>
        </w:tc>
      </w:tr>
      <w:tr w:rsidR="004D4BD8" w:rsidRPr="00EF6E3A" w14:paraId="575A52A7" w14:textId="77777777" w:rsidTr="004D4BD8">
        <w:trPr>
          <w:trHeight w:val="240"/>
        </w:trPr>
        <w:tc>
          <w:tcPr>
            <w:tcW w:w="2875" w:type="dxa"/>
            <w:tcBorders>
              <w:bottom w:val="single" w:sz="4" w:space="0" w:color="auto"/>
              <w:right w:val="single" w:sz="4" w:space="0" w:color="auto"/>
            </w:tcBorders>
            <w:shd w:val="clear" w:color="auto" w:fill="auto"/>
            <w:noWrap/>
            <w:vAlign w:val="center"/>
            <w:hideMark/>
          </w:tcPr>
          <w:p w14:paraId="72DAA8D8" w14:textId="77777777" w:rsidR="004D4BD8" w:rsidRPr="00EF6E3A" w:rsidRDefault="004D4BD8" w:rsidP="004D4BD8">
            <w:pPr>
              <w:rPr>
                <w:rFonts w:ascii="Arial" w:eastAsia="Times New Roman" w:hAnsi="Arial" w:cs="Arial"/>
                <w:sz w:val="17"/>
                <w:szCs w:val="17"/>
                <w:lang w:eastAsia="en-GB"/>
              </w:rPr>
            </w:pPr>
            <w:r w:rsidRPr="00EF6E3A">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498C57FC" w14:textId="77777777"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7"/>
                <w:lang w:eastAsia="en-GB"/>
              </w:rPr>
              <w:t>100</w:t>
            </w:r>
          </w:p>
        </w:tc>
        <w:tc>
          <w:tcPr>
            <w:tcW w:w="763" w:type="dxa"/>
            <w:tcBorders>
              <w:bottom w:val="single" w:sz="4" w:space="0" w:color="auto"/>
            </w:tcBorders>
            <w:vAlign w:val="center"/>
          </w:tcPr>
          <w:p w14:paraId="28183F95" w14:textId="322F3475"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94.7</w:t>
            </w:r>
          </w:p>
        </w:tc>
        <w:tc>
          <w:tcPr>
            <w:tcW w:w="763" w:type="dxa"/>
            <w:tcBorders>
              <w:bottom w:val="single" w:sz="4" w:space="0" w:color="auto"/>
            </w:tcBorders>
            <w:vAlign w:val="center"/>
          </w:tcPr>
          <w:p w14:paraId="454BF339" w14:textId="57FC3A6E"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92.5</w:t>
            </w:r>
          </w:p>
        </w:tc>
        <w:tc>
          <w:tcPr>
            <w:tcW w:w="763" w:type="dxa"/>
            <w:tcBorders>
              <w:bottom w:val="single" w:sz="4" w:space="0" w:color="auto"/>
            </w:tcBorders>
            <w:vAlign w:val="center"/>
          </w:tcPr>
          <w:p w14:paraId="0DBE9F1D" w14:textId="025A6435"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94.6</w:t>
            </w:r>
          </w:p>
        </w:tc>
        <w:tc>
          <w:tcPr>
            <w:tcW w:w="761" w:type="dxa"/>
            <w:tcBorders>
              <w:bottom w:val="single" w:sz="4" w:space="0" w:color="auto"/>
              <w:right w:val="single" w:sz="4" w:space="0" w:color="auto"/>
            </w:tcBorders>
            <w:vAlign w:val="center"/>
          </w:tcPr>
          <w:p w14:paraId="64EAC0FF" w14:textId="60C2FB5A"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90.0</w:t>
            </w:r>
          </w:p>
        </w:tc>
        <w:tc>
          <w:tcPr>
            <w:tcW w:w="763" w:type="dxa"/>
            <w:tcBorders>
              <w:left w:val="single" w:sz="4" w:space="0" w:color="auto"/>
              <w:bottom w:val="single" w:sz="4" w:space="0" w:color="auto"/>
            </w:tcBorders>
            <w:vAlign w:val="center"/>
          </w:tcPr>
          <w:p w14:paraId="1CFAEFF3" w14:textId="33318B15" w:rsidR="004D4BD8" w:rsidRPr="00EF6E3A" w:rsidRDefault="004D4BD8" w:rsidP="004D4BD8">
            <w:pPr>
              <w:ind w:left="72" w:right="72"/>
              <w:jc w:val="right"/>
              <w:rPr>
                <w:rFonts w:ascii="Arial" w:eastAsia="Times New Roman" w:hAnsi="Arial" w:cs="Arial"/>
                <w:sz w:val="17"/>
                <w:szCs w:val="17"/>
                <w:lang w:eastAsia="en-GB"/>
              </w:rPr>
            </w:pPr>
            <w:r w:rsidRPr="00EF6E3A">
              <w:rPr>
                <w:rFonts w:ascii="Arial" w:eastAsia="Times New Roman" w:hAnsi="Arial" w:cs="Arial"/>
                <w:sz w:val="17"/>
                <w:szCs w:val="18"/>
                <w:lang w:eastAsia="en-GB"/>
              </w:rPr>
              <w:t>-0.5%</w:t>
            </w:r>
          </w:p>
        </w:tc>
        <w:tc>
          <w:tcPr>
            <w:tcW w:w="763" w:type="dxa"/>
            <w:tcBorders>
              <w:bottom w:val="single" w:sz="4" w:space="0" w:color="auto"/>
            </w:tcBorders>
            <w:vAlign w:val="center"/>
          </w:tcPr>
          <w:p w14:paraId="61D3F3AC" w14:textId="0EB177E1"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-0.6%</w:t>
            </w:r>
          </w:p>
        </w:tc>
        <w:tc>
          <w:tcPr>
            <w:tcW w:w="764" w:type="dxa"/>
            <w:tcBorders>
              <w:bottom w:val="single" w:sz="4" w:space="0" w:color="auto"/>
            </w:tcBorders>
            <w:vAlign w:val="center"/>
          </w:tcPr>
          <w:p w14:paraId="1B3808BE" w14:textId="49509EA5"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-0.5%</w:t>
            </w:r>
          </w:p>
        </w:tc>
        <w:tc>
          <w:tcPr>
            <w:tcW w:w="764" w:type="dxa"/>
            <w:tcBorders>
              <w:bottom w:val="single" w:sz="4" w:space="0" w:color="auto"/>
            </w:tcBorders>
            <w:vAlign w:val="center"/>
          </w:tcPr>
          <w:p w14:paraId="4FB43325" w14:textId="34E30AB7"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0.5%</w:t>
            </w:r>
          </w:p>
        </w:tc>
        <w:tc>
          <w:tcPr>
            <w:tcW w:w="764" w:type="dxa"/>
            <w:tcBorders>
              <w:bottom w:val="single" w:sz="4" w:space="0" w:color="auto"/>
            </w:tcBorders>
            <w:vAlign w:val="center"/>
          </w:tcPr>
          <w:p w14:paraId="4F1AEF47" w14:textId="051EE21B" w:rsidR="004D4BD8" w:rsidRPr="00EF6E3A" w:rsidRDefault="004D4BD8" w:rsidP="004D4BD8">
            <w:pPr>
              <w:ind w:left="72" w:right="72"/>
              <w:jc w:val="right"/>
              <w:rPr>
                <w:rFonts w:ascii="Arial" w:hAnsi="Arial" w:cs="Arial"/>
                <w:sz w:val="17"/>
                <w:szCs w:val="17"/>
              </w:rPr>
            </w:pPr>
            <w:r w:rsidRPr="00EF6E3A">
              <w:rPr>
                <w:rFonts w:ascii="Arial" w:eastAsia="Times New Roman" w:hAnsi="Arial" w:cs="Arial"/>
                <w:sz w:val="17"/>
                <w:szCs w:val="18"/>
                <w:lang w:eastAsia="en-GB"/>
              </w:rPr>
              <w:t>-1.6%</w:t>
            </w:r>
          </w:p>
        </w:tc>
      </w:tr>
      <w:tr w:rsidR="004D4BD8" w:rsidRPr="00EF6E3A" w14:paraId="4D335D1B" w14:textId="77777777" w:rsidTr="004D4BD8">
        <w:trPr>
          <w:trHeight w:val="240"/>
        </w:trPr>
        <w:tc>
          <w:tcPr>
            <w:tcW w:w="2875" w:type="dxa"/>
            <w:tcBorders>
              <w:bottom w:val="single" w:sz="4" w:space="0" w:color="auto"/>
              <w:right w:val="single" w:sz="4" w:space="0" w:color="auto"/>
            </w:tcBorders>
            <w:shd w:val="clear" w:color="auto" w:fill="auto"/>
            <w:noWrap/>
            <w:vAlign w:val="center"/>
          </w:tcPr>
          <w:p w14:paraId="3F21C508" w14:textId="77777777" w:rsidR="004D4BD8" w:rsidRPr="00EF6E3A" w:rsidRDefault="004D4BD8" w:rsidP="004D4BD8">
            <w:pPr>
              <w:rPr>
                <w:rFonts w:ascii="Arial" w:eastAsia="Times New Roman" w:hAnsi="Arial" w:cs="Arial"/>
                <w:b/>
                <w:iCs/>
                <w:sz w:val="17"/>
                <w:szCs w:val="17"/>
                <w:lang w:eastAsia="en-GB"/>
              </w:rPr>
            </w:pPr>
            <w:r w:rsidRPr="00EF6E3A">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0D90A11F" w14:textId="77777777" w:rsidR="004D4BD8" w:rsidRPr="00EF6E3A" w:rsidRDefault="004D4BD8" w:rsidP="004D4BD8">
            <w:pPr>
              <w:ind w:left="72" w:right="72"/>
              <w:jc w:val="right"/>
              <w:rPr>
                <w:rFonts w:ascii="Arial" w:eastAsia="Times New Roman" w:hAnsi="Arial" w:cs="Arial"/>
                <w:b/>
                <w:i/>
                <w:iCs/>
                <w:sz w:val="17"/>
                <w:szCs w:val="17"/>
                <w:lang w:eastAsia="en-GB"/>
              </w:rPr>
            </w:pPr>
            <w:r w:rsidRPr="00EF6E3A">
              <w:rPr>
                <w:rFonts w:ascii="Arial" w:eastAsia="Times New Roman" w:hAnsi="Arial" w:cs="Arial"/>
                <w:b/>
                <w:sz w:val="17"/>
                <w:szCs w:val="17"/>
                <w:lang w:eastAsia="en-GB"/>
              </w:rPr>
              <w:t>100</w:t>
            </w:r>
          </w:p>
        </w:tc>
        <w:tc>
          <w:tcPr>
            <w:tcW w:w="763" w:type="dxa"/>
            <w:tcBorders>
              <w:bottom w:val="single" w:sz="4" w:space="0" w:color="auto"/>
            </w:tcBorders>
            <w:vAlign w:val="center"/>
          </w:tcPr>
          <w:p w14:paraId="0081D43E" w14:textId="0CD4CE33" w:rsidR="004D4BD8" w:rsidRPr="00EF6E3A" w:rsidRDefault="004D4BD8" w:rsidP="004D4BD8">
            <w:pPr>
              <w:ind w:left="72" w:right="72"/>
              <w:jc w:val="right"/>
              <w:rPr>
                <w:rFonts w:ascii="Arial" w:eastAsia="Times New Roman" w:hAnsi="Arial" w:cs="Arial"/>
                <w:b/>
                <w:i/>
                <w:iCs/>
                <w:sz w:val="17"/>
                <w:szCs w:val="17"/>
                <w:lang w:eastAsia="en-GB"/>
              </w:rPr>
            </w:pPr>
            <w:r w:rsidRPr="00EF6E3A">
              <w:rPr>
                <w:rFonts w:ascii="Arial" w:eastAsia="Times New Roman" w:hAnsi="Arial" w:cs="Arial"/>
                <w:b/>
                <w:sz w:val="17"/>
                <w:szCs w:val="18"/>
                <w:lang w:eastAsia="en-GB"/>
              </w:rPr>
              <w:t>134.8</w:t>
            </w:r>
          </w:p>
        </w:tc>
        <w:tc>
          <w:tcPr>
            <w:tcW w:w="763" w:type="dxa"/>
            <w:tcBorders>
              <w:bottom w:val="single" w:sz="4" w:space="0" w:color="auto"/>
            </w:tcBorders>
            <w:vAlign w:val="center"/>
          </w:tcPr>
          <w:p w14:paraId="0FB807EC" w14:textId="5AF72A55" w:rsidR="004D4BD8" w:rsidRPr="00EF6E3A" w:rsidRDefault="004D4BD8" w:rsidP="004D4BD8">
            <w:pPr>
              <w:ind w:left="72" w:right="72"/>
              <w:jc w:val="right"/>
              <w:rPr>
                <w:rFonts w:ascii="Arial" w:eastAsia="Times New Roman" w:hAnsi="Arial" w:cs="Arial"/>
                <w:b/>
                <w:i/>
                <w:iCs/>
                <w:sz w:val="17"/>
                <w:szCs w:val="17"/>
                <w:lang w:eastAsia="en-GB"/>
              </w:rPr>
            </w:pPr>
            <w:r w:rsidRPr="00EF6E3A">
              <w:rPr>
                <w:rFonts w:ascii="Arial" w:eastAsia="Times New Roman" w:hAnsi="Arial" w:cs="Arial"/>
                <w:b/>
                <w:sz w:val="17"/>
                <w:szCs w:val="18"/>
                <w:lang w:eastAsia="en-GB"/>
              </w:rPr>
              <w:t>134.8</w:t>
            </w:r>
          </w:p>
        </w:tc>
        <w:tc>
          <w:tcPr>
            <w:tcW w:w="763" w:type="dxa"/>
            <w:tcBorders>
              <w:bottom w:val="single" w:sz="4" w:space="0" w:color="auto"/>
            </w:tcBorders>
            <w:vAlign w:val="center"/>
          </w:tcPr>
          <w:p w14:paraId="2214A175" w14:textId="571FD45F" w:rsidR="004D4BD8" w:rsidRPr="00EF6E3A" w:rsidRDefault="004D4BD8" w:rsidP="004D4BD8">
            <w:pPr>
              <w:ind w:left="72" w:right="72"/>
              <w:jc w:val="right"/>
              <w:rPr>
                <w:rFonts w:ascii="Arial" w:eastAsia="Times New Roman" w:hAnsi="Arial" w:cs="Arial"/>
                <w:b/>
                <w:i/>
                <w:iCs/>
                <w:sz w:val="17"/>
                <w:szCs w:val="17"/>
                <w:lang w:eastAsia="en-GB"/>
              </w:rPr>
            </w:pPr>
            <w:r w:rsidRPr="00EF6E3A">
              <w:rPr>
                <w:rFonts w:ascii="Arial" w:eastAsia="Times New Roman" w:hAnsi="Arial" w:cs="Arial"/>
                <w:b/>
                <w:sz w:val="17"/>
                <w:szCs w:val="18"/>
                <w:lang w:eastAsia="en-GB"/>
              </w:rPr>
              <w:t>133.0</w:t>
            </w:r>
          </w:p>
        </w:tc>
        <w:tc>
          <w:tcPr>
            <w:tcW w:w="761" w:type="dxa"/>
            <w:tcBorders>
              <w:bottom w:val="single" w:sz="4" w:space="0" w:color="auto"/>
              <w:right w:val="single" w:sz="4" w:space="0" w:color="auto"/>
            </w:tcBorders>
            <w:vAlign w:val="center"/>
          </w:tcPr>
          <w:p w14:paraId="0C82D7BE" w14:textId="7B232403" w:rsidR="004D4BD8" w:rsidRPr="00EF6E3A" w:rsidRDefault="004D4BD8" w:rsidP="004D4BD8">
            <w:pPr>
              <w:ind w:left="72" w:right="72"/>
              <w:jc w:val="right"/>
              <w:rPr>
                <w:rFonts w:ascii="Arial" w:eastAsia="Times New Roman" w:hAnsi="Arial" w:cs="Arial"/>
                <w:b/>
                <w:i/>
                <w:iCs/>
                <w:sz w:val="17"/>
                <w:szCs w:val="17"/>
                <w:lang w:eastAsia="en-GB"/>
              </w:rPr>
            </w:pPr>
            <w:r w:rsidRPr="00EF6E3A">
              <w:rPr>
                <w:rFonts w:ascii="Arial" w:eastAsia="Times New Roman" w:hAnsi="Arial" w:cs="Arial"/>
                <w:b/>
                <w:sz w:val="17"/>
                <w:szCs w:val="18"/>
                <w:lang w:eastAsia="en-GB"/>
              </w:rPr>
              <w:t>109.9</w:t>
            </w:r>
          </w:p>
        </w:tc>
        <w:tc>
          <w:tcPr>
            <w:tcW w:w="763" w:type="dxa"/>
            <w:tcBorders>
              <w:left w:val="single" w:sz="4" w:space="0" w:color="auto"/>
              <w:bottom w:val="single" w:sz="4" w:space="0" w:color="auto"/>
            </w:tcBorders>
            <w:vAlign w:val="center"/>
          </w:tcPr>
          <w:p w14:paraId="129B41C5" w14:textId="0E298FB0" w:rsidR="004D4BD8" w:rsidRPr="00EF6E3A" w:rsidRDefault="004D4BD8" w:rsidP="004D4BD8">
            <w:pPr>
              <w:ind w:left="72" w:right="72"/>
              <w:jc w:val="right"/>
              <w:rPr>
                <w:rFonts w:ascii="Arial" w:eastAsia="Times New Roman" w:hAnsi="Arial" w:cs="Arial"/>
                <w:b/>
                <w:i/>
                <w:iCs/>
                <w:sz w:val="17"/>
                <w:szCs w:val="17"/>
                <w:lang w:eastAsia="en-GB"/>
              </w:rPr>
            </w:pPr>
            <w:r w:rsidRPr="00EF6E3A">
              <w:rPr>
                <w:rFonts w:ascii="Arial" w:eastAsia="Times New Roman" w:hAnsi="Arial" w:cs="Arial"/>
                <w:b/>
                <w:sz w:val="17"/>
                <w:szCs w:val="18"/>
                <w:lang w:eastAsia="en-GB"/>
              </w:rPr>
              <w:t>0.4%</w:t>
            </w:r>
          </w:p>
        </w:tc>
        <w:tc>
          <w:tcPr>
            <w:tcW w:w="763" w:type="dxa"/>
            <w:tcBorders>
              <w:bottom w:val="single" w:sz="4" w:space="0" w:color="auto"/>
            </w:tcBorders>
            <w:vAlign w:val="center"/>
          </w:tcPr>
          <w:p w14:paraId="6936E510" w14:textId="6B7A0B82" w:rsidR="004D4BD8" w:rsidRPr="00EF6E3A" w:rsidRDefault="004D4BD8" w:rsidP="004D4BD8">
            <w:pPr>
              <w:ind w:left="72" w:right="72"/>
              <w:jc w:val="right"/>
              <w:rPr>
                <w:rFonts w:ascii="Arial" w:eastAsia="Times New Roman" w:hAnsi="Arial" w:cs="Arial"/>
                <w:b/>
                <w:sz w:val="17"/>
                <w:szCs w:val="17"/>
                <w:lang w:eastAsia="en-GB"/>
              </w:rPr>
            </w:pPr>
            <w:r w:rsidRPr="00EF6E3A">
              <w:rPr>
                <w:rFonts w:ascii="Arial" w:eastAsia="Times New Roman" w:hAnsi="Arial" w:cs="Arial"/>
                <w:b/>
                <w:sz w:val="17"/>
                <w:szCs w:val="18"/>
                <w:lang w:eastAsia="en-GB"/>
              </w:rPr>
              <w:t>3.4%</w:t>
            </w:r>
          </w:p>
        </w:tc>
        <w:tc>
          <w:tcPr>
            <w:tcW w:w="764" w:type="dxa"/>
            <w:tcBorders>
              <w:bottom w:val="single" w:sz="4" w:space="0" w:color="auto"/>
            </w:tcBorders>
            <w:vAlign w:val="center"/>
          </w:tcPr>
          <w:p w14:paraId="79FE8BBC" w14:textId="44185963" w:rsidR="004D4BD8" w:rsidRPr="00EF6E3A" w:rsidRDefault="004D4BD8" w:rsidP="004D4BD8">
            <w:pPr>
              <w:ind w:left="72" w:right="72"/>
              <w:jc w:val="right"/>
              <w:rPr>
                <w:rFonts w:ascii="Arial" w:eastAsia="Times New Roman" w:hAnsi="Arial" w:cs="Arial"/>
                <w:b/>
                <w:sz w:val="17"/>
                <w:szCs w:val="17"/>
                <w:lang w:eastAsia="en-GB"/>
              </w:rPr>
            </w:pPr>
            <w:r w:rsidRPr="00EF6E3A">
              <w:rPr>
                <w:rFonts w:ascii="Arial" w:eastAsia="Times New Roman" w:hAnsi="Arial" w:cs="Arial"/>
                <w:b/>
                <w:sz w:val="17"/>
                <w:szCs w:val="18"/>
                <w:lang w:eastAsia="en-GB"/>
              </w:rPr>
              <w:t>0.0%</w:t>
            </w:r>
          </w:p>
        </w:tc>
        <w:tc>
          <w:tcPr>
            <w:tcW w:w="764" w:type="dxa"/>
            <w:tcBorders>
              <w:bottom w:val="single" w:sz="4" w:space="0" w:color="auto"/>
            </w:tcBorders>
            <w:vAlign w:val="center"/>
          </w:tcPr>
          <w:p w14:paraId="3543A9A0" w14:textId="7529F8AA" w:rsidR="004D4BD8" w:rsidRPr="00EF6E3A" w:rsidRDefault="004D4BD8" w:rsidP="004D4BD8">
            <w:pPr>
              <w:ind w:left="72" w:right="72"/>
              <w:jc w:val="right"/>
              <w:rPr>
                <w:rFonts w:ascii="Arial" w:eastAsia="Times New Roman" w:hAnsi="Arial" w:cs="Arial"/>
                <w:b/>
                <w:sz w:val="17"/>
                <w:szCs w:val="17"/>
                <w:lang w:eastAsia="en-GB"/>
              </w:rPr>
            </w:pPr>
            <w:r w:rsidRPr="00EF6E3A">
              <w:rPr>
                <w:rFonts w:ascii="Arial" w:eastAsia="Times New Roman" w:hAnsi="Arial" w:cs="Arial"/>
                <w:b/>
                <w:sz w:val="17"/>
                <w:szCs w:val="18"/>
                <w:lang w:eastAsia="en-GB"/>
              </w:rPr>
              <w:t>-0.3%</w:t>
            </w:r>
          </w:p>
        </w:tc>
        <w:tc>
          <w:tcPr>
            <w:tcW w:w="764" w:type="dxa"/>
            <w:tcBorders>
              <w:bottom w:val="single" w:sz="4" w:space="0" w:color="auto"/>
            </w:tcBorders>
            <w:vAlign w:val="center"/>
          </w:tcPr>
          <w:p w14:paraId="7FCF4267" w14:textId="66357975" w:rsidR="004D4BD8" w:rsidRPr="00EF6E3A" w:rsidRDefault="004D4BD8" w:rsidP="004D4BD8">
            <w:pPr>
              <w:ind w:left="72" w:right="72"/>
              <w:jc w:val="right"/>
              <w:rPr>
                <w:rFonts w:ascii="Arial" w:eastAsia="Times New Roman" w:hAnsi="Arial" w:cs="Arial"/>
                <w:b/>
                <w:sz w:val="17"/>
                <w:szCs w:val="17"/>
                <w:lang w:eastAsia="en-GB"/>
              </w:rPr>
            </w:pPr>
            <w:r w:rsidRPr="00EF6E3A">
              <w:rPr>
                <w:rFonts w:ascii="Arial" w:eastAsia="Times New Roman" w:hAnsi="Arial" w:cs="Arial"/>
                <w:b/>
                <w:sz w:val="17"/>
                <w:szCs w:val="18"/>
                <w:lang w:eastAsia="en-GB"/>
              </w:rPr>
              <w:t>-6.2%</w:t>
            </w:r>
          </w:p>
        </w:tc>
      </w:tr>
    </w:tbl>
    <w:p w14:paraId="1733BCB7" w14:textId="413920A7" w:rsidR="004D4BD8" w:rsidRDefault="004D4BD8" w:rsidP="009B346D">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2" w:history="1">
        <w:r w:rsidRPr="00981A1E">
          <w:rPr>
            <w:rStyle w:val="Hyperlink"/>
          </w:rPr>
          <w:t>https://data.un.org/search.aspx?q=gross+value+added+datamart%5bsnaama%5d</w:t>
        </w:r>
      </w:hyperlink>
      <w:r>
        <w:t>) and ILO World Employment and Social Outlook (</w:t>
      </w:r>
      <w:proofErr w:type="spellStart"/>
      <w:r>
        <w:t>WESO</w:t>
      </w:r>
      <w:proofErr w:type="spellEnd"/>
      <w:r>
        <w:t xml:space="preserve">) – Trends 2015 supporting dataset ‘employment by </w:t>
      </w:r>
      <w:proofErr w:type="gramStart"/>
      <w:r>
        <w:t>sector</w:t>
      </w:r>
      <w:proofErr w:type="gramEnd"/>
      <w:r>
        <w:t xml:space="preserve"> and sex’ (</w:t>
      </w:r>
      <w:hyperlink r:id="rId23" w:history="1">
        <w:r w:rsidRPr="00DC3FEA">
          <w:rPr>
            <w:rStyle w:val="Hyperlink"/>
          </w:rPr>
          <w:t>http://www.ilo.org/global/research/global-reports/weso/2015/lang--en/index.htm</w:t>
        </w:r>
      </w:hyperlink>
      <w:r>
        <w:t>).</w:t>
      </w:r>
    </w:p>
    <w:p w14:paraId="4458A160" w14:textId="77777777" w:rsidR="004D4BD8" w:rsidRDefault="004D4BD8" w:rsidP="009B346D">
      <w:pPr>
        <w:pStyle w:val="Source"/>
        <w:sectPr w:rsidR="004D4BD8" w:rsidSect="004D4BD8">
          <w:pgSz w:w="16839" w:h="11907" w:orient="landscape" w:code="9"/>
          <w:pgMar w:top="965" w:right="1469" w:bottom="1440" w:left="1368" w:header="706" w:footer="706" w:gutter="0"/>
          <w:cols w:space="708"/>
          <w:docGrid w:linePitch="360"/>
        </w:sectPr>
      </w:pPr>
    </w:p>
    <w:p w14:paraId="6CCF8366" w14:textId="3F4C1DBD" w:rsidR="00887216" w:rsidRDefault="00887216" w:rsidP="00887216">
      <w:pPr>
        <w:pStyle w:val="FigureHeading"/>
        <w:numPr>
          <w:ilvl w:val="0"/>
          <w:numId w:val="1"/>
        </w:numPr>
        <w:tabs>
          <w:tab w:val="right" w:pos="9806"/>
        </w:tabs>
        <w:rPr>
          <w:color w:val="FF0000"/>
        </w:rPr>
      </w:pPr>
      <w:bookmarkStart w:id="12" w:name="_Toc427753256"/>
      <w:bookmarkStart w:id="13" w:name="_Toc427767257"/>
      <w:bookmarkStart w:id="14" w:name="_Toc427768420"/>
      <w:bookmarkStart w:id="15" w:name="_Toc428448490"/>
      <w:bookmarkStart w:id="16" w:name="_Toc404582444"/>
      <w:r>
        <w:t>Relative productivity and changes in employment shares by sector, Yemen</w:t>
      </w:r>
      <w:r>
        <w:tab/>
      </w:r>
      <w:r w:rsidRPr="001B0E3C">
        <w:rPr>
          <w:color w:val="FF0000"/>
        </w:rPr>
        <w:t>NEW</w:t>
      </w:r>
      <w:bookmarkEnd w:id="12"/>
      <w:bookmarkEnd w:id="13"/>
      <w:bookmarkEnd w:id="14"/>
      <w:bookmarkEnd w:id="15"/>
    </w:p>
    <w:p w14:paraId="6FF0E0A1" w14:textId="6967236A" w:rsidR="00887216" w:rsidRPr="000D1333" w:rsidRDefault="00887216" w:rsidP="00887216">
      <w:pPr>
        <w:pStyle w:val="BodyText"/>
        <w:tabs>
          <w:tab w:val="left" w:pos="1200"/>
        </w:tabs>
      </w:pPr>
      <w:r>
        <w:rPr>
          <w:noProof/>
          <w:lang w:eastAsia="en-GB"/>
        </w:rPr>
        <w:drawing>
          <wp:inline distT="0" distB="0" distL="0" distR="0" wp14:anchorId="2D2971B3" wp14:editId="29FB9A40">
            <wp:extent cx="5400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887216">
        <w:rPr>
          <w:noProof/>
          <w:lang w:eastAsia="en-GB"/>
        </w:rPr>
        <w:t xml:space="preserve"> </w:t>
      </w:r>
      <w:r>
        <w:rPr>
          <w:noProof/>
          <w:lang w:eastAsia="en-GB"/>
        </w:rPr>
        <w:drawing>
          <wp:inline distT="0" distB="0" distL="0" distR="0" wp14:anchorId="4E726C3F" wp14:editId="16AF9A23">
            <wp:extent cx="5400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887216">
        <w:rPr>
          <w:noProof/>
          <w:lang w:eastAsia="en-GB"/>
        </w:rPr>
        <w:t xml:space="preserve"> </w:t>
      </w:r>
      <w:r>
        <w:rPr>
          <w:noProof/>
          <w:lang w:eastAsia="en-GB"/>
        </w:rPr>
        <w:drawing>
          <wp:inline distT="0" distB="0" distL="0" distR="0" wp14:anchorId="59761B58" wp14:editId="2303F1FC">
            <wp:extent cx="5400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E67501" w14:textId="77777777" w:rsidR="00887216" w:rsidRDefault="00887216" w:rsidP="00887216">
      <w:pPr>
        <w:pStyle w:val="BodyText"/>
        <w:rPr>
          <w:noProof/>
          <w:lang w:eastAsia="en-GB"/>
        </w:rPr>
      </w:pPr>
    </w:p>
    <w:p w14:paraId="52236C39" w14:textId="5DCBDC12" w:rsidR="00887216" w:rsidRDefault="00887216" w:rsidP="00887216">
      <w:pPr>
        <w:pStyle w:val="BodyText"/>
        <w:spacing w:before="39" w:after="0" w:line="240" w:lineRule="auto"/>
        <w:jc w:val="left"/>
        <w:rPr>
          <w:noProof/>
          <w:lang w:eastAsia="en-GB"/>
        </w:rPr>
      </w:pPr>
      <w:r>
        <w:rPr>
          <w:noProof/>
          <w:lang w:eastAsia="en-GB"/>
        </w:rPr>
        <w:drawing>
          <wp:inline distT="0" distB="0" distL="0" distR="0" wp14:anchorId="70C6790D" wp14:editId="091ED1C0">
            <wp:extent cx="5400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FB9DC6" w14:textId="77777777" w:rsidR="00887216" w:rsidRPr="00065CA6" w:rsidRDefault="00887216" w:rsidP="00887216">
      <w:pPr>
        <w:pStyle w:val="Source"/>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 xml:space="preserve">Source: Authors’ calculations using </w:t>
      </w:r>
      <w:proofErr w:type="spellStart"/>
      <w:r w:rsidRPr="00065CA6">
        <w:rPr>
          <w:rFonts w:asciiTheme="majorHAnsi" w:hAnsiTheme="majorHAnsi" w:cstheme="majorHAnsi"/>
          <w:szCs w:val="16"/>
        </w:rPr>
        <w:t>UNSD</w:t>
      </w:r>
      <w:proofErr w:type="spellEnd"/>
      <w:r w:rsidRPr="00065CA6">
        <w:rPr>
          <w:rFonts w:asciiTheme="majorHAnsi" w:hAnsiTheme="majorHAnsi" w:cstheme="majorHAnsi"/>
          <w:szCs w:val="16"/>
        </w:rPr>
        <w:t xml:space="preserve"> National Accounts Main Aggregates data on ‘gross value added by kind of economic activity’ (</w:t>
      </w:r>
      <w:hyperlink r:id="rId28"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t>
      </w:r>
      <w:proofErr w:type="spellStart"/>
      <w:r w:rsidRPr="00065CA6">
        <w:rPr>
          <w:rFonts w:asciiTheme="majorHAnsi" w:hAnsiTheme="majorHAnsi" w:cstheme="majorHAnsi"/>
          <w:szCs w:val="16"/>
        </w:rPr>
        <w:t>WESO</w:t>
      </w:r>
      <w:proofErr w:type="spellEnd"/>
      <w:r w:rsidRPr="00065CA6">
        <w:rPr>
          <w:rFonts w:asciiTheme="majorHAnsi" w:hAnsiTheme="majorHAnsi" w:cstheme="majorHAnsi"/>
          <w:szCs w:val="16"/>
        </w:rPr>
        <w:t>) – Trends 2015 supporting dataset ‘employment by sector and sex’ (</w:t>
      </w:r>
      <w:hyperlink r:id="rId29"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p>
    <w:p w14:paraId="42CC75F7" w14:textId="77777777" w:rsidR="00887216" w:rsidRDefault="00887216" w:rsidP="00887216"/>
    <w:p w14:paraId="0033A8D8" w14:textId="70871F9F" w:rsidR="00887216" w:rsidRDefault="00887216" w:rsidP="00887216">
      <w:pPr>
        <w:pStyle w:val="FigureHeading"/>
        <w:numPr>
          <w:ilvl w:val="0"/>
          <w:numId w:val="1"/>
        </w:numPr>
        <w:tabs>
          <w:tab w:val="right" w:pos="9806"/>
        </w:tabs>
      </w:pPr>
      <w:bookmarkStart w:id="17" w:name="_Toc427753257"/>
      <w:bookmarkStart w:id="18" w:name="_Toc427767259"/>
      <w:bookmarkStart w:id="19" w:name="_Toc427768422"/>
      <w:bookmarkStart w:id="20" w:name="_Toc428448491"/>
      <w:bookmarkEnd w:id="16"/>
      <w:r>
        <w:t>Decomposition of labour productivity change, Yemen, 1991–2013</w:t>
      </w:r>
      <w:r>
        <w:tab/>
      </w:r>
      <w:r w:rsidRPr="00DB6A0A">
        <w:rPr>
          <w:color w:val="FF0000"/>
        </w:rPr>
        <w:t>NEW</w:t>
      </w:r>
      <w:bookmarkEnd w:id="17"/>
      <w:bookmarkEnd w:id="18"/>
      <w:bookmarkEnd w:id="19"/>
      <w:bookmarkEnd w:id="20"/>
    </w:p>
    <w:p w14:paraId="58E126D5" w14:textId="2D4262D6" w:rsidR="00887216" w:rsidRPr="00BC3613" w:rsidRDefault="00887216" w:rsidP="00887216">
      <w:pPr>
        <w:pStyle w:val="BodyText"/>
      </w:pPr>
      <w:r>
        <w:rPr>
          <w:noProof/>
          <w:lang w:eastAsia="en-GB"/>
        </w:rPr>
        <w:drawing>
          <wp:inline distT="0" distB="0" distL="0" distR="0" wp14:anchorId="66D666C9" wp14:editId="4A320BF4">
            <wp:extent cx="4572000" cy="2834640"/>
            <wp:effectExtent l="0" t="0" r="0" b="381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9B9458" w14:textId="77777777" w:rsidR="00887216" w:rsidRPr="00E05679" w:rsidRDefault="00887216" w:rsidP="00887216">
      <w:pPr>
        <w:pStyle w:val="Source"/>
      </w:pPr>
      <w:r w:rsidRPr="00E05679">
        <w:rPr>
          <w:rFonts w:asciiTheme="majorHAnsi" w:hAnsiTheme="majorHAnsi" w:cstheme="majorHAnsi"/>
          <w:szCs w:val="16"/>
        </w:rPr>
        <w:t xml:space="preserve">Source: Authors’ calculations using </w:t>
      </w:r>
      <w:proofErr w:type="spellStart"/>
      <w:r w:rsidRPr="00E05679">
        <w:rPr>
          <w:rFonts w:asciiTheme="majorHAnsi" w:hAnsiTheme="majorHAnsi" w:cstheme="majorHAnsi"/>
          <w:szCs w:val="16"/>
        </w:rPr>
        <w:t>UNSD</w:t>
      </w:r>
      <w:proofErr w:type="spellEnd"/>
      <w:r w:rsidRPr="00E05679">
        <w:rPr>
          <w:rFonts w:asciiTheme="majorHAnsi" w:hAnsiTheme="majorHAnsi" w:cstheme="majorHAnsi"/>
          <w:szCs w:val="16"/>
        </w:rPr>
        <w:t xml:space="preserve"> National Accounts Main Aggregates data on ‘gross value added by kind of economic activity’ (</w:t>
      </w:r>
      <w:hyperlink r:id="rId31" w:history="1">
        <w:r w:rsidRPr="00E05679">
          <w:rPr>
            <w:rStyle w:val="Hyperlink"/>
            <w:rFonts w:asciiTheme="majorHAnsi" w:hAnsiTheme="majorHAnsi" w:cstheme="majorHAnsi"/>
            <w:szCs w:val="16"/>
          </w:rPr>
          <w:t>https://data.un.org/search.aspx?q=gross+value+added+datamart%5bsnaama%5d</w:t>
        </w:r>
      </w:hyperlink>
      <w:r w:rsidRPr="00E05679">
        <w:rPr>
          <w:rFonts w:asciiTheme="majorHAnsi" w:hAnsiTheme="majorHAnsi" w:cstheme="majorHAnsi"/>
          <w:szCs w:val="16"/>
        </w:rPr>
        <w:t>) and ILO World Employment and Social Outlook (</w:t>
      </w:r>
      <w:proofErr w:type="spellStart"/>
      <w:r w:rsidRPr="00E05679">
        <w:rPr>
          <w:rFonts w:asciiTheme="majorHAnsi" w:hAnsiTheme="majorHAnsi" w:cstheme="majorHAnsi"/>
          <w:szCs w:val="16"/>
        </w:rPr>
        <w:t>WESO</w:t>
      </w:r>
      <w:proofErr w:type="spellEnd"/>
      <w:r w:rsidRPr="00E05679">
        <w:rPr>
          <w:rFonts w:asciiTheme="majorHAnsi" w:hAnsiTheme="majorHAnsi" w:cstheme="majorHAnsi"/>
          <w:szCs w:val="16"/>
        </w:rPr>
        <w:t>) – Trends 2015 supporting dataset ‘employment by sector and sex’ (</w:t>
      </w:r>
      <w:hyperlink r:id="rId32" w:history="1">
        <w:r w:rsidRPr="00E05679">
          <w:rPr>
            <w:rStyle w:val="Hyperlink"/>
            <w:rFonts w:asciiTheme="majorHAnsi" w:hAnsiTheme="majorHAnsi" w:cstheme="majorHAnsi"/>
            <w:szCs w:val="16"/>
          </w:rPr>
          <w:t>http://www.ilo.org/global/research/global-reports/weso/2015/lang--en/index.htm</w:t>
        </w:r>
      </w:hyperlink>
      <w:r w:rsidRPr="00E05679">
        <w:rPr>
          <w:rFonts w:asciiTheme="majorHAnsi" w:hAnsiTheme="majorHAnsi" w:cstheme="majorHAnsi"/>
          <w:szCs w:val="16"/>
        </w:rPr>
        <w:t>).</w:t>
      </w:r>
    </w:p>
    <w:p w14:paraId="7B96C975" w14:textId="77777777" w:rsidR="00887216" w:rsidRDefault="00887216" w:rsidP="00887216">
      <w:pPr>
        <w:pStyle w:val="Source"/>
      </w:pPr>
    </w:p>
    <w:p w14:paraId="62BB975F" w14:textId="77777777" w:rsidR="00887216" w:rsidRDefault="00887216" w:rsidP="00887216">
      <w:pPr>
        <w:rPr>
          <w:rFonts w:ascii="Arial" w:hAnsi="Arial"/>
          <w:b/>
          <w:color w:val="006C67" w:themeColor="accent1"/>
          <w:sz w:val="24"/>
        </w:rPr>
      </w:pPr>
      <w:bookmarkStart w:id="21" w:name="_Toc404582445"/>
      <w:bookmarkStart w:id="22" w:name="_Toc406411724"/>
      <w:r>
        <w:br w:type="page"/>
      </w:r>
    </w:p>
    <w:p w14:paraId="51AAF9BE" w14:textId="11F3A735" w:rsidR="00887216" w:rsidRDefault="00887216" w:rsidP="00887216">
      <w:pPr>
        <w:pStyle w:val="FigureHeading"/>
        <w:numPr>
          <w:ilvl w:val="0"/>
          <w:numId w:val="1"/>
        </w:numPr>
        <w:tabs>
          <w:tab w:val="right" w:pos="9806"/>
        </w:tabs>
      </w:pPr>
      <w:bookmarkStart w:id="23" w:name="_Toc427753258"/>
      <w:bookmarkStart w:id="24" w:name="_Toc427767261"/>
      <w:bookmarkStart w:id="25" w:name="_Toc427768424"/>
      <w:bookmarkStart w:id="26" w:name="_Toc428448492"/>
      <w:bookmarkEnd w:id="21"/>
      <w:bookmarkEnd w:id="22"/>
      <w:r w:rsidRPr="00BA5FA0">
        <w:t>Productivity gaps in</w:t>
      </w:r>
      <w:r>
        <w:t xml:space="preserve"> </w:t>
      </w:r>
      <w:r>
        <w:rPr>
          <w:noProof/>
        </w:rPr>
        <w:t>Yemen</w:t>
      </w:r>
      <w:r w:rsidRPr="00BA5FA0">
        <w:t>, 201</w:t>
      </w:r>
      <w:r>
        <w:t>3</w:t>
      </w:r>
      <w:r>
        <w:tab/>
      </w:r>
      <w:r w:rsidRPr="00DB6A0A">
        <w:rPr>
          <w:color w:val="FF0000"/>
        </w:rPr>
        <w:t>NEW</w:t>
      </w:r>
      <w:bookmarkEnd w:id="23"/>
      <w:bookmarkEnd w:id="24"/>
      <w:bookmarkEnd w:id="25"/>
      <w:bookmarkEnd w:id="26"/>
    </w:p>
    <w:p w14:paraId="273BCCE2" w14:textId="65157E06" w:rsidR="00887216" w:rsidRDefault="00887216" w:rsidP="00887216">
      <w:pPr>
        <w:pStyle w:val="Source"/>
        <w:spacing w:after="0"/>
      </w:pPr>
      <w:r>
        <w:rPr>
          <w:noProof/>
          <w:lang w:eastAsia="en-GB"/>
        </w:rPr>
        <w:drawing>
          <wp:inline distT="0" distB="0" distL="0" distR="0" wp14:anchorId="04908799" wp14:editId="37AE9CC6">
            <wp:extent cx="5400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2FD24B" w14:textId="77777777" w:rsidR="00887216" w:rsidRDefault="00887216" w:rsidP="00887216">
      <w:pPr>
        <w:pStyle w:val="Source"/>
      </w:pPr>
      <w:r w:rsidRPr="00BC3613">
        <w:t xml:space="preserve">Source: Authors’ calculations using </w:t>
      </w:r>
      <w:proofErr w:type="spellStart"/>
      <w:r w:rsidRPr="00BC3613">
        <w:t>UNSD</w:t>
      </w:r>
      <w:proofErr w:type="spellEnd"/>
      <w:r w:rsidRPr="00BC3613">
        <w:t xml:space="preserve"> National Accounts Main Aggregates data on ‘gross value added by kind of economic activity’ (</w:t>
      </w:r>
      <w:hyperlink r:id="rId34"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t>
      </w:r>
      <w:proofErr w:type="spellStart"/>
      <w:r w:rsidRPr="00BC3613">
        <w:t>WESO</w:t>
      </w:r>
      <w:proofErr w:type="spellEnd"/>
      <w:r w:rsidRPr="00BC3613">
        <w:t>) – Trends 2015 supporting dataset ‘employment by sector and sex’ (</w:t>
      </w:r>
      <w:hyperlink r:id="rId35" w:history="1">
        <w:r w:rsidRPr="00BC3613">
          <w:rPr>
            <w:rStyle w:val="Hyperlink"/>
            <w:rFonts w:asciiTheme="majorHAnsi" w:hAnsiTheme="majorHAnsi" w:cstheme="majorHAnsi"/>
            <w:i w:val="0"/>
            <w:szCs w:val="16"/>
          </w:rPr>
          <w:t>http://www.ilo.org/global/research/global-reports/weso/2015/lang--en/index.htm</w:t>
        </w:r>
      </w:hyperlink>
      <w:r w:rsidRPr="00BC3613">
        <w:t>).</w:t>
      </w:r>
    </w:p>
    <w:p w14:paraId="1A715B92" w14:textId="77777777" w:rsidR="00887216" w:rsidRDefault="00887216" w:rsidP="00887216">
      <w:pPr>
        <w:pStyle w:val="BodyText"/>
      </w:pPr>
    </w:p>
    <w:p w14:paraId="29E45A68" w14:textId="09D2B68D" w:rsidR="00E34060" w:rsidRDefault="00E34060" w:rsidP="00E34060">
      <w:pPr>
        <w:pStyle w:val="FigureHeading"/>
      </w:pPr>
      <w:bookmarkStart w:id="27" w:name="_Toc428448493"/>
      <w:r>
        <w:t xml:space="preserve">Total employment by sex and </w:t>
      </w:r>
      <w:r w:rsidR="00887216">
        <w:t xml:space="preserve">broad </w:t>
      </w:r>
      <w:r>
        <w:t xml:space="preserve">sector, </w:t>
      </w:r>
      <w:bookmarkEnd w:id="9"/>
      <w:r>
        <w:t>Yemen</w:t>
      </w:r>
      <w:r w:rsidR="00887216">
        <w:t xml:space="preserve"> (ILO GET data)</w:t>
      </w:r>
      <w:bookmarkEnd w:id="27"/>
    </w:p>
    <w:p w14:paraId="29E45A69" w14:textId="77777777" w:rsidR="00E34060" w:rsidRDefault="00E34060" w:rsidP="00E34060">
      <w:pPr>
        <w:pStyle w:val="BodyText"/>
        <w:tabs>
          <w:tab w:val="right" w:pos="8840"/>
        </w:tabs>
        <w:spacing w:before="39" w:after="0" w:line="240" w:lineRule="auto"/>
        <w:jc w:val="left"/>
      </w:pPr>
      <w:r>
        <w:rPr>
          <w:noProof/>
          <w:lang w:eastAsia="en-GB"/>
        </w:rPr>
        <mc:AlternateContent>
          <mc:Choice Requires="wpg">
            <w:drawing>
              <wp:inline distT="0" distB="0" distL="0" distR="0" wp14:anchorId="29E45D05" wp14:editId="29E45D06">
                <wp:extent cx="4720590" cy="2592000"/>
                <wp:effectExtent l="0" t="0" r="3810" b="0"/>
                <wp:docPr id="11"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2" name="Chart 12"/>
                        <wpg:cNvFrPr/>
                        <wpg:xfrm>
                          <a:off x="0" y="0"/>
                          <a:ext cx="2268000" cy="2592000"/>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14" name="Chart 14"/>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2"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">
                  <v:imagedata r:id="rId38" o:title=""/>
                  <o:lock v:ext="edit" aspectratio="f"/>
                </v:shape>
                <v:shape id="Chart 14"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">
                  <v:imagedata r:id="rId39" o:title=""/>
                  <o:lock v:ext="edit" aspectratio="f"/>
                </v:shape>
                <w10:anchorlock/>
              </v:group>
            </w:pict>
          </mc:Fallback>
        </mc:AlternateContent>
      </w:r>
      <w:r>
        <w:tab/>
      </w:r>
    </w:p>
    <w:p w14:paraId="29E45A6A" w14:textId="77777777" w:rsidR="00E34060" w:rsidRDefault="00E34060" w:rsidP="00E34060">
      <w:pPr>
        <w:pStyle w:val="Source"/>
      </w:pPr>
      <w:r>
        <w:t>Source: ILO Global Employment Trends 2014 (</w:t>
      </w:r>
      <w:hyperlink r:id="rId40" w:history="1">
        <w:r w:rsidRPr="000B7E15">
          <w:rPr>
            <w:rStyle w:val="Hyperlink"/>
          </w:rPr>
          <w:t>http://www.ilo.org/global/research/global-reports/global-employment-trends/2014/WCMS_234879/lang--en/index.htm</w:t>
        </w:r>
      </w:hyperlink>
      <w:r>
        <w:t>).</w:t>
      </w:r>
    </w:p>
    <w:p w14:paraId="29E45A6B" w14:textId="77777777" w:rsidR="008607CD" w:rsidRDefault="008607CD">
      <w:pPr>
        <w:rPr>
          <w:rFonts w:ascii="Arial" w:hAnsi="Arial"/>
          <w:b/>
          <w:color w:val="006C67" w:themeColor="accent1"/>
          <w:sz w:val="24"/>
        </w:rPr>
      </w:pPr>
      <w:bookmarkStart w:id="28" w:name="_Toc408401695"/>
      <w:r>
        <w:br w:type="page"/>
      </w:r>
    </w:p>
    <w:p w14:paraId="29E45A6C" w14:textId="73B1EFC6" w:rsidR="00E34060" w:rsidRDefault="00887216" w:rsidP="00E34060">
      <w:pPr>
        <w:pStyle w:val="FigureHeading"/>
      </w:pPr>
      <w:bookmarkStart w:id="29" w:name="_Toc428448494"/>
      <w:r>
        <w:t>Broad s</w:t>
      </w:r>
      <w:r w:rsidR="00E34060">
        <w:t xml:space="preserve">ectoral employment by sex, </w:t>
      </w:r>
      <w:bookmarkEnd w:id="28"/>
      <w:r w:rsidR="00E34060">
        <w:t>Yemen</w:t>
      </w:r>
      <w:r>
        <w:t xml:space="preserve"> (ILO GET data)</w:t>
      </w:r>
      <w:bookmarkEnd w:id="29"/>
    </w:p>
    <w:p w14:paraId="29E45A6D" w14:textId="77777777" w:rsidR="00E34060" w:rsidRDefault="00E34060" w:rsidP="00E34060">
      <w:pPr>
        <w:pStyle w:val="Source"/>
        <w:spacing w:after="0"/>
      </w:pPr>
      <w:r>
        <w:rPr>
          <w:noProof/>
          <w:lang w:eastAsia="en-GB"/>
        </w:rPr>
        <mc:AlternateContent>
          <mc:Choice Requires="wpg">
            <w:drawing>
              <wp:inline distT="0" distB="0" distL="0" distR="0" wp14:anchorId="29E45D07" wp14:editId="29E45D08">
                <wp:extent cx="5687568" cy="2578608"/>
                <wp:effectExtent l="0" t="0" r="8890" b="0"/>
                <wp:docPr id="22"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23" name="Chart 23"/>
                        <wpg:cNvFrPr/>
                        <wpg:xfrm>
                          <a:off x="0" y="0"/>
                          <a:ext cx="2268000" cy="2466000"/>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25" name="Chart 25"/>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27" name="Chart 27"/>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">
                <o:lock v:ext="edit" aspectratio="t"/>
                <v:shape id="Chart 23"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">
                  <v:imagedata r:id="rId44" o:title=""/>
                  <o:lock v:ext="edit" aspectratio="f"/>
                </v:shape>
                <v:shape id="Chart 25"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">
                  <v:imagedata r:id="rId45" o:title=""/>
                  <o:lock v:ext="edit" aspectratio="f"/>
                </v:shape>
                <v:shape id="Chart 27"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">
                  <v:imagedata r:id="rId46" o:title=""/>
                  <o:lock v:ext="edit" aspectratio="f"/>
                </v:shape>
                <w10:anchorlock/>
              </v:group>
            </w:pict>
          </mc:Fallback>
        </mc:AlternateContent>
      </w:r>
    </w:p>
    <w:p w14:paraId="29E45A6E" w14:textId="77777777" w:rsidR="00E34060" w:rsidRDefault="00E34060" w:rsidP="00E34060">
      <w:pPr>
        <w:pStyle w:val="Source"/>
      </w:pPr>
      <w:r>
        <w:t>Source: Authors’ calculations using data from the ILO’s Global Employment Trends 2014 (</w:t>
      </w:r>
      <w:hyperlink r:id="rId47" w:history="1">
        <w:r w:rsidRPr="000B7E15">
          <w:rPr>
            <w:rStyle w:val="Hyperlink"/>
          </w:rPr>
          <w:t>http://www.ilo.org/global/research/global-reports/global-employment-trends/2014/WCMS_234879/lang--en/index.htm</w:t>
        </w:r>
      </w:hyperlink>
      <w:r>
        <w:t>).</w:t>
      </w:r>
    </w:p>
    <w:p w14:paraId="0EDBBD13" w14:textId="47F0AFFC" w:rsidR="00887216" w:rsidRDefault="00887216" w:rsidP="00887216">
      <w:pPr>
        <w:pStyle w:val="BodyText"/>
      </w:pPr>
    </w:p>
    <w:p w14:paraId="509D155E" w14:textId="529D5212" w:rsidR="00887216" w:rsidRDefault="00887216" w:rsidP="00887216">
      <w:pPr>
        <w:pStyle w:val="FigureHeading"/>
        <w:numPr>
          <w:ilvl w:val="0"/>
          <w:numId w:val="1"/>
        </w:numPr>
        <w:tabs>
          <w:tab w:val="right" w:pos="9806"/>
        </w:tabs>
      </w:pPr>
      <w:bookmarkStart w:id="30" w:name="_Toc427753261"/>
      <w:bookmarkStart w:id="31" w:name="_Toc427767264"/>
      <w:bookmarkStart w:id="32" w:name="_Toc427768427"/>
      <w:bookmarkStart w:id="33" w:name="_Toc428448495"/>
      <w:r>
        <w:t xml:space="preserve">Sectoral employment by sex, </w:t>
      </w:r>
      <w:r>
        <w:rPr>
          <w:noProof/>
        </w:rPr>
        <w:t>Yemen</w:t>
      </w:r>
      <w:r>
        <w:t xml:space="preserve"> (ILO </w:t>
      </w:r>
      <w:proofErr w:type="spellStart"/>
      <w:r>
        <w:t>WESO</w:t>
      </w:r>
      <w:proofErr w:type="spellEnd"/>
      <w:r>
        <w:t xml:space="preserve"> data)</w:t>
      </w:r>
      <w:r>
        <w:tab/>
      </w:r>
      <w:r w:rsidRPr="00DB6A0A">
        <w:rPr>
          <w:color w:val="FF0000"/>
        </w:rPr>
        <w:t>NEW</w:t>
      </w:r>
      <w:bookmarkEnd w:id="30"/>
      <w:bookmarkEnd w:id="31"/>
      <w:bookmarkEnd w:id="32"/>
      <w:bookmarkEnd w:id="33"/>
    </w:p>
    <w:p w14:paraId="35499D20" w14:textId="4C291C8C" w:rsidR="00887216" w:rsidRPr="00D65C18" w:rsidRDefault="00887216" w:rsidP="00887216">
      <w:pPr>
        <w:pStyle w:val="BodyText"/>
      </w:pPr>
      <w:r>
        <w:rPr>
          <w:noProof/>
          <w:lang w:eastAsia="en-GB"/>
        </w:rPr>
        <mc:AlternateContent>
          <mc:Choice Requires="wpg">
            <w:drawing>
              <wp:inline distT="0" distB="0" distL="0" distR="0" wp14:anchorId="6E0873EB" wp14:editId="1732B4A8">
                <wp:extent cx="6400800" cy="2468880"/>
                <wp:effectExtent l="0" t="0" r="0" b="7620"/>
                <wp:docPr id="4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2468880"/>
                          <a:chOff x="0" y="0"/>
                          <a:chExt cx="7113270" cy="2743200"/>
                        </a:xfrm>
                      </wpg:grpSpPr>
                      <wpg:graphicFrame>
                        <wpg:cNvPr id="47" name="Chart 47"/>
                        <wpg:cNvFrPr/>
                        <wpg:xfrm>
                          <a:off x="0" y="0"/>
                          <a:ext cx="4572000" cy="2743200"/>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48" name="Chart 48"/>
                        <wpg:cNvFrPr>
                          <a:graphicFrameLocks/>
                        </wpg:cNvFrPr>
                        <wpg:xfrm>
                          <a:off x="2945130" y="0"/>
                          <a:ext cx="4168140" cy="2743200"/>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inline>
            </w:drawing>
          </mc:Choice>
          <mc:Fallback>
            <w:pict>
              <v:group id="Group 2" o:spid="_x0000_s1026" style="width:7in;height:194.4pt;mso-position-horizontal-relative:char;mso-position-vertical-relative:line" coordsize="71132,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7" o:spid="_x0000_s1027" type="#_x0000_t75" style="position:absolute;width:45728;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">
                  <v:imagedata r:id="rId50" o:title=""/>
                  <o:lock v:ext="edit" aspectratio="f"/>
                </v:shape>
                <v:shape id="Chart 48" o:spid="_x0000_s1028" type="#_x0000_t75" style="position:absolute;left:29469;width:41663;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">
                  <v:imagedata r:id="rId51" o:title=""/>
                  <o:lock v:ext="edit" aspectratio="f"/>
                </v:shape>
                <w10:anchorlock/>
              </v:group>
            </w:pict>
          </mc:Fallback>
        </mc:AlternateContent>
      </w:r>
    </w:p>
    <w:p w14:paraId="641DB6A1" w14:textId="77777777" w:rsidR="00887216" w:rsidRDefault="00887216" w:rsidP="00887216">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52"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62F42ECE" w14:textId="77777777" w:rsidR="00887216" w:rsidRDefault="00887216" w:rsidP="00887216">
      <w:pPr>
        <w:pStyle w:val="BodyText"/>
      </w:pPr>
    </w:p>
    <w:p w14:paraId="63A83B1D" w14:textId="77777777" w:rsidR="00887216" w:rsidRPr="00DB7F31" w:rsidRDefault="00887216" w:rsidP="00E34060">
      <w:pPr>
        <w:pStyle w:val="Source"/>
      </w:pPr>
    </w:p>
    <w:p w14:paraId="29E45A6F" w14:textId="77777777" w:rsidR="008607CD" w:rsidRDefault="008607CD">
      <w:pPr>
        <w:rPr>
          <w:rFonts w:ascii="Arial" w:eastAsia="Times New Roman" w:hAnsi="Arial"/>
          <w:b/>
          <w:bCs/>
          <w:color w:val="006C67" w:themeColor="accent1"/>
          <w:sz w:val="60"/>
          <w:szCs w:val="28"/>
        </w:rPr>
      </w:pPr>
      <w:bookmarkStart w:id="34" w:name="_Toc406411725"/>
      <w:bookmarkEnd w:id="3"/>
      <w:bookmarkEnd w:id="4"/>
      <w:bookmarkEnd w:id="5"/>
      <w:bookmarkEnd w:id="6"/>
      <w:r>
        <w:br w:type="page"/>
      </w:r>
    </w:p>
    <w:p w14:paraId="29E45A70" w14:textId="77777777" w:rsidR="00B12AEC" w:rsidRDefault="00B12AEC" w:rsidP="00B12AEC">
      <w:pPr>
        <w:pStyle w:val="Heading1"/>
      </w:pPr>
      <w:bookmarkStart w:id="35" w:name="_Toc428448496"/>
      <w:r>
        <w:t>Trade</w:t>
      </w:r>
      <w:bookmarkEnd w:id="35"/>
    </w:p>
    <w:p w14:paraId="29E45A71" w14:textId="77777777" w:rsidR="00F3387B" w:rsidRDefault="00F3387B" w:rsidP="00F3387B">
      <w:pPr>
        <w:pStyle w:val="Heading2"/>
      </w:pPr>
      <w:bookmarkStart w:id="36" w:name="_Toc428448497"/>
      <w:r>
        <w:t>Basic data</w:t>
      </w:r>
      <w:bookmarkEnd w:id="36"/>
    </w:p>
    <w:p w14:paraId="29E45A72" w14:textId="77777777" w:rsidR="006A1321" w:rsidRDefault="006A1321" w:rsidP="006A1321">
      <w:pPr>
        <w:pStyle w:val="FigureHeading"/>
      </w:pPr>
      <w:bookmarkStart w:id="37" w:name="_Toc408671446"/>
      <w:bookmarkStart w:id="38" w:name="_Toc408671837"/>
      <w:bookmarkStart w:id="39" w:name="_Toc428448498"/>
      <w:r>
        <w:t>Total value of trade, Yemen, 2006–1</w:t>
      </w:r>
      <w:bookmarkEnd w:id="37"/>
      <w:r>
        <w:t>3</w:t>
      </w:r>
      <w:bookmarkEnd w:id="38"/>
      <w:bookmarkEnd w:id="39"/>
    </w:p>
    <w:p w14:paraId="29E45A73" w14:textId="77777777" w:rsidR="006A1321" w:rsidRPr="00CA2271" w:rsidRDefault="006A1321" w:rsidP="006A1321">
      <w:pPr>
        <w:pStyle w:val="BodyText"/>
        <w:spacing w:before="39" w:after="0" w:line="240" w:lineRule="auto"/>
        <w:jc w:val="left"/>
      </w:pPr>
      <w:r>
        <w:rPr>
          <w:noProof/>
          <w:lang w:eastAsia="en-GB"/>
        </w:rPr>
        <w:drawing>
          <wp:inline distT="0" distB="0" distL="0" distR="0" wp14:anchorId="29E45D09" wp14:editId="29E45D0A">
            <wp:extent cx="4187190" cy="2376000"/>
            <wp:effectExtent l="0" t="0" r="3810"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9E45A74" w14:textId="77777777" w:rsidR="006A1321" w:rsidRDefault="006A1321" w:rsidP="006A1321">
      <w:pPr>
        <w:pStyle w:val="Source"/>
        <w:rPr>
          <w:noProof/>
          <w:lang w:eastAsia="en-GB"/>
        </w:rPr>
      </w:pPr>
      <w:r>
        <w:rPr>
          <w:noProof/>
          <w:lang w:eastAsia="en-GB"/>
        </w:rPr>
        <w:t>Source: UN COMTRADE database.</w:t>
      </w:r>
    </w:p>
    <w:p w14:paraId="29E45A75" w14:textId="77777777" w:rsidR="006A1321" w:rsidRPr="00CA2271" w:rsidRDefault="006A1321" w:rsidP="006A1321">
      <w:pPr>
        <w:pStyle w:val="BodyText"/>
      </w:pPr>
    </w:p>
    <w:p w14:paraId="29E45A76" w14:textId="77777777" w:rsidR="006A1321" w:rsidRDefault="006A1321" w:rsidP="006A1321">
      <w:pPr>
        <w:rPr>
          <w:rFonts w:ascii="Arial" w:hAnsi="Arial"/>
          <w:b/>
          <w:color w:val="006C67" w:themeColor="accent1"/>
          <w:sz w:val="24"/>
        </w:rPr>
      </w:pPr>
      <w:r>
        <w:br w:type="page"/>
      </w:r>
    </w:p>
    <w:p w14:paraId="29E45A77" w14:textId="77777777" w:rsidR="00230AAA" w:rsidRDefault="00230AAA" w:rsidP="00230AAA">
      <w:pPr>
        <w:pStyle w:val="FigureHeading"/>
        <w:spacing w:before="0"/>
      </w:pPr>
      <w:bookmarkStart w:id="40" w:name="_Toc405451563"/>
      <w:bookmarkStart w:id="41" w:name="_Toc405466101"/>
      <w:bookmarkStart w:id="42" w:name="_Toc428448499"/>
      <w:bookmarkEnd w:id="34"/>
      <w:r>
        <w:t xml:space="preserve">Exports by broad HS Section, </w:t>
      </w:r>
      <w:r w:rsidR="00EA4839">
        <w:t>Yemen</w:t>
      </w:r>
      <w:r>
        <w:t xml:space="preserve">, </w:t>
      </w:r>
      <w:r w:rsidR="00EA4839">
        <w:t>2006</w:t>
      </w:r>
      <w:r>
        <w:t xml:space="preserve">–8 and </w:t>
      </w:r>
      <w:bookmarkEnd w:id="40"/>
      <w:r>
        <w:t>2009–13</w:t>
      </w:r>
      <w:bookmarkEnd w:id="41"/>
      <w:bookmarkEnd w:id="42"/>
    </w:p>
    <w:p w14:paraId="29E45A78" w14:textId="77777777" w:rsidR="00230AAA" w:rsidRPr="00230AAA" w:rsidRDefault="00B66F91" w:rsidP="00B66F91">
      <w:pPr>
        <w:pStyle w:val="BodyText"/>
        <w:spacing w:before="39" w:after="0" w:line="240" w:lineRule="auto"/>
        <w:jc w:val="left"/>
      </w:pPr>
      <w:r>
        <w:rPr>
          <w:noProof/>
          <w:lang w:eastAsia="en-GB"/>
        </w:rPr>
        <w:drawing>
          <wp:inline distT="0" distB="0" distL="0" distR="0" wp14:anchorId="29E45D0B" wp14:editId="29E45D0C">
            <wp:extent cx="5486400" cy="26060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en-GB"/>
        </w:rPr>
        <w:drawing>
          <wp:inline distT="0" distB="0" distL="0" distR="0" wp14:anchorId="29E45D0D" wp14:editId="29E45D0E">
            <wp:extent cx="5486400" cy="26060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29E45A7B" w14:textId="77777777" w:rsidTr="001C4EF9">
        <w:tc>
          <w:tcPr>
            <w:tcW w:w="630" w:type="dxa"/>
            <w:tcBorders>
              <w:top w:val="nil"/>
              <w:left w:val="nil"/>
              <w:bottom w:val="nil"/>
              <w:right w:val="nil"/>
            </w:tcBorders>
            <w:shd w:val="clear" w:color="auto" w:fill="auto"/>
            <w:noWrap/>
          </w:tcPr>
          <w:p w14:paraId="29E45A79"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9E45A7A" w14:textId="77777777" w:rsidR="00230AAA" w:rsidRDefault="00230AAA" w:rsidP="001C4EF9">
            <w:pPr>
              <w:rPr>
                <w:rFonts w:ascii="Calibri" w:eastAsia="Times New Roman" w:hAnsi="Calibri"/>
                <w:color w:val="000000"/>
                <w:sz w:val="16"/>
                <w:szCs w:val="16"/>
                <w:lang w:eastAsia="en-GB"/>
              </w:rPr>
            </w:pPr>
          </w:p>
        </w:tc>
      </w:tr>
      <w:tr w:rsidR="00230AAA" w:rsidRPr="00C91C87" w14:paraId="29E45A7E" w14:textId="77777777" w:rsidTr="001C4EF9">
        <w:tc>
          <w:tcPr>
            <w:tcW w:w="630" w:type="dxa"/>
            <w:tcBorders>
              <w:top w:val="nil"/>
              <w:left w:val="nil"/>
              <w:bottom w:val="nil"/>
              <w:right w:val="nil"/>
            </w:tcBorders>
            <w:shd w:val="clear" w:color="auto" w:fill="auto"/>
            <w:noWrap/>
          </w:tcPr>
          <w:p w14:paraId="29E45A7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9E45A7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29E45A81" w14:textId="77777777" w:rsidTr="001C4EF9">
        <w:tc>
          <w:tcPr>
            <w:tcW w:w="630" w:type="dxa"/>
            <w:tcBorders>
              <w:top w:val="nil"/>
              <w:left w:val="nil"/>
              <w:bottom w:val="nil"/>
              <w:right w:val="nil"/>
            </w:tcBorders>
            <w:shd w:val="clear" w:color="auto" w:fill="auto"/>
            <w:noWrap/>
            <w:hideMark/>
          </w:tcPr>
          <w:p w14:paraId="29E45A7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9E45A8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29E45A84" w14:textId="77777777" w:rsidTr="001C4EF9">
        <w:tc>
          <w:tcPr>
            <w:tcW w:w="630" w:type="dxa"/>
            <w:tcBorders>
              <w:top w:val="nil"/>
              <w:left w:val="nil"/>
              <w:bottom w:val="nil"/>
              <w:right w:val="nil"/>
            </w:tcBorders>
            <w:shd w:val="clear" w:color="auto" w:fill="auto"/>
            <w:noWrap/>
            <w:hideMark/>
          </w:tcPr>
          <w:p w14:paraId="29E45A8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9E45A8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29E45A87" w14:textId="77777777" w:rsidTr="001C4EF9">
        <w:tc>
          <w:tcPr>
            <w:tcW w:w="630" w:type="dxa"/>
            <w:tcBorders>
              <w:top w:val="nil"/>
              <w:left w:val="nil"/>
              <w:bottom w:val="nil"/>
              <w:right w:val="nil"/>
            </w:tcBorders>
            <w:shd w:val="clear" w:color="auto" w:fill="auto"/>
            <w:noWrap/>
            <w:hideMark/>
          </w:tcPr>
          <w:p w14:paraId="29E45A8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9E45A8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29E45A8A" w14:textId="77777777" w:rsidTr="001C4EF9">
        <w:tc>
          <w:tcPr>
            <w:tcW w:w="630" w:type="dxa"/>
            <w:tcBorders>
              <w:top w:val="nil"/>
              <w:left w:val="nil"/>
              <w:bottom w:val="nil"/>
              <w:right w:val="nil"/>
            </w:tcBorders>
            <w:shd w:val="clear" w:color="auto" w:fill="auto"/>
            <w:noWrap/>
            <w:hideMark/>
          </w:tcPr>
          <w:p w14:paraId="29E45A8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9E45A8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29E45A8D" w14:textId="77777777" w:rsidTr="001C4EF9">
        <w:tc>
          <w:tcPr>
            <w:tcW w:w="630" w:type="dxa"/>
            <w:tcBorders>
              <w:top w:val="nil"/>
              <w:left w:val="nil"/>
              <w:bottom w:val="nil"/>
              <w:right w:val="nil"/>
            </w:tcBorders>
            <w:shd w:val="clear" w:color="auto" w:fill="auto"/>
            <w:noWrap/>
            <w:hideMark/>
          </w:tcPr>
          <w:p w14:paraId="29E45A8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9E45A8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29E45A90" w14:textId="77777777" w:rsidTr="001C4EF9">
        <w:tc>
          <w:tcPr>
            <w:tcW w:w="630" w:type="dxa"/>
            <w:tcBorders>
              <w:top w:val="nil"/>
              <w:left w:val="nil"/>
              <w:bottom w:val="nil"/>
              <w:right w:val="nil"/>
            </w:tcBorders>
            <w:shd w:val="clear" w:color="auto" w:fill="auto"/>
            <w:noWrap/>
            <w:hideMark/>
          </w:tcPr>
          <w:p w14:paraId="29E45A8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9E45A8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29E45A93" w14:textId="77777777" w:rsidTr="001C4EF9">
        <w:tc>
          <w:tcPr>
            <w:tcW w:w="630" w:type="dxa"/>
            <w:tcBorders>
              <w:top w:val="nil"/>
              <w:left w:val="nil"/>
              <w:bottom w:val="nil"/>
              <w:right w:val="nil"/>
            </w:tcBorders>
            <w:shd w:val="clear" w:color="auto" w:fill="auto"/>
            <w:noWrap/>
            <w:hideMark/>
          </w:tcPr>
          <w:p w14:paraId="29E45A9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9E45A9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29E45A96" w14:textId="77777777" w:rsidTr="001C4EF9">
        <w:tc>
          <w:tcPr>
            <w:tcW w:w="630" w:type="dxa"/>
            <w:tcBorders>
              <w:top w:val="nil"/>
              <w:left w:val="nil"/>
              <w:bottom w:val="nil"/>
              <w:right w:val="nil"/>
            </w:tcBorders>
            <w:shd w:val="clear" w:color="auto" w:fill="auto"/>
            <w:noWrap/>
            <w:hideMark/>
          </w:tcPr>
          <w:p w14:paraId="29E45A9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9E45A9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29E45A99" w14:textId="77777777" w:rsidTr="001C4EF9">
        <w:tc>
          <w:tcPr>
            <w:tcW w:w="630" w:type="dxa"/>
            <w:tcBorders>
              <w:top w:val="nil"/>
              <w:left w:val="nil"/>
              <w:bottom w:val="nil"/>
              <w:right w:val="nil"/>
            </w:tcBorders>
            <w:shd w:val="clear" w:color="auto" w:fill="auto"/>
            <w:noWrap/>
            <w:hideMark/>
          </w:tcPr>
          <w:p w14:paraId="29E45A9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9E45A9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29E45A9C" w14:textId="77777777" w:rsidTr="001C4EF9">
        <w:tc>
          <w:tcPr>
            <w:tcW w:w="630" w:type="dxa"/>
            <w:tcBorders>
              <w:top w:val="nil"/>
              <w:left w:val="nil"/>
              <w:bottom w:val="nil"/>
              <w:right w:val="nil"/>
            </w:tcBorders>
            <w:shd w:val="clear" w:color="auto" w:fill="auto"/>
            <w:noWrap/>
            <w:hideMark/>
          </w:tcPr>
          <w:p w14:paraId="29E45A9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9E45A9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29E45A9F" w14:textId="77777777" w:rsidTr="001C4EF9">
        <w:tc>
          <w:tcPr>
            <w:tcW w:w="630" w:type="dxa"/>
            <w:tcBorders>
              <w:top w:val="nil"/>
              <w:left w:val="nil"/>
              <w:bottom w:val="nil"/>
              <w:right w:val="nil"/>
            </w:tcBorders>
            <w:shd w:val="clear" w:color="auto" w:fill="auto"/>
            <w:noWrap/>
            <w:hideMark/>
          </w:tcPr>
          <w:p w14:paraId="29E45A9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9E45A9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29E45AA2" w14:textId="77777777" w:rsidTr="001C4EF9">
        <w:tc>
          <w:tcPr>
            <w:tcW w:w="630" w:type="dxa"/>
            <w:tcBorders>
              <w:top w:val="nil"/>
              <w:left w:val="nil"/>
              <w:bottom w:val="nil"/>
              <w:right w:val="nil"/>
            </w:tcBorders>
            <w:shd w:val="clear" w:color="auto" w:fill="auto"/>
            <w:noWrap/>
            <w:hideMark/>
          </w:tcPr>
          <w:p w14:paraId="29E45AA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9E45AA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29E45AA5" w14:textId="77777777" w:rsidTr="001C4EF9">
        <w:tc>
          <w:tcPr>
            <w:tcW w:w="630" w:type="dxa"/>
            <w:tcBorders>
              <w:top w:val="nil"/>
              <w:left w:val="nil"/>
              <w:bottom w:val="nil"/>
              <w:right w:val="nil"/>
            </w:tcBorders>
            <w:shd w:val="clear" w:color="auto" w:fill="auto"/>
            <w:noWrap/>
            <w:hideMark/>
          </w:tcPr>
          <w:p w14:paraId="29E45AA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9E45AA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29E45AA8" w14:textId="77777777" w:rsidTr="001C4EF9">
        <w:tc>
          <w:tcPr>
            <w:tcW w:w="630" w:type="dxa"/>
            <w:tcBorders>
              <w:top w:val="nil"/>
              <w:left w:val="nil"/>
              <w:bottom w:val="nil"/>
              <w:right w:val="nil"/>
            </w:tcBorders>
            <w:shd w:val="clear" w:color="auto" w:fill="auto"/>
            <w:noWrap/>
            <w:hideMark/>
          </w:tcPr>
          <w:p w14:paraId="29E45AA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9E45AA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29E45AAB" w14:textId="77777777" w:rsidTr="001C4EF9">
        <w:tc>
          <w:tcPr>
            <w:tcW w:w="630" w:type="dxa"/>
            <w:tcBorders>
              <w:top w:val="nil"/>
              <w:left w:val="nil"/>
              <w:bottom w:val="nil"/>
              <w:right w:val="nil"/>
            </w:tcBorders>
            <w:shd w:val="clear" w:color="auto" w:fill="auto"/>
            <w:noWrap/>
            <w:hideMark/>
          </w:tcPr>
          <w:p w14:paraId="29E45AA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9E45AA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29E45AAE" w14:textId="77777777" w:rsidTr="001C4EF9">
        <w:tc>
          <w:tcPr>
            <w:tcW w:w="630" w:type="dxa"/>
            <w:tcBorders>
              <w:top w:val="nil"/>
              <w:left w:val="nil"/>
              <w:bottom w:val="nil"/>
              <w:right w:val="nil"/>
            </w:tcBorders>
            <w:shd w:val="clear" w:color="auto" w:fill="auto"/>
            <w:noWrap/>
            <w:hideMark/>
          </w:tcPr>
          <w:p w14:paraId="29E45AA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9E45AA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29E45AB1" w14:textId="77777777" w:rsidTr="001C4EF9">
        <w:tc>
          <w:tcPr>
            <w:tcW w:w="630" w:type="dxa"/>
            <w:tcBorders>
              <w:top w:val="nil"/>
              <w:left w:val="nil"/>
              <w:bottom w:val="nil"/>
              <w:right w:val="nil"/>
            </w:tcBorders>
            <w:shd w:val="clear" w:color="auto" w:fill="auto"/>
            <w:noWrap/>
            <w:hideMark/>
          </w:tcPr>
          <w:p w14:paraId="29E45AA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9E45AB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29E45AB4" w14:textId="77777777" w:rsidTr="001C4EF9">
        <w:tc>
          <w:tcPr>
            <w:tcW w:w="630" w:type="dxa"/>
            <w:tcBorders>
              <w:top w:val="nil"/>
              <w:left w:val="nil"/>
              <w:bottom w:val="nil"/>
              <w:right w:val="nil"/>
            </w:tcBorders>
            <w:shd w:val="clear" w:color="auto" w:fill="auto"/>
            <w:noWrap/>
            <w:hideMark/>
          </w:tcPr>
          <w:p w14:paraId="29E45AB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9E45AB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29E45AB7" w14:textId="77777777" w:rsidTr="001C4EF9">
        <w:tc>
          <w:tcPr>
            <w:tcW w:w="630" w:type="dxa"/>
            <w:tcBorders>
              <w:top w:val="nil"/>
              <w:left w:val="nil"/>
              <w:bottom w:val="nil"/>
              <w:right w:val="nil"/>
            </w:tcBorders>
            <w:shd w:val="clear" w:color="auto" w:fill="auto"/>
            <w:noWrap/>
            <w:hideMark/>
          </w:tcPr>
          <w:p w14:paraId="29E45AB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9E45AB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29E45ABA" w14:textId="77777777" w:rsidTr="001C4EF9">
        <w:tc>
          <w:tcPr>
            <w:tcW w:w="630" w:type="dxa"/>
            <w:tcBorders>
              <w:top w:val="nil"/>
              <w:left w:val="nil"/>
              <w:bottom w:val="nil"/>
              <w:right w:val="nil"/>
            </w:tcBorders>
            <w:shd w:val="clear" w:color="auto" w:fill="auto"/>
            <w:noWrap/>
            <w:hideMark/>
          </w:tcPr>
          <w:p w14:paraId="29E45AB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9E45AB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29E45ABD" w14:textId="77777777" w:rsidTr="001C4EF9">
        <w:tc>
          <w:tcPr>
            <w:tcW w:w="630" w:type="dxa"/>
            <w:tcBorders>
              <w:top w:val="nil"/>
              <w:left w:val="nil"/>
              <w:bottom w:val="nil"/>
              <w:right w:val="nil"/>
            </w:tcBorders>
            <w:shd w:val="clear" w:color="auto" w:fill="auto"/>
            <w:noWrap/>
            <w:hideMark/>
          </w:tcPr>
          <w:p w14:paraId="29E45AB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9E45AB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9E45ABE" w14:textId="77777777" w:rsidR="00F3387B"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the UN’s </w:t>
      </w:r>
      <w:proofErr w:type="spellStart"/>
      <w:r>
        <w:t>COMTRADE</w:t>
      </w:r>
      <w:proofErr w:type="spellEnd"/>
      <w:r>
        <w:t xml:space="preserve"> database.</w:t>
      </w:r>
      <w:bookmarkStart w:id="43" w:name="_Toc405451000"/>
      <w:bookmarkStart w:id="44" w:name="_Toc405451564"/>
    </w:p>
    <w:p w14:paraId="29E45ABF" w14:textId="77777777" w:rsidR="00230AAA" w:rsidRDefault="00230AAA" w:rsidP="00230AAA">
      <w:pPr>
        <w:pStyle w:val="FigureHeading"/>
        <w:spacing w:before="0"/>
      </w:pPr>
      <w:bookmarkStart w:id="45" w:name="_Toc405466102"/>
      <w:bookmarkStart w:id="46" w:name="_Toc428448500"/>
      <w:r>
        <w:t xml:space="preserve">Change in export share by HS Section, </w:t>
      </w:r>
      <w:r w:rsidR="00EA4839">
        <w:t>Yemen</w:t>
      </w:r>
      <w:r>
        <w:t xml:space="preserve">, </w:t>
      </w:r>
      <w:r w:rsidR="00EA4839">
        <w:t>2006</w:t>
      </w:r>
      <w:r>
        <w:t>–8 and 2009–1</w:t>
      </w:r>
      <w:bookmarkEnd w:id="43"/>
      <w:bookmarkEnd w:id="44"/>
      <w:r>
        <w:t>3</w:t>
      </w:r>
      <w:bookmarkEnd w:id="45"/>
      <w:bookmarkEnd w:id="46"/>
    </w:p>
    <w:p w14:paraId="29E45AC0" w14:textId="77777777" w:rsidR="00230AAA" w:rsidRPr="00EE561B" w:rsidRDefault="00B66F91" w:rsidP="00D40056">
      <w:pPr>
        <w:pStyle w:val="BodyText"/>
        <w:spacing w:before="39" w:after="0" w:line="240" w:lineRule="auto"/>
        <w:jc w:val="left"/>
      </w:pPr>
      <w:r>
        <w:rPr>
          <w:noProof/>
          <w:lang w:eastAsia="en-GB"/>
        </w:rPr>
        <w:drawing>
          <wp:inline distT="0" distB="0" distL="0" distR="0" wp14:anchorId="29E45D0F" wp14:editId="29E45D10">
            <wp:extent cx="4572000" cy="2606040"/>
            <wp:effectExtent l="0" t="0" r="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29E45AC3" w14:textId="77777777" w:rsidTr="001C4EF9">
        <w:tc>
          <w:tcPr>
            <w:tcW w:w="630" w:type="dxa"/>
            <w:tcBorders>
              <w:top w:val="nil"/>
              <w:left w:val="nil"/>
              <w:bottom w:val="nil"/>
              <w:right w:val="nil"/>
            </w:tcBorders>
            <w:shd w:val="clear" w:color="auto" w:fill="auto"/>
            <w:noWrap/>
          </w:tcPr>
          <w:p w14:paraId="29E45AC1"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9E45AC2" w14:textId="77777777" w:rsidR="00230AAA" w:rsidRDefault="00230AAA" w:rsidP="001C4EF9">
            <w:pPr>
              <w:rPr>
                <w:rFonts w:ascii="Calibri" w:eastAsia="Times New Roman" w:hAnsi="Calibri"/>
                <w:color w:val="000000"/>
                <w:sz w:val="16"/>
                <w:szCs w:val="16"/>
                <w:lang w:eastAsia="en-GB"/>
              </w:rPr>
            </w:pPr>
          </w:p>
        </w:tc>
      </w:tr>
      <w:tr w:rsidR="00230AAA" w:rsidRPr="00C91C87" w14:paraId="29E45AC6" w14:textId="77777777" w:rsidTr="001C4EF9">
        <w:tc>
          <w:tcPr>
            <w:tcW w:w="630" w:type="dxa"/>
            <w:tcBorders>
              <w:top w:val="nil"/>
              <w:left w:val="nil"/>
              <w:bottom w:val="nil"/>
              <w:right w:val="nil"/>
            </w:tcBorders>
            <w:shd w:val="clear" w:color="auto" w:fill="auto"/>
            <w:noWrap/>
          </w:tcPr>
          <w:p w14:paraId="29E45AC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9E45AC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29E45AC9" w14:textId="77777777" w:rsidTr="001C4EF9">
        <w:tc>
          <w:tcPr>
            <w:tcW w:w="630" w:type="dxa"/>
            <w:tcBorders>
              <w:top w:val="nil"/>
              <w:left w:val="nil"/>
              <w:bottom w:val="nil"/>
              <w:right w:val="nil"/>
            </w:tcBorders>
            <w:shd w:val="clear" w:color="auto" w:fill="auto"/>
            <w:noWrap/>
            <w:hideMark/>
          </w:tcPr>
          <w:p w14:paraId="29E45AC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9E45AC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29E45ACC" w14:textId="77777777" w:rsidTr="001C4EF9">
        <w:tc>
          <w:tcPr>
            <w:tcW w:w="630" w:type="dxa"/>
            <w:tcBorders>
              <w:top w:val="nil"/>
              <w:left w:val="nil"/>
              <w:bottom w:val="nil"/>
              <w:right w:val="nil"/>
            </w:tcBorders>
            <w:shd w:val="clear" w:color="auto" w:fill="auto"/>
            <w:noWrap/>
            <w:hideMark/>
          </w:tcPr>
          <w:p w14:paraId="29E45AC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9E45AC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29E45ACF" w14:textId="77777777" w:rsidTr="001C4EF9">
        <w:tc>
          <w:tcPr>
            <w:tcW w:w="630" w:type="dxa"/>
            <w:tcBorders>
              <w:top w:val="nil"/>
              <w:left w:val="nil"/>
              <w:bottom w:val="nil"/>
              <w:right w:val="nil"/>
            </w:tcBorders>
            <w:shd w:val="clear" w:color="auto" w:fill="auto"/>
            <w:noWrap/>
            <w:hideMark/>
          </w:tcPr>
          <w:p w14:paraId="29E45AC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9E45AC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29E45AD2" w14:textId="77777777" w:rsidTr="001C4EF9">
        <w:tc>
          <w:tcPr>
            <w:tcW w:w="630" w:type="dxa"/>
            <w:tcBorders>
              <w:top w:val="nil"/>
              <w:left w:val="nil"/>
              <w:bottom w:val="nil"/>
              <w:right w:val="nil"/>
            </w:tcBorders>
            <w:shd w:val="clear" w:color="auto" w:fill="auto"/>
            <w:noWrap/>
            <w:hideMark/>
          </w:tcPr>
          <w:p w14:paraId="29E45AD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9E45AD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29E45AD5" w14:textId="77777777" w:rsidTr="001C4EF9">
        <w:tc>
          <w:tcPr>
            <w:tcW w:w="630" w:type="dxa"/>
            <w:tcBorders>
              <w:top w:val="nil"/>
              <w:left w:val="nil"/>
              <w:bottom w:val="nil"/>
              <w:right w:val="nil"/>
            </w:tcBorders>
            <w:shd w:val="clear" w:color="auto" w:fill="auto"/>
            <w:noWrap/>
            <w:hideMark/>
          </w:tcPr>
          <w:p w14:paraId="29E45AD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9E45AD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29E45AD8" w14:textId="77777777" w:rsidTr="001C4EF9">
        <w:tc>
          <w:tcPr>
            <w:tcW w:w="630" w:type="dxa"/>
            <w:tcBorders>
              <w:top w:val="nil"/>
              <w:left w:val="nil"/>
              <w:bottom w:val="nil"/>
              <w:right w:val="nil"/>
            </w:tcBorders>
            <w:shd w:val="clear" w:color="auto" w:fill="auto"/>
            <w:noWrap/>
            <w:hideMark/>
          </w:tcPr>
          <w:p w14:paraId="29E45AD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9E45AD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29E45ADB" w14:textId="77777777" w:rsidTr="001C4EF9">
        <w:tc>
          <w:tcPr>
            <w:tcW w:w="630" w:type="dxa"/>
            <w:tcBorders>
              <w:top w:val="nil"/>
              <w:left w:val="nil"/>
              <w:bottom w:val="nil"/>
              <w:right w:val="nil"/>
            </w:tcBorders>
            <w:shd w:val="clear" w:color="auto" w:fill="auto"/>
            <w:noWrap/>
            <w:hideMark/>
          </w:tcPr>
          <w:p w14:paraId="29E45AD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9E45AD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29E45ADE" w14:textId="77777777" w:rsidTr="001C4EF9">
        <w:tc>
          <w:tcPr>
            <w:tcW w:w="630" w:type="dxa"/>
            <w:tcBorders>
              <w:top w:val="nil"/>
              <w:left w:val="nil"/>
              <w:bottom w:val="nil"/>
              <w:right w:val="nil"/>
            </w:tcBorders>
            <w:shd w:val="clear" w:color="auto" w:fill="auto"/>
            <w:noWrap/>
            <w:hideMark/>
          </w:tcPr>
          <w:p w14:paraId="29E45AD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9E45AD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29E45AE1" w14:textId="77777777" w:rsidTr="001C4EF9">
        <w:tc>
          <w:tcPr>
            <w:tcW w:w="630" w:type="dxa"/>
            <w:tcBorders>
              <w:top w:val="nil"/>
              <w:left w:val="nil"/>
              <w:bottom w:val="nil"/>
              <w:right w:val="nil"/>
            </w:tcBorders>
            <w:shd w:val="clear" w:color="auto" w:fill="auto"/>
            <w:noWrap/>
            <w:hideMark/>
          </w:tcPr>
          <w:p w14:paraId="29E45AD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9E45AE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29E45AE4" w14:textId="77777777" w:rsidTr="001C4EF9">
        <w:tc>
          <w:tcPr>
            <w:tcW w:w="630" w:type="dxa"/>
            <w:tcBorders>
              <w:top w:val="nil"/>
              <w:left w:val="nil"/>
              <w:bottom w:val="nil"/>
              <w:right w:val="nil"/>
            </w:tcBorders>
            <w:shd w:val="clear" w:color="auto" w:fill="auto"/>
            <w:noWrap/>
            <w:hideMark/>
          </w:tcPr>
          <w:p w14:paraId="29E45AE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9E45AE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29E45AE7" w14:textId="77777777" w:rsidTr="001C4EF9">
        <w:tc>
          <w:tcPr>
            <w:tcW w:w="630" w:type="dxa"/>
            <w:tcBorders>
              <w:top w:val="nil"/>
              <w:left w:val="nil"/>
              <w:bottom w:val="nil"/>
              <w:right w:val="nil"/>
            </w:tcBorders>
            <w:shd w:val="clear" w:color="auto" w:fill="auto"/>
            <w:noWrap/>
            <w:hideMark/>
          </w:tcPr>
          <w:p w14:paraId="29E45AE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9E45AE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29E45AEA" w14:textId="77777777" w:rsidTr="001C4EF9">
        <w:tc>
          <w:tcPr>
            <w:tcW w:w="630" w:type="dxa"/>
            <w:tcBorders>
              <w:top w:val="nil"/>
              <w:left w:val="nil"/>
              <w:bottom w:val="nil"/>
              <w:right w:val="nil"/>
            </w:tcBorders>
            <w:shd w:val="clear" w:color="auto" w:fill="auto"/>
            <w:noWrap/>
            <w:hideMark/>
          </w:tcPr>
          <w:p w14:paraId="29E45AE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9E45AE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29E45AED" w14:textId="77777777" w:rsidTr="001C4EF9">
        <w:tc>
          <w:tcPr>
            <w:tcW w:w="630" w:type="dxa"/>
            <w:tcBorders>
              <w:top w:val="nil"/>
              <w:left w:val="nil"/>
              <w:bottom w:val="nil"/>
              <w:right w:val="nil"/>
            </w:tcBorders>
            <w:shd w:val="clear" w:color="auto" w:fill="auto"/>
            <w:noWrap/>
            <w:hideMark/>
          </w:tcPr>
          <w:p w14:paraId="29E45AE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9E45AE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29E45AF0" w14:textId="77777777" w:rsidTr="001C4EF9">
        <w:tc>
          <w:tcPr>
            <w:tcW w:w="630" w:type="dxa"/>
            <w:tcBorders>
              <w:top w:val="nil"/>
              <w:left w:val="nil"/>
              <w:bottom w:val="nil"/>
              <w:right w:val="nil"/>
            </w:tcBorders>
            <w:shd w:val="clear" w:color="auto" w:fill="auto"/>
            <w:noWrap/>
            <w:hideMark/>
          </w:tcPr>
          <w:p w14:paraId="29E45AE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9E45AE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29E45AF3" w14:textId="77777777" w:rsidTr="001C4EF9">
        <w:tc>
          <w:tcPr>
            <w:tcW w:w="630" w:type="dxa"/>
            <w:tcBorders>
              <w:top w:val="nil"/>
              <w:left w:val="nil"/>
              <w:bottom w:val="nil"/>
              <w:right w:val="nil"/>
            </w:tcBorders>
            <w:shd w:val="clear" w:color="auto" w:fill="auto"/>
            <w:noWrap/>
            <w:hideMark/>
          </w:tcPr>
          <w:p w14:paraId="29E45AF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9E45AF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29E45AF6" w14:textId="77777777" w:rsidTr="001C4EF9">
        <w:tc>
          <w:tcPr>
            <w:tcW w:w="630" w:type="dxa"/>
            <w:tcBorders>
              <w:top w:val="nil"/>
              <w:left w:val="nil"/>
              <w:bottom w:val="nil"/>
              <w:right w:val="nil"/>
            </w:tcBorders>
            <w:shd w:val="clear" w:color="auto" w:fill="auto"/>
            <w:noWrap/>
            <w:hideMark/>
          </w:tcPr>
          <w:p w14:paraId="29E45AF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9E45AF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29E45AF9" w14:textId="77777777" w:rsidTr="001C4EF9">
        <w:tc>
          <w:tcPr>
            <w:tcW w:w="630" w:type="dxa"/>
            <w:tcBorders>
              <w:top w:val="nil"/>
              <w:left w:val="nil"/>
              <w:bottom w:val="nil"/>
              <w:right w:val="nil"/>
            </w:tcBorders>
            <w:shd w:val="clear" w:color="auto" w:fill="auto"/>
            <w:noWrap/>
            <w:hideMark/>
          </w:tcPr>
          <w:p w14:paraId="29E45AF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9E45AF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29E45AFC" w14:textId="77777777" w:rsidTr="001C4EF9">
        <w:tc>
          <w:tcPr>
            <w:tcW w:w="630" w:type="dxa"/>
            <w:tcBorders>
              <w:top w:val="nil"/>
              <w:left w:val="nil"/>
              <w:bottom w:val="nil"/>
              <w:right w:val="nil"/>
            </w:tcBorders>
            <w:shd w:val="clear" w:color="auto" w:fill="auto"/>
            <w:noWrap/>
            <w:hideMark/>
          </w:tcPr>
          <w:p w14:paraId="29E45AF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9E45AF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29E45AFF" w14:textId="77777777" w:rsidTr="001C4EF9">
        <w:tc>
          <w:tcPr>
            <w:tcW w:w="630" w:type="dxa"/>
            <w:tcBorders>
              <w:top w:val="nil"/>
              <w:left w:val="nil"/>
              <w:bottom w:val="nil"/>
              <w:right w:val="nil"/>
            </w:tcBorders>
            <w:shd w:val="clear" w:color="auto" w:fill="auto"/>
            <w:noWrap/>
            <w:hideMark/>
          </w:tcPr>
          <w:p w14:paraId="29E45AF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9E45AF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29E45B02" w14:textId="77777777" w:rsidTr="001C4EF9">
        <w:tc>
          <w:tcPr>
            <w:tcW w:w="630" w:type="dxa"/>
            <w:tcBorders>
              <w:top w:val="nil"/>
              <w:left w:val="nil"/>
              <w:bottom w:val="nil"/>
              <w:right w:val="nil"/>
            </w:tcBorders>
            <w:shd w:val="clear" w:color="auto" w:fill="auto"/>
            <w:noWrap/>
            <w:hideMark/>
          </w:tcPr>
          <w:p w14:paraId="29E45B0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9E45B0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29E45B05" w14:textId="77777777" w:rsidTr="001C4EF9">
        <w:tc>
          <w:tcPr>
            <w:tcW w:w="630" w:type="dxa"/>
            <w:tcBorders>
              <w:top w:val="nil"/>
              <w:left w:val="nil"/>
              <w:bottom w:val="nil"/>
              <w:right w:val="nil"/>
            </w:tcBorders>
            <w:shd w:val="clear" w:color="auto" w:fill="auto"/>
            <w:noWrap/>
            <w:hideMark/>
          </w:tcPr>
          <w:p w14:paraId="29E45B0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9E45B0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9E45B06" w14:textId="77777777" w:rsidR="00230AAA" w:rsidRDefault="00230AAA" w:rsidP="00230AAA">
      <w:pPr>
        <w:pStyle w:val="Source"/>
      </w:pPr>
      <w:r>
        <w:t xml:space="preserve">Source: Authors’ calculation using data from the UN’s </w:t>
      </w:r>
      <w:proofErr w:type="spellStart"/>
      <w:r>
        <w:t>COMTRADE</w:t>
      </w:r>
      <w:proofErr w:type="spellEnd"/>
      <w:r>
        <w:t xml:space="preserve"> database.</w:t>
      </w:r>
    </w:p>
    <w:p w14:paraId="29E45B07" w14:textId="77777777" w:rsidR="00230AAA" w:rsidRPr="00092E42" w:rsidRDefault="00230AAA" w:rsidP="00230AAA"/>
    <w:p w14:paraId="29E45B08" w14:textId="77777777" w:rsidR="00230AAA" w:rsidRDefault="00230AAA" w:rsidP="00230AAA">
      <w:pPr>
        <w:rPr>
          <w:rFonts w:ascii="Arial" w:hAnsi="Arial"/>
          <w:b/>
          <w:iCs/>
          <w:color w:val="006C67" w:themeColor="accent1"/>
          <w:sz w:val="24"/>
          <w:szCs w:val="18"/>
        </w:rPr>
      </w:pPr>
      <w:r>
        <w:br w:type="page"/>
      </w:r>
    </w:p>
    <w:p w14:paraId="29E45B09" w14:textId="77777777" w:rsidR="00230AAA" w:rsidRDefault="00230AAA" w:rsidP="00230AAA">
      <w:pPr>
        <w:pStyle w:val="FigureHeading"/>
        <w:spacing w:before="0"/>
      </w:pPr>
      <w:bookmarkStart w:id="47" w:name="_Toc405451001"/>
      <w:bookmarkStart w:id="48" w:name="_Toc405451565"/>
      <w:bookmarkStart w:id="49" w:name="_Toc405466103"/>
      <w:bookmarkStart w:id="50" w:name="_Toc428448501"/>
      <w:r>
        <w:t xml:space="preserve">Export visualisation, </w:t>
      </w:r>
      <w:r w:rsidR="00EA4839">
        <w:t>Yemen</w:t>
      </w:r>
      <w:r>
        <w:t>, 2005 and 201</w:t>
      </w:r>
      <w:bookmarkEnd w:id="47"/>
      <w:bookmarkEnd w:id="48"/>
      <w:r>
        <w:t>2</w:t>
      </w:r>
      <w:bookmarkEnd w:id="49"/>
      <w:bookmarkEnd w:id="50"/>
    </w:p>
    <w:tbl>
      <w:tblPr>
        <w:tblStyle w:val="TableGrid"/>
        <w:tblW w:w="4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tblGrid>
      <w:tr w:rsidR="00230AAA" w:rsidRPr="00E81E7D" w14:paraId="29E45B0B" w14:textId="77777777" w:rsidTr="001C4EF9">
        <w:trPr>
          <w:trHeight w:hRule="exact" w:val="259"/>
        </w:trPr>
        <w:tc>
          <w:tcPr>
            <w:tcW w:w="7560" w:type="dxa"/>
            <w:vAlign w:val="bottom"/>
          </w:tcPr>
          <w:p w14:paraId="29E45B0A"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29E45B0D" w14:textId="77777777" w:rsidTr="001C4EF9">
        <w:trPr>
          <w:trHeight w:hRule="exact" w:val="5400"/>
        </w:trPr>
        <w:tc>
          <w:tcPr>
            <w:tcW w:w="7560" w:type="dxa"/>
          </w:tcPr>
          <w:p w14:paraId="29E45B0C" w14:textId="77777777" w:rsidR="00230AAA" w:rsidRDefault="00B468C6" w:rsidP="001C4EF9">
            <w:r>
              <w:rPr>
                <w:noProof/>
                <w:lang w:eastAsia="en-GB"/>
              </w:rPr>
              <w:drawing>
                <wp:inline distT="0" distB="0" distL="0" distR="0" wp14:anchorId="29E45D11" wp14:editId="29E45D12">
                  <wp:extent cx="4727448" cy="33741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6601" t="34530" r="14743" b="11624"/>
                          <a:stretch/>
                        </pic:blipFill>
                        <pic:spPr bwMode="auto">
                          <a:xfrm>
                            <a:off x="0" y="0"/>
                            <a:ext cx="4727448" cy="3374136"/>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29E45B0F" w14:textId="77777777" w:rsidTr="001C4EF9">
        <w:trPr>
          <w:trHeight w:hRule="exact" w:val="259"/>
        </w:trPr>
        <w:tc>
          <w:tcPr>
            <w:tcW w:w="7560" w:type="dxa"/>
            <w:vAlign w:val="bottom"/>
          </w:tcPr>
          <w:p w14:paraId="29E45B0E"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29E45B11" w14:textId="77777777" w:rsidTr="001C4EF9">
        <w:trPr>
          <w:trHeight w:hRule="exact" w:val="5400"/>
        </w:trPr>
        <w:tc>
          <w:tcPr>
            <w:tcW w:w="7560" w:type="dxa"/>
          </w:tcPr>
          <w:p w14:paraId="29E45B10" w14:textId="77777777" w:rsidR="00230AAA" w:rsidRDefault="00B468C6" w:rsidP="001C4EF9">
            <w:pPr>
              <w:rPr>
                <w:noProof/>
                <w:lang w:eastAsia="en-GB"/>
              </w:rPr>
            </w:pPr>
            <w:r>
              <w:rPr>
                <w:noProof/>
                <w:lang w:eastAsia="en-GB"/>
              </w:rPr>
              <w:drawing>
                <wp:inline distT="0" distB="0" distL="0" distR="0" wp14:anchorId="29E45D13" wp14:editId="29E45D14">
                  <wp:extent cx="4736592" cy="3401568"/>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6601" t="34530" r="14743" b="11282"/>
                          <a:stretch/>
                        </pic:blipFill>
                        <pic:spPr bwMode="auto">
                          <a:xfrm>
                            <a:off x="0" y="0"/>
                            <a:ext cx="4736592" cy="34015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E45B12" w14:textId="77777777" w:rsidR="00230AAA" w:rsidRPr="00333F79" w:rsidRDefault="00230AAA" w:rsidP="00230AAA">
      <w:pPr>
        <w:pStyle w:val="Source"/>
        <w:rPr>
          <w:lang w:val="en" w:eastAsia="en-GB"/>
        </w:rPr>
      </w:pPr>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59" w:history="1">
        <w:r w:rsidRPr="00333F79">
          <w:rPr>
            <w:rStyle w:val="Hyperlink"/>
            <w:lang w:val="en" w:eastAsia="en-GB"/>
          </w:rPr>
          <w:t>http://www.atlas.cid.harvard.edu</w:t>
        </w:r>
      </w:hyperlink>
      <w:r>
        <w:rPr>
          <w:lang w:val="en" w:eastAsia="en-GB"/>
        </w:rPr>
        <w:t>).</w:t>
      </w:r>
    </w:p>
    <w:p w14:paraId="29E45B13" w14:textId="77777777" w:rsidR="00230AAA" w:rsidRDefault="00230AAA" w:rsidP="00230AAA">
      <w:pPr>
        <w:rPr>
          <w:rFonts w:ascii="Arial" w:hAnsi="Arial"/>
          <w:b/>
          <w:color w:val="006C67" w:themeColor="accent1"/>
          <w:sz w:val="24"/>
        </w:rPr>
      </w:pPr>
      <w:bookmarkStart w:id="51" w:name="_Toc405451002"/>
      <w:bookmarkStart w:id="52" w:name="_Toc405451566"/>
      <w:r>
        <w:br w:type="page"/>
      </w:r>
    </w:p>
    <w:p w14:paraId="29E45B14" w14:textId="77777777" w:rsidR="00230AAA" w:rsidRDefault="00230AAA" w:rsidP="00230AAA">
      <w:pPr>
        <w:pStyle w:val="FigureHeading"/>
        <w:spacing w:before="0"/>
      </w:pPr>
      <w:bookmarkStart w:id="53" w:name="_Toc405451003"/>
      <w:bookmarkStart w:id="54" w:name="_Toc405451567"/>
      <w:bookmarkStart w:id="55" w:name="_Toc405466105"/>
      <w:bookmarkStart w:id="56" w:name="_Toc428448502"/>
      <w:bookmarkEnd w:id="51"/>
      <w:bookmarkEnd w:id="52"/>
      <w:r>
        <w:t xml:space="preserve">Top export products, </w:t>
      </w:r>
      <w:r w:rsidR="00EA4839">
        <w:t>Yemen</w:t>
      </w:r>
      <w:r>
        <w:t xml:space="preserve"> (average 2011–13)</w:t>
      </w:r>
      <w:bookmarkEnd w:id="53"/>
      <w:bookmarkEnd w:id="54"/>
      <w:bookmarkEnd w:id="55"/>
      <w:bookmarkEnd w:id="56"/>
    </w:p>
    <w:p w14:paraId="29E45B15" w14:textId="77777777" w:rsidR="006C4A48" w:rsidRPr="006C4A48" w:rsidRDefault="006C4A48" w:rsidP="006C4A48">
      <w:pPr>
        <w:pStyle w:val="BodyText"/>
      </w:pPr>
      <w:r>
        <w:rPr>
          <w:noProof/>
          <w:lang w:eastAsia="en-GB"/>
        </w:rPr>
        <w:drawing>
          <wp:inline distT="0" distB="0" distL="0" distR="0" wp14:anchorId="29E45D15" wp14:editId="29E45D16">
            <wp:extent cx="5382610" cy="24003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b="6805"/>
                    <a:stretch/>
                  </pic:blipFill>
                  <pic:spPr bwMode="auto">
                    <a:xfrm>
                      <a:off x="0" y="0"/>
                      <a:ext cx="5389245" cy="2403259"/>
                    </a:xfrm>
                    <a:prstGeom prst="rect">
                      <a:avLst/>
                    </a:prstGeom>
                    <a:noFill/>
                    <a:ln>
                      <a:noFill/>
                    </a:ln>
                    <a:extLst>
                      <a:ext uri="{53640926-AAD7-44D8-BBD7-CCE9431645EC}">
                        <a14:shadowObscured xmlns:a14="http://schemas.microsoft.com/office/drawing/2010/main"/>
                      </a:ext>
                    </a:extLst>
                  </pic:spPr>
                </pic:pic>
              </a:graphicData>
            </a:graphic>
          </wp:inline>
        </w:drawing>
      </w:r>
    </w:p>
    <w:p w14:paraId="29E45B16" w14:textId="77777777" w:rsidR="00230AAA" w:rsidRDefault="00230AAA" w:rsidP="00230AAA">
      <w:pPr>
        <w:pStyle w:val="Source"/>
      </w:pPr>
      <w:r>
        <w:t>Note: At Harmonised System 6-digit level.</w:t>
      </w:r>
      <w:r>
        <w:br/>
        <w:t xml:space="preserve">Source: Authors’ calculations using data from UN </w:t>
      </w:r>
      <w:proofErr w:type="spellStart"/>
      <w:r>
        <w:t>COMTRADE</w:t>
      </w:r>
      <w:proofErr w:type="spellEnd"/>
      <w:r>
        <w:t xml:space="preserve"> database.</w:t>
      </w:r>
    </w:p>
    <w:p w14:paraId="29E45B17" w14:textId="77777777" w:rsidR="007C3BA6" w:rsidRDefault="007C3BA6" w:rsidP="00230AAA">
      <w:pPr>
        <w:pStyle w:val="Source"/>
      </w:pPr>
    </w:p>
    <w:p w14:paraId="29E45B18" w14:textId="77777777" w:rsidR="00230AAA" w:rsidRDefault="00230AAA" w:rsidP="00230AAA">
      <w:pPr>
        <w:pStyle w:val="FigureHeading"/>
        <w:spacing w:before="0"/>
      </w:pPr>
      <w:bookmarkStart w:id="57" w:name="_Toc405451004"/>
      <w:bookmarkStart w:id="58" w:name="_Toc405451568"/>
      <w:bookmarkStart w:id="59" w:name="_Toc405466106"/>
      <w:bookmarkStart w:id="60" w:name="_Toc428448503"/>
      <w:r>
        <w:t xml:space="preserve">Top export markets, </w:t>
      </w:r>
      <w:r w:rsidR="00EA4839">
        <w:t>Yemen</w:t>
      </w:r>
      <w:r>
        <w:t xml:space="preserve"> (average 2011–13)</w:t>
      </w:r>
      <w:bookmarkEnd w:id="57"/>
      <w:bookmarkEnd w:id="58"/>
      <w:bookmarkEnd w:id="59"/>
      <w:bookmarkEnd w:id="60"/>
    </w:p>
    <w:p w14:paraId="29E45B19" w14:textId="77777777" w:rsidR="00A63AAB" w:rsidRPr="00A63AAB" w:rsidRDefault="00A63AAB" w:rsidP="00A63AAB">
      <w:pPr>
        <w:pStyle w:val="BodyText"/>
        <w:spacing w:before="39" w:after="0" w:line="240" w:lineRule="auto"/>
        <w:jc w:val="left"/>
      </w:pPr>
      <w:r>
        <w:rPr>
          <w:noProof/>
          <w:lang w:eastAsia="en-GB"/>
        </w:rPr>
        <w:drawing>
          <wp:inline distT="0" distB="0" distL="0" distR="0" wp14:anchorId="29E45D17" wp14:editId="29E45D18">
            <wp:extent cx="5382609" cy="23012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t="5621" b="5029"/>
                    <a:stretch/>
                  </pic:blipFill>
                  <pic:spPr bwMode="auto">
                    <a:xfrm>
                      <a:off x="0" y="0"/>
                      <a:ext cx="5389245" cy="2304077"/>
                    </a:xfrm>
                    <a:prstGeom prst="rect">
                      <a:avLst/>
                    </a:prstGeom>
                    <a:noFill/>
                    <a:ln>
                      <a:noFill/>
                    </a:ln>
                    <a:extLst>
                      <a:ext uri="{53640926-AAD7-44D8-BBD7-CCE9431645EC}">
                        <a14:shadowObscured xmlns:a14="http://schemas.microsoft.com/office/drawing/2010/main"/>
                      </a:ext>
                    </a:extLst>
                  </pic:spPr>
                </pic:pic>
              </a:graphicData>
            </a:graphic>
          </wp:inline>
        </w:drawing>
      </w:r>
    </w:p>
    <w:p w14:paraId="29E45B1A" w14:textId="77777777" w:rsidR="00230AAA" w:rsidRDefault="00230AAA" w:rsidP="00230AAA">
      <w:pPr>
        <w:pStyle w:val="Source"/>
        <w:rPr>
          <w:b/>
          <w:color w:val="006C67" w:themeColor="accent1"/>
          <w:sz w:val="24"/>
        </w:rPr>
      </w:pPr>
      <w:r>
        <w:t xml:space="preserve">Source: Authors’ calculations using data from UN </w:t>
      </w:r>
      <w:proofErr w:type="spellStart"/>
      <w:r>
        <w:t>COMTRADE</w:t>
      </w:r>
      <w:proofErr w:type="spellEnd"/>
      <w:r>
        <w:t xml:space="preserve"> database.</w:t>
      </w:r>
      <w:bookmarkStart w:id="61" w:name="_Toc405451005"/>
      <w:bookmarkStart w:id="62" w:name="_Toc405451569"/>
      <w:r>
        <w:br w:type="page"/>
      </w:r>
    </w:p>
    <w:p w14:paraId="29E45B1B" w14:textId="77777777" w:rsidR="00230AAA" w:rsidRDefault="00230AAA" w:rsidP="00230AAA">
      <w:pPr>
        <w:pStyle w:val="FigureHeading"/>
        <w:spacing w:before="0"/>
      </w:pPr>
      <w:bookmarkStart w:id="63" w:name="_Toc405466107"/>
      <w:bookmarkStart w:id="64" w:name="_Toc428448504"/>
      <w:r>
        <w:t xml:space="preserve">Imports by broad HS Section, </w:t>
      </w:r>
      <w:r w:rsidR="00EA4839">
        <w:t>Yemen</w:t>
      </w:r>
      <w:r>
        <w:t xml:space="preserve">, </w:t>
      </w:r>
      <w:r w:rsidR="00EA4839">
        <w:t>2006</w:t>
      </w:r>
      <w:r>
        <w:t>–8 and 2009–1</w:t>
      </w:r>
      <w:bookmarkEnd w:id="61"/>
      <w:bookmarkEnd w:id="62"/>
      <w:r>
        <w:t>3</w:t>
      </w:r>
      <w:bookmarkEnd w:id="63"/>
      <w:bookmarkEnd w:id="64"/>
    </w:p>
    <w:p w14:paraId="29E45B1C" w14:textId="77777777" w:rsidR="00230AAA" w:rsidRDefault="00A63AAB" w:rsidP="00A63AAB">
      <w:pPr>
        <w:pStyle w:val="BodyText"/>
        <w:spacing w:before="39" w:after="0" w:line="240" w:lineRule="auto"/>
        <w:jc w:val="left"/>
      </w:pPr>
      <w:r>
        <w:rPr>
          <w:noProof/>
          <w:lang w:eastAsia="en-GB"/>
        </w:rPr>
        <w:drawing>
          <wp:inline distT="0" distB="0" distL="0" distR="0" wp14:anchorId="29E45D19" wp14:editId="29E45D1A">
            <wp:extent cx="5486400" cy="2606040"/>
            <wp:effectExtent l="0" t="0" r="0"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lang w:eastAsia="en-GB"/>
        </w:rPr>
        <w:drawing>
          <wp:inline distT="0" distB="0" distL="0" distR="0" wp14:anchorId="29E45D1B" wp14:editId="29E45D1C">
            <wp:extent cx="5486400" cy="2606040"/>
            <wp:effectExtent l="0" t="0" r="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29E45B1F" w14:textId="77777777" w:rsidTr="001C4EF9">
        <w:tc>
          <w:tcPr>
            <w:tcW w:w="630" w:type="dxa"/>
            <w:tcBorders>
              <w:top w:val="nil"/>
              <w:left w:val="nil"/>
              <w:bottom w:val="nil"/>
              <w:right w:val="nil"/>
            </w:tcBorders>
            <w:shd w:val="clear" w:color="auto" w:fill="auto"/>
            <w:noWrap/>
          </w:tcPr>
          <w:p w14:paraId="29E45B1D"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9E45B1E" w14:textId="77777777" w:rsidR="00230AAA" w:rsidRDefault="00230AAA" w:rsidP="001C4EF9">
            <w:pPr>
              <w:rPr>
                <w:rFonts w:ascii="Calibri" w:eastAsia="Times New Roman" w:hAnsi="Calibri"/>
                <w:color w:val="000000"/>
                <w:sz w:val="16"/>
                <w:szCs w:val="16"/>
                <w:lang w:eastAsia="en-GB"/>
              </w:rPr>
            </w:pPr>
          </w:p>
        </w:tc>
      </w:tr>
      <w:tr w:rsidR="00230AAA" w:rsidRPr="00C91C87" w14:paraId="29E45B22" w14:textId="77777777" w:rsidTr="001C4EF9">
        <w:tc>
          <w:tcPr>
            <w:tcW w:w="630" w:type="dxa"/>
            <w:tcBorders>
              <w:top w:val="nil"/>
              <w:left w:val="nil"/>
              <w:bottom w:val="nil"/>
              <w:right w:val="nil"/>
            </w:tcBorders>
            <w:shd w:val="clear" w:color="auto" w:fill="auto"/>
            <w:noWrap/>
          </w:tcPr>
          <w:p w14:paraId="29E45B2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9E45B2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29E45B25" w14:textId="77777777" w:rsidTr="001C4EF9">
        <w:tc>
          <w:tcPr>
            <w:tcW w:w="630" w:type="dxa"/>
            <w:tcBorders>
              <w:top w:val="nil"/>
              <w:left w:val="nil"/>
              <w:bottom w:val="nil"/>
              <w:right w:val="nil"/>
            </w:tcBorders>
            <w:shd w:val="clear" w:color="auto" w:fill="auto"/>
            <w:noWrap/>
            <w:hideMark/>
          </w:tcPr>
          <w:p w14:paraId="29E45B2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9E45B2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29E45B28" w14:textId="77777777" w:rsidTr="001C4EF9">
        <w:tc>
          <w:tcPr>
            <w:tcW w:w="630" w:type="dxa"/>
            <w:tcBorders>
              <w:top w:val="nil"/>
              <w:left w:val="nil"/>
              <w:bottom w:val="nil"/>
              <w:right w:val="nil"/>
            </w:tcBorders>
            <w:shd w:val="clear" w:color="auto" w:fill="auto"/>
            <w:noWrap/>
            <w:hideMark/>
          </w:tcPr>
          <w:p w14:paraId="29E45B2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9E45B2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29E45B2B" w14:textId="77777777" w:rsidTr="001C4EF9">
        <w:tc>
          <w:tcPr>
            <w:tcW w:w="630" w:type="dxa"/>
            <w:tcBorders>
              <w:top w:val="nil"/>
              <w:left w:val="nil"/>
              <w:bottom w:val="nil"/>
              <w:right w:val="nil"/>
            </w:tcBorders>
            <w:shd w:val="clear" w:color="auto" w:fill="auto"/>
            <w:noWrap/>
            <w:hideMark/>
          </w:tcPr>
          <w:p w14:paraId="29E45B2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9E45B2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29E45B2E" w14:textId="77777777" w:rsidTr="001C4EF9">
        <w:tc>
          <w:tcPr>
            <w:tcW w:w="630" w:type="dxa"/>
            <w:tcBorders>
              <w:top w:val="nil"/>
              <w:left w:val="nil"/>
              <w:bottom w:val="nil"/>
              <w:right w:val="nil"/>
            </w:tcBorders>
            <w:shd w:val="clear" w:color="auto" w:fill="auto"/>
            <w:noWrap/>
            <w:hideMark/>
          </w:tcPr>
          <w:p w14:paraId="29E45B2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9E45B2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29E45B31" w14:textId="77777777" w:rsidTr="001C4EF9">
        <w:tc>
          <w:tcPr>
            <w:tcW w:w="630" w:type="dxa"/>
            <w:tcBorders>
              <w:top w:val="nil"/>
              <w:left w:val="nil"/>
              <w:bottom w:val="nil"/>
              <w:right w:val="nil"/>
            </w:tcBorders>
            <w:shd w:val="clear" w:color="auto" w:fill="auto"/>
            <w:noWrap/>
            <w:hideMark/>
          </w:tcPr>
          <w:p w14:paraId="29E45B2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9E45B3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29E45B34" w14:textId="77777777" w:rsidTr="001C4EF9">
        <w:tc>
          <w:tcPr>
            <w:tcW w:w="630" w:type="dxa"/>
            <w:tcBorders>
              <w:top w:val="nil"/>
              <w:left w:val="nil"/>
              <w:bottom w:val="nil"/>
              <w:right w:val="nil"/>
            </w:tcBorders>
            <w:shd w:val="clear" w:color="auto" w:fill="auto"/>
            <w:noWrap/>
            <w:hideMark/>
          </w:tcPr>
          <w:p w14:paraId="29E45B3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9E45B3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29E45B37" w14:textId="77777777" w:rsidTr="001C4EF9">
        <w:tc>
          <w:tcPr>
            <w:tcW w:w="630" w:type="dxa"/>
            <w:tcBorders>
              <w:top w:val="nil"/>
              <w:left w:val="nil"/>
              <w:bottom w:val="nil"/>
              <w:right w:val="nil"/>
            </w:tcBorders>
            <w:shd w:val="clear" w:color="auto" w:fill="auto"/>
            <w:noWrap/>
            <w:hideMark/>
          </w:tcPr>
          <w:p w14:paraId="29E45B3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9E45B3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29E45B3A" w14:textId="77777777" w:rsidTr="001C4EF9">
        <w:tc>
          <w:tcPr>
            <w:tcW w:w="630" w:type="dxa"/>
            <w:tcBorders>
              <w:top w:val="nil"/>
              <w:left w:val="nil"/>
              <w:bottom w:val="nil"/>
              <w:right w:val="nil"/>
            </w:tcBorders>
            <w:shd w:val="clear" w:color="auto" w:fill="auto"/>
            <w:noWrap/>
            <w:hideMark/>
          </w:tcPr>
          <w:p w14:paraId="29E45B3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9E45B3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29E45B3D" w14:textId="77777777" w:rsidTr="001C4EF9">
        <w:tc>
          <w:tcPr>
            <w:tcW w:w="630" w:type="dxa"/>
            <w:tcBorders>
              <w:top w:val="nil"/>
              <w:left w:val="nil"/>
              <w:bottom w:val="nil"/>
              <w:right w:val="nil"/>
            </w:tcBorders>
            <w:shd w:val="clear" w:color="auto" w:fill="auto"/>
            <w:noWrap/>
            <w:hideMark/>
          </w:tcPr>
          <w:p w14:paraId="29E45B3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9E45B3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29E45B40" w14:textId="77777777" w:rsidTr="001C4EF9">
        <w:tc>
          <w:tcPr>
            <w:tcW w:w="630" w:type="dxa"/>
            <w:tcBorders>
              <w:top w:val="nil"/>
              <w:left w:val="nil"/>
              <w:bottom w:val="nil"/>
              <w:right w:val="nil"/>
            </w:tcBorders>
            <w:shd w:val="clear" w:color="auto" w:fill="auto"/>
            <w:noWrap/>
            <w:hideMark/>
          </w:tcPr>
          <w:p w14:paraId="29E45B3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9E45B3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29E45B43" w14:textId="77777777" w:rsidTr="001C4EF9">
        <w:tc>
          <w:tcPr>
            <w:tcW w:w="630" w:type="dxa"/>
            <w:tcBorders>
              <w:top w:val="nil"/>
              <w:left w:val="nil"/>
              <w:bottom w:val="nil"/>
              <w:right w:val="nil"/>
            </w:tcBorders>
            <w:shd w:val="clear" w:color="auto" w:fill="auto"/>
            <w:noWrap/>
            <w:hideMark/>
          </w:tcPr>
          <w:p w14:paraId="29E45B4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9E45B4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29E45B46" w14:textId="77777777" w:rsidTr="001C4EF9">
        <w:tc>
          <w:tcPr>
            <w:tcW w:w="630" w:type="dxa"/>
            <w:tcBorders>
              <w:top w:val="nil"/>
              <w:left w:val="nil"/>
              <w:bottom w:val="nil"/>
              <w:right w:val="nil"/>
            </w:tcBorders>
            <w:shd w:val="clear" w:color="auto" w:fill="auto"/>
            <w:noWrap/>
            <w:hideMark/>
          </w:tcPr>
          <w:p w14:paraId="29E45B4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9E45B4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29E45B49" w14:textId="77777777" w:rsidTr="001C4EF9">
        <w:tc>
          <w:tcPr>
            <w:tcW w:w="630" w:type="dxa"/>
            <w:tcBorders>
              <w:top w:val="nil"/>
              <w:left w:val="nil"/>
              <w:bottom w:val="nil"/>
              <w:right w:val="nil"/>
            </w:tcBorders>
            <w:shd w:val="clear" w:color="auto" w:fill="auto"/>
            <w:noWrap/>
            <w:hideMark/>
          </w:tcPr>
          <w:p w14:paraId="29E45B4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9E45B4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29E45B4C" w14:textId="77777777" w:rsidTr="001C4EF9">
        <w:tc>
          <w:tcPr>
            <w:tcW w:w="630" w:type="dxa"/>
            <w:tcBorders>
              <w:top w:val="nil"/>
              <w:left w:val="nil"/>
              <w:bottom w:val="nil"/>
              <w:right w:val="nil"/>
            </w:tcBorders>
            <w:shd w:val="clear" w:color="auto" w:fill="auto"/>
            <w:noWrap/>
            <w:hideMark/>
          </w:tcPr>
          <w:p w14:paraId="29E45B4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9E45B4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29E45B4F" w14:textId="77777777" w:rsidTr="001C4EF9">
        <w:tc>
          <w:tcPr>
            <w:tcW w:w="630" w:type="dxa"/>
            <w:tcBorders>
              <w:top w:val="nil"/>
              <w:left w:val="nil"/>
              <w:bottom w:val="nil"/>
              <w:right w:val="nil"/>
            </w:tcBorders>
            <w:shd w:val="clear" w:color="auto" w:fill="auto"/>
            <w:noWrap/>
            <w:hideMark/>
          </w:tcPr>
          <w:p w14:paraId="29E45B4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9E45B4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29E45B52" w14:textId="77777777" w:rsidTr="001C4EF9">
        <w:tc>
          <w:tcPr>
            <w:tcW w:w="630" w:type="dxa"/>
            <w:tcBorders>
              <w:top w:val="nil"/>
              <w:left w:val="nil"/>
              <w:bottom w:val="nil"/>
              <w:right w:val="nil"/>
            </w:tcBorders>
            <w:shd w:val="clear" w:color="auto" w:fill="auto"/>
            <w:noWrap/>
            <w:hideMark/>
          </w:tcPr>
          <w:p w14:paraId="29E45B5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9E45B5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29E45B55" w14:textId="77777777" w:rsidTr="001C4EF9">
        <w:tc>
          <w:tcPr>
            <w:tcW w:w="630" w:type="dxa"/>
            <w:tcBorders>
              <w:top w:val="nil"/>
              <w:left w:val="nil"/>
              <w:bottom w:val="nil"/>
              <w:right w:val="nil"/>
            </w:tcBorders>
            <w:shd w:val="clear" w:color="auto" w:fill="auto"/>
            <w:noWrap/>
            <w:hideMark/>
          </w:tcPr>
          <w:p w14:paraId="29E45B5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9E45B5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29E45B58" w14:textId="77777777" w:rsidTr="001C4EF9">
        <w:tc>
          <w:tcPr>
            <w:tcW w:w="630" w:type="dxa"/>
            <w:tcBorders>
              <w:top w:val="nil"/>
              <w:left w:val="nil"/>
              <w:bottom w:val="nil"/>
              <w:right w:val="nil"/>
            </w:tcBorders>
            <w:shd w:val="clear" w:color="auto" w:fill="auto"/>
            <w:noWrap/>
            <w:hideMark/>
          </w:tcPr>
          <w:p w14:paraId="29E45B5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9E45B5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29E45B5B" w14:textId="77777777" w:rsidTr="001C4EF9">
        <w:tc>
          <w:tcPr>
            <w:tcW w:w="630" w:type="dxa"/>
            <w:tcBorders>
              <w:top w:val="nil"/>
              <w:left w:val="nil"/>
              <w:bottom w:val="nil"/>
              <w:right w:val="nil"/>
            </w:tcBorders>
            <w:shd w:val="clear" w:color="auto" w:fill="auto"/>
            <w:noWrap/>
            <w:hideMark/>
          </w:tcPr>
          <w:p w14:paraId="29E45B5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9E45B5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29E45B5E" w14:textId="77777777" w:rsidTr="001C4EF9">
        <w:tc>
          <w:tcPr>
            <w:tcW w:w="630" w:type="dxa"/>
            <w:tcBorders>
              <w:top w:val="nil"/>
              <w:left w:val="nil"/>
              <w:bottom w:val="nil"/>
              <w:right w:val="nil"/>
            </w:tcBorders>
            <w:shd w:val="clear" w:color="auto" w:fill="auto"/>
            <w:noWrap/>
            <w:hideMark/>
          </w:tcPr>
          <w:p w14:paraId="29E45B5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9E45B5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29E45B61" w14:textId="77777777" w:rsidTr="001C4EF9">
        <w:tc>
          <w:tcPr>
            <w:tcW w:w="630" w:type="dxa"/>
            <w:tcBorders>
              <w:top w:val="nil"/>
              <w:left w:val="nil"/>
              <w:bottom w:val="nil"/>
              <w:right w:val="nil"/>
            </w:tcBorders>
            <w:shd w:val="clear" w:color="auto" w:fill="auto"/>
            <w:noWrap/>
            <w:hideMark/>
          </w:tcPr>
          <w:p w14:paraId="29E45B5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9E45B6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9E45B62"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the UN’s </w:t>
      </w:r>
      <w:proofErr w:type="spellStart"/>
      <w:r>
        <w:t>COMTRADE</w:t>
      </w:r>
      <w:proofErr w:type="spellEnd"/>
      <w:r>
        <w:t xml:space="preserve"> database.</w:t>
      </w:r>
      <w:bookmarkStart w:id="65" w:name="_Toc405451006"/>
      <w:bookmarkStart w:id="66" w:name="_Toc405451570"/>
      <w:r>
        <w:br w:type="page"/>
      </w:r>
    </w:p>
    <w:p w14:paraId="29E45B63" w14:textId="77777777" w:rsidR="00230AAA" w:rsidRDefault="00230AAA" w:rsidP="00230AAA">
      <w:pPr>
        <w:pStyle w:val="FigureHeading"/>
        <w:spacing w:before="0"/>
      </w:pPr>
      <w:bookmarkStart w:id="67" w:name="_Toc405466108"/>
      <w:bookmarkStart w:id="68" w:name="_Toc428448505"/>
      <w:r>
        <w:t xml:space="preserve">Change in import share by HS Section, </w:t>
      </w:r>
      <w:r w:rsidR="00EA4839">
        <w:t>Yemen</w:t>
      </w:r>
      <w:r>
        <w:t xml:space="preserve">, </w:t>
      </w:r>
      <w:r w:rsidR="00EA4839">
        <w:t>2006</w:t>
      </w:r>
      <w:r>
        <w:t>–8 and 2009–1</w:t>
      </w:r>
      <w:bookmarkEnd w:id="65"/>
      <w:bookmarkEnd w:id="66"/>
      <w:r>
        <w:t>3</w:t>
      </w:r>
      <w:bookmarkEnd w:id="67"/>
      <w:bookmarkEnd w:id="68"/>
    </w:p>
    <w:p w14:paraId="29E45B64" w14:textId="77777777" w:rsidR="00230AAA" w:rsidRPr="002103C5" w:rsidRDefault="00A63AAB" w:rsidP="00D40056">
      <w:pPr>
        <w:pStyle w:val="BodyText"/>
        <w:spacing w:before="39" w:after="0" w:line="240" w:lineRule="auto"/>
        <w:jc w:val="left"/>
      </w:pPr>
      <w:r>
        <w:rPr>
          <w:noProof/>
          <w:lang w:eastAsia="en-GB"/>
        </w:rPr>
        <w:drawing>
          <wp:inline distT="0" distB="0" distL="0" distR="0" wp14:anchorId="29E45D1D" wp14:editId="29E45D1E">
            <wp:extent cx="4572000" cy="2606040"/>
            <wp:effectExtent l="0" t="0" r="0"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29E45B67" w14:textId="77777777" w:rsidTr="001C4EF9">
        <w:tc>
          <w:tcPr>
            <w:tcW w:w="630" w:type="dxa"/>
            <w:tcBorders>
              <w:top w:val="nil"/>
              <w:left w:val="nil"/>
              <w:bottom w:val="nil"/>
              <w:right w:val="nil"/>
            </w:tcBorders>
            <w:shd w:val="clear" w:color="auto" w:fill="auto"/>
            <w:noWrap/>
          </w:tcPr>
          <w:p w14:paraId="29E45B65"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9E45B66" w14:textId="77777777" w:rsidR="00230AAA" w:rsidRDefault="00230AAA" w:rsidP="001C4EF9">
            <w:pPr>
              <w:rPr>
                <w:rFonts w:ascii="Calibri" w:eastAsia="Times New Roman" w:hAnsi="Calibri"/>
                <w:color w:val="000000"/>
                <w:sz w:val="16"/>
                <w:szCs w:val="16"/>
                <w:lang w:eastAsia="en-GB"/>
              </w:rPr>
            </w:pPr>
          </w:p>
        </w:tc>
      </w:tr>
      <w:tr w:rsidR="00230AAA" w:rsidRPr="00C91C87" w14:paraId="29E45B6A" w14:textId="77777777" w:rsidTr="001C4EF9">
        <w:tc>
          <w:tcPr>
            <w:tcW w:w="630" w:type="dxa"/>
            <w:tcBorders>
              <w:top w:val="nil"/>
              <w:left w:val="nil"/>
              <w:bottom w:val="nil"/>
              <w:right w:val="nil"/>
            </w:tcBorders>
            <w:shd w:val="clear" w:color="auto" w:fill="auto"/>
            <w:noWrap/>
          </w:tcPr>
          <w:p w14:paraId="29E45B6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9E45B6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29E45B6D" w14:textId="77777777" w:rsidTr="001C4EF9">
        <w:tc>
          <w:tcPr>
            <w:tcW w:w="630" w:type="dxa"/>
            <w:tcBorders>
              <w:top w:val="nil"/>
              <w:left w:val="nil"/>
              <w:bottom w:val="nil"/>
              <w:right w:val="nil"/>
            </w:tcBorders>
            <w:shd w:val="clear" w:color="auto" w:fill="auto"/>
            <w:noWrap/>
            <w:hideMark/>
          </w:tcPr>
          <w:p w14:paraId="29E45B6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9E45B6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29E45B70" w14:textId="77777777" w:rsidTr="001C4EF9">
        <w:tc>
          <w:tcPr>
            <w:tcW w:w="630" w:type="dxa"/>
            <w:tcBorders>
              <w:top w:val="nil"/>
              <w:left w:val="nil"/>
              <w:bottom w:val="nil"/>
              <w:right w:val="nil"/>
            </w:tcBorders>
            <w:shd w:val="clear" w:color="auto" w:fill="auto"/>
            <w:noWrap/>
            <w:hideMark/>
          </w:tcPr>
          <w:p w14:paraId="29E45B6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9E45B6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29E45B73" w14:textId="77777777" w:rsidTr="001C4EF9">
        <w:tc>
          <w:tcPr>
            <w:tcW w:w="630" w:type="dxa"/>
            <w:tcBorders>
              <w:top w:val="nil"/>
              <w:left w:val="nil"/>
              <w:bottom w:val="nil"/>
              <w:right w:val="nil"/>
            </w:tcBorders>
            <w:shd w:val="clear" w:color="auto" w:fill="auto"/>
            <w:noWrap/>
            <w:hideMark/>
          </w:tcPr>
          <w:p w14:paraId="29E45B7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9E45B7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29E45B76" w14:textId="77777777" w:rsidTr="001C4EF9">
        <w:tc>
          <w:tcPr>
            <w:tcW w:w="630" w:type="dxa"/>
            <w:tcBorders>
              <w:top w:val="nil"/>
              <w:left w:val="nil"/>
              <w:bottom w:val="nil"/>
              <w:right w:val="nil"/>
            </w:tcBorders>
            <w:shd w:val="clear" w:color="auto" w:fill="auto"/>
            <w:noWrap/>
            <w:hideMark/>
          </w:tcPr>
          <w:p w14:paraId="29E45B7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9E45B7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29E45B79" w14:textId="77777777" w:rsidTr="001C4EF9">
        <w:tc>
          <w:tcPr>
            <w:tcW w:w="630" w:type="dxa"/>
            <w:tcBorders>
              <w:top w:val="nil"/>
              <w:left w:val="nil"/>
              <w:bottom w:val="nil"/>
              <w:right w:val="nil"/>
            </w:tcBorders>
            <w:shd w:val="clear" w:color="auto" w:fill="auto"/>
            <w:noWrap/>
            <w:hideMark/>
          </w:tcPr>
          <w:p w14:paraId="29E45B7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9E45B7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29E45B7C" w14:textId="77777777" w:rsidTr="001C4EF9">
        <w:tc>
          <w:tcPr>
            <w:tcW w:w="630" w:type="dxa"/>
            <w:tcBorders>
              <w:top w:val="nil"/>
              <w:left w:val="nil"/>
              <w:bottom w:val="nil"/>
              <w:right w:val="nil"/>
            </w:tcBorders>
            <w:shd w:val="clear" w:color="auto" w:fill="auto"/>
            <w:noWrap/>
            <w:hideMark/>
          </w:tcPr>
          <w:p w14:paraId="29E45B7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9E45B7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29E45B7F" w14:textId="77777777" w:rsidTr="001C4EF9">
        <w:tc>
          <w:tcPr>
            <w:tcW w:w="630" w:type="dxa"/>
            <w:tcBorders>
              <w:top w:val="nil"/>
              <w:left w:val="nil"/>
              <w:bottom w:val="nil"/>
              <w:right w:val="nil"/>
            </w:tcBorders>
            <w:shd w:val="clear" w:color="auto" w:fill="auto"/>
            <w:noWrap/>
            <w:hideMark/>
          </w:tcPr>
          <w:p w14:paraId="29E45B7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9E45B7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29E45B82" w14:textId="77777777" w:rsidTr="001C4EF9">
        <w:tc>
          <w:tcPr>
            <w:tcW w:w="630" w:type="dxa"/>
            <w:tcBorders>
              <w:top w:val="nil"/>
              <w:left w:val="nil"/>
              <w:bottom w:val="nil"/>
              <w:right w:val="nil"/>
            </w:tcBorders>
            <w:shd w:val="clear" w:color="auto" w:fill="auto"/>
            <w:noWrap/>
            <w:hideMark/>
          </w:tcPr>
          <w:p w14:paraId="29E45B8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9E45B8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29E45B85" w14:textId="77777777" w:rsidTr="001C4EF9">
        <w:tc>
          <w:tcPr>
            <w:tcW w:w="630" w:type="dxa"/>
            <w:tcBorders>
              <w:top w:val="nil"/>
              <w:left w:val="nil"/>
              <w:bottom w:val="nil"/>
              <w:right w:val="nil"/>
            </w:tcBorders>
            <w:shd w:val="clear" w:color="auto" w:fill="auto"/>
            <w:noWrap/>
            <w:hideMark/>
          </w:tcPr>
          <w:p w14:paraId="29E45B8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9E45B8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29E45B88" w14:textId="77777777" w:rsidTr="001C4EF9">
        <w:tc>
          <w:tcPr>
            <w:tcW w:w="630" w:type="dxa"/>
            <w:tcBorders>
              <w:top w:val="nil"/>
              <w:left w:val="nil"/>
              <w:bottom w:val="nil"/>
              <w:right w:val="nil"/>
            </w:tcBorders>
            <w:shd w:val="clear" w:color="auto" w:fill="auto"/>
            <w:noWrap/>
            <w:hideMark/>
          </w:tcPr>
          <w:p w14:paraId="29E45B8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9E45B8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29E45B8B" w14:textId="77777777" w:rsidTr="001C4EF9">
        <w:tc>
          <w:tcPr>
            <w:tcW w:w="630" w:type="dxa"/>
            <w:tcBorders>
              <w:top w:val="nil"/>
              <w:left w:val="nil"/>
              <w:bottom w:val="nil"/>
              <w:right w:val="nil"/>
            </w:tcBorders>
            <w:shd w:val="clear" w:color="auto" w:fill="auto"/>
            <w:noWrap/>
            <w:hideMark/>
          </w:tcPr>
          <w:p w14:paraId="29E45B8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9E45B8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29E45B8E" w14:textId="77777777" w:rsidTr="001C4EF9">
        <w:tc>
          <w:tcPr>
            <w:tcW w:w="630" w:type="dxa"/>
            <w:tcBorders>
              <w:top w:val="nil"/>
              <w:left w:val="nil"/>
              <w:bottom w:val="nil"/>
              <w:right w:val="nil"/>
            </w:tcBorders>
            <w:shd w:val="clear" w:color="auto" w:fill="auto"/>
            <w:noWrap/>
            <w:hideMark/>
          </w:tcPr>
          <w:p w14:paraId="29E45B8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9E45B8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29E45B91" w14:textId="77777777" w:rsidTr="001C4EF9">
        <w:tc>
          <w:tcPr>
            <w:tcW w:w="630" w:type="dxa"/>
            <w:tcBorders>
              <w:top w:val="nil"/>
              <w:left w:val="nil"/>
              <w:bottom w:val="nil"/>
              <w:right w:val="nil"/>
            </w:tcBorders>
            <w:shd w:val="clear" w:color="auto" w:fill="auto"/>
            <w:noWrap/>
            <w:hideMark/>
          </w:tcPr>
          <w:p w14:paraId="29E45B8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9E45B9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29E45B94" w14:textId="77777777" w:rsidTr="001C4EF9">
        <w:tc>
          <w:tcPr>
            <w:tcW w:w="630" w:type="dxa"/>
            <w:tcBorders>
              <w:top w:val="nil"/>
              <w:left w:val="nil"/>
              <w:bottom w:val="nil"/>
              <w:right w:val="nil"/>
            </w:tcBorders>
            <w:shd w:val="clear" w:color="auto" w:fill="auto"/>
            <w:noWrap/>
            <w:hideMark/>
          </w:tcPr>
          <w:p w14:paraId="29E45B9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9E45B9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29E45B97" w14:textId="77777777" w:rsidTr="001C4EF9">
        <w:tc>
          <w:tcPr>
            <w:tcW w:w="630" w:type="dxa"/>
            <w:tcBorders>
              <w:top w:val="nil"/>
              <w:left w:val="nil"/>
              <w:bottom w:val="nil"/>
              <w:right w:val="nil"/>
            </w:tcBorders>
            <w:shd w:val="clear" w:color="auto" w:fill="auto"/>
            <w:noWrap/>
            <w:hideMark/>
          </w:tcPr>
          <w:p w14:paraId="29E45B9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9E45B9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29E45B9A" w14:textId="77777777" w:rsidTr="001C4EF9">
        <w:tc>
          <w:tcPr>
            <w:tcW w:w="630" w:type="dxa"/>
            <w:tcBorders>
              <w:top w:val="nil"/>
              <w:left w:val="nil"/>
              <w:bottom w:val="nil"/>
              <w:right w:val="nil"/>
            </w:tcBorders>
            <w:shd w:val="clear" w:color="auto" w:fill="auto"/>
            <w:noWrap/>
            <w:hideMark/>
          </w:tcPr>
          <w:p w14:paraId="29E45B9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9E45B9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29E45B9D" w14:textId="77777777" w:rsidTr="001C4EF9">
        <w:tc>
          <w:tcPr>
            <w:tcW w:w="630" w:type="dxa"/>
            <w:tcBorders>
              <w:top w:val="nil"/>
              <w:left w:val="nil"/>
              <w:bottom w:val="nil"/>
              <w:right w:val="nil"/>
            </w:tcBorders>
            <w:shd w:val="clear" w:color="auto" w:fill="auto"/>
            <w:noWrap/>
            <w:hideMark/>
          </w:tcPr>
          <w:p w14:paraId="29E45B9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9E45B9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29E45BA0" w14:textId="77777777" w:rsidTr="001C4EF9">
        <w:tc>
          <w:tcPr>
            <w:tcW w:w="630" w:type="dxa"/>
            <w:tcBorders>
              <w:top w:val="nil"/>
              <w:left w:val="nil"/>
              <w:bottom w:val="nil"/>
              <w:right w:val="nil"/>
            </w:tcBorders>
            <w:shd w:val="clear" w:color="auto" w:fill="auto"/>
            <w:noWrap/>
            <w:hideMark/>
          </w:tcPr>
          <w:p w14:paraId="29E45B9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9E45B9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29E45BA3" w14:textId="77777777" w:rsidTr="001C4EF9">
        <w:tc>
          <w:tcPr>
            <w:tcW w:w="630" w:type="dxa"/>
            <w:tcBorders>
              <w:top w:val="nil"/>
              <w:left w:val="nil"/>
              <w:bottom w:val="nil"/>
              <w:right w:val="nil"/>
            </w:tcBorders>
            <w:shd w:val="clear" w:color="auto" w:fill="auto"/>
            <w:noWrap/>
            <w:hideMark/>
          </w:tcPr>
          <w:p w14:paraId="29E45BA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9E45BA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29E45BA6" w14:textId="77777777" w:rsidTr="001C4EF9">
        <w:tc>
          <w:tcPr>
            <w:tcW w:w="630" w:type="dxa"/>
            <w:tcBorders>
              <w:top w:val="nil"/>
              <w:left w:val="nil"/>
              <w:bottom w:val="nil"/>
              <w:right w:val="nil"/>
            </w:tcBorders>
            <w:shd w:val="clear" w:color="auto" w:fill="auto"/>
            <w:noWrap/>
            <w:hideMark/>
          </w:tcPr>
          <w:p w14:paraId="29E45BA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9E45BA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29E45BA9" w14:textId="77777777" w:rsidTr="001C4EF9">
        <w:tc>
          <w:tcPr>
            <w:tcW w:w="630" w:type="dxa"/>
            <w:tcBorders>
              <w:top w:val="nil"/>
              <w:left w:val="nil"/>
              <w:bottom w:val="nil"/>
              <w:right w:val="nil"/>
            </w:tcBorders>
            <w:shd w:val="clear" w:color="auto" w:fill="auto"/>
            <w:noWrap/>
            <w:hideMark/>
          </w:tcPr>
          <w:p w14:paraId="29E45BA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9E45BA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9E45BAA" w14:textId="77777777" w:rsidR="00230AAA" w:rsidRDefault="00230AAA" w:rsidP="00230AAA">
      <w:pPr>
        <w:pStyle w:val="Source"/>
      </w:pPr>
      <w:r>
        <w:t xml:space="preserve">Source: Authors’ calculation using data from the UN’s </w:t>
      </w:r>
      <w:proofErr w:type="spellStart"/>
      <w:r>
        <w:t>COMTRADE</w:t>
      </w:r>
      <w:proofErr w:type="spellEnd"/>
      <w:r>
        <w:t xml:space="preserve"> database.</w:t>
      </w:r>
    </w:p>
    <w:p w14:paraId="29E45BAB" w14:textId="77777777" w:rsidR="00230AAA" w:rsidRDefault="00230AAA" w:rsidP="00230AAA">
      <w:pPr>
        <w:rPr>
          <w:rFonts w:ascii="Arial" w:hAnsi="Arial"/>
          <w:i/>
          <w:sz w:val="16"/>
        </w:rPr>
      </w:pPr>
      <w:r>
        <w:br w:type="page"/>
      </w:r>
    </w:p>
    <w:p w14:paraId="29E45BAC" w14:textId="77777777" w:rsidR="00230AAA" w:rsidRDefault="00230AAA" w:rsidP="00230AAA">
      <w:pPr>
        <w:pStyle w:val="FigureHeading"/>
        <w:spacing w:before="0"/>
      </w:pPr>
      <w:bookmarkStart w:id="69" w:name="_Toc405451007"/>
      <w:bookmarkStart w:id="70" w:name="_Toc405451571"/>
      <w:bookmarkStart w:id="71" w:name="_Toc405466109"/>
      <w:bookmarkStart w:id="72" w:name="_Toc428448506"/>
      <w:r>
        <w:t xml:space="preserve">Import visualisation, </w:t>
      </w:r>
      <w:r w:rsidR="00EA4839">
        <w:t>Yemen</w:t>
      </w:r>
      <w:r>
        <w:t>, 2005 and 201</w:t>
      </w:r>
      <w:bookmarkEnd w:id="69"/>
      <w:bookmarkEnd w:id="70"/>
      <w:r>
        <w:t>2</w:t>
      </w:r>
      <w:bookmarkEnd w:id="71"/>
      <w:bookmarkEnd w:id="72"/>
    </w:p>
    <w:tbl>
      <w:tblPr>
        <w:tblStyle w:val="TableGrid"/>
        <w:tblW w:w="42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58"/>
      </w:tblGrid>
      <w:tr w:rsidR="00230AAA" w:rsidRPr="00E81E7D" w14:paraId="29E45BAE" w14:textId="77777777" w:rsidTr="001C4EF9">
        <w:trPr>
          <w:trHeight w:hRule="exact" w:val="259"/>
        </w:trPr>
        <w:tc>
          <w:tcPr>
            <w:tcW w:w="7920" w:type="dxa"/>
            <w:vAlign w:val="bottom"/>
          </w:tcPr>
          <w:p w14:paraId="29E45BAD"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29E45BB0" w14:textId="77777777" w:rsidTr="001C4EF9">
        <w:trPr>
          <w:trHeight w:hRule="exact" w:val="5400"/>
        </w:trPr>
        <w:tc>
          <w:tcPr>
            <w:tcW w:w="7920" w:type="dxa"/>
          </w:tcPr>
          <w:p w14:paraId="29E45BAF" w14:textId="77777777" w:rsidR="00230AAA" w:rsidRDefault="00A63AAB" w:rsidP="001C4EF9">
            <w:r>
              <w:rPr>
                <w:noProof/>
                <w:lang w:eastAsia="en-GB"/>
              </w:rPr>
              <w:drawing>
                <wp:inline distT="0" distB="0" distL="0" distR="0" wp14:anchorId="29E45D1F" wp14:editId="29E45D20">
                  <wp:extent cx="4690872" cy="3383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6735" t="34530" r="15007" b="11453"/>
                          <a:stretch/>
                        </pic:blipFill>
                        <pic:spPr bwMode="auto">
                          <a:xfrm>
                            <a:off x="0" y="0"/>
                            <a:ext cx="4690872" cy="3383280"/>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29E45BB2" w14:textId="77777777" w:rsidTr="001C4EF9">
        <w:trPr>
          <w:trHeight w:hRule="exact" w:val="259"/>
        </w:trPr>
        <w:tc>
          <w:tcPr>
            <w:tcW w:w="7920" w:type="dxa"/>
            <w:vAlign w:val="bottom"/>
          </w:tcPr>
          <w:p w14:paraId="29E45BB1"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29E45BB4" w14:textId="77777777" w:rsidTr="001C4EF9">
        <w:trPr>
          <w:trHeight w:hRule="exact" w:val="5400"/>
        </w:trPr>
        <w:tc>
          <w:tcPr>
            <w:tcW w:w="7920" w:type="dxa"/>
          </w:tcPr>
          <w:p w14:paraId="29E45BB3" w14:textId="77777777" w:rsidR="00230AAA" w:rsidRDefault="00A63AAB" w:rsidP="001C4EF9">
            <w:pPr>
              <w:rPr>
                <w:noProof/>
                <w:lang w:eastAsia="en-GB"/>
              </w:rPr>
            </w:pPr>
            <w:r>
              <w:rPr>
                <w:noProof/>
                <w:lang w:eastAsia="en-GB"/>
              </w:rPr>
              <w:drawing>
                <wp:inline distT="0" distB="0" distL="0" distR="0" wp14:anchorId="29E45D21" wp14:editId="29E45D22">
                  <wp:extent cx="4718304" cy="341071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6602" t="34017" r="14875" b="11624"/>
                          <a:stretch/>
                        </pic:blipFill>
                        <pic:spPr bwMode="auto">
                          <a:xfrm>
                            <a:off x="0" y="0"/>
                            <a:ext cx="4718304" cy="3410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E45BB5" w14:textId="77777777" w:rsidR="00230AAA" w:rsidRPr="00333F79" w:rsidRDefault="00230AAA" w:rsidP="00230AAA">
      <w:pPr>
        <w:pStyle w:val="Source"/>
        <w:rPr>
          <w:lang w:val="en" w:eastAsia="en-GB"/>
        </w:rPr>
      </w:pPr>
      <w:bookmarkStart w:id="73" w:name="_Toc405451008"/>
      <w:bookmarkStart w:id="74" w:name="_Toc405451572"/>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67" w:history="1">
        <w:r w:rsidRPr="00333F79">
          <w:rPr>
            <w:rStyle w:val="Hyperlink"/>
            <w:lang w:val="en" w:eastAsia="en-GB"/>
          </w:rPr>
          <w:t>http://www.atlas.cid.harvard.edu</w:t>
        </w:r>
      </w:hyperlink>
      <w:r>
        <w:rPr>
          <w:lang w:val="en" w:eastAsia="en-GB"/>
        </w:rPr>
        <w:t>).</w:t>
      </w:r>
    </w:p>
    <w:p w14:paraId="29E45BB6" w14:textId="77777777" w:rsidR="00230AAA" w:rsidRDefault="00230AAA" w:rsidP="00230AAA">
      <w:pPr>
        <w:rPr>
          <w:rFonts w:ascii="Arial" w:hAnsi="Arial"/>
          <w:b/>
          <w:color w:val="006C67" w:themeColor="accent1"/>
          <w:sz w:val="24"/>
        </w:rPr>
      </w:pPr>
      <w:r>
        <w:br w:type="page"/>
      </w:r>
    </w:p>
    <w:p w14:paraId="29E45BB7" w14:textId="77777777" w:rsidR="00230AAA" w:rsidRDefault="00230AAA" w:rsidP="00230AAA">
      <w:pPr>
        <w:pStyle w:val="FigureHeading"/>
        <w:spacing w:before="0"/>
      </w:pPr>
      <w:bookmarkStart w:id="75" w:name="_Toc405451009"/>
      <w:bookmarkStart w:id="76" w:name="_Toc405451573"/>
      <w:bookmarkStart w:id="77" w:name="_Toc405466111"/>
      <w:bookmarkStart w:id="78" w:name="_Toc428448507"/>
      <w:bookmarkEnd w:id="73"/>
      <w:bookmarkEnd w:id="74"/>
      <w:r>
        <w:t xml:space="preserve">Top import products, </w:t>
      </w:r>
      <w:r w:rsidR="00EA4839">
        <w:t>Yemen</w:t>
      </w:r>
      <w:r>
        <w:t xml:space="preserve"> (average 2011–13)</w:t>
      </w:r>
      <w:bookmarkEnd w:id="75"/>
      <w:bookmarkEnd w:id="76"/>
      <w:bookmarkEnd w:id="77"/>
      <w:bookmarkEnd w:id="78"/>
    </w:p>
    <w:p w14:paraId="29E45BB8" w14:textId="77777777" w:rsidR="00A32D24" w:rsidRPr="00A32D24" w:rsidRDefault="00A32D24" w:rsidP="00A32D24">
      <w:pPr>
        <w:pStyle w:val="BodyText"/>
      </w:pPr>
      <w:r>
        <w:rPr>
          <w:noProof/>
          <w:lang w:eastAsia="en-GB"/>
        </w:rPr>
        <w:drawing>
          <wp:inline distT="0" distB="0" distL="0" distR="0" wp14:anchorId="29E45D23" wp14:editId="29E45D24">
            <wp:extent cx="4922520" cy="21785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a:extLst>
                        <a:ext uri="{28A0092B-C50C-407E-A947-70E740481C1C}">
                          <a14:useLocalDpi xmlns:a14="http://schemas.microsoft.com/office/drawing/2010/main" val="0"/>
                        </a:ext>
                      </a:extLst>
                    </a:blip>
                    <a:srcRect l="12347" t="8629"/>
                    <a:stretch/>
                  </pic:blipFill>
                  <pic:spPr bwMode="auto">
                    <a:xfrm>
                      <a:off x="0" y="0"/>
                      <a:ext cx="4921407" cy="2178096"/>
                    </a:xfrm>
                    <a:prstGeom prst="rect">
                      <a:avLst/>
                    </a:prstGeom>
                    <a:noFill/>
                    <a:ln>
                      <a:noFill/>
                    </a:ln>
                    <a:extLst>
                      <a:ext uri="{53640926-AAD7-44D8-BBD7-CCE9431645EC}">
                        <a14:shadowObscured xmlns:a14="http://schemas.microsoft.com/office/drawing/2010/main"/>
                      </a:ext>
                    </a:extLst>
                  </pic:spPr>
                </pic:pic>
              </a:graphicData>
            </a:graphic>
          </wp:inline>
        </w:drawing>
      </w:r>
    </w:p>
    <w:p w14:paraId="29E45BB9" w14:textId="77777777" w:rsidR="00230AAA" w:rsidRDefault="00230AAA" w:rsidP="00230AAA">
      <w:pPr>
        <w:pStyle w:val="Source"/>
      </w:pPr>
      <w:r>
        <w:t>Note: At Harmonised System 6-digit level.</w:t>
      </w:r>
      <w:r>
        <w:br/>
        <w:t xml:space="preserve">Source: Authors’ calculations using data from UN </w:t>
      </w:r>
      <w:proofErr w:type="spellStart"/>
      <w:r>
        <w:t>COMTRADE</w:t>
      </w:r>
      <w:proofErr w:type="spellEnd"/>
      <w:r>
        <w:t xml:space="preserve"> database.</w:t>
      </w:r>
    </w:p>
    <w:p w14:paraId="29E45BBA" w14:textId="77777777" w:rsidR="007C3BA6" w:rsidRDefault="007C3BA6" w:rsidP="00230AAA">
      <w:pPr>
        <w:pStyle w:val="Source"/>
      </w:pPr>
    </w:p>
    <w:p w14:paraId="29E45BBB" w14:textId="77777777" w:rsidR="00230AAA" w:rsidRDefault="00230AAA" w:rsidP="00230AAA">
      <w:pPr>
        <w:pStyle w:val="FigureHeading"/>
        <w:spacing w:before="0"/>
      </w:pPr>
      <w:bookmarkStart w:id="79" w:name="_Toc405451010"/>
      <w:bookmarkStart w:id="80" w:name="_Toc405451574"/>
      <w:bookmarkStart w:id="81" w:name="_Toc405466112"/>
      <w:bookmarkStart w:id="82" w:name="_Toc428448508"/>
      <w:r>
        <w:t xml:space="preserve">Top import sources, </w:t>
      </w:r>
      <w:r w:rsidR="00EA4839">
        <w:t>Yemen</w:t>
      </w:r>
      <w:r>
        <w:t xml:space="preserve"> (average 2011–13)</w:t>
      </w:r>
      <w:bookmarkEnd w:id="79"/>
      <w:bookmarkEnd w:id="80"/>
      <w:bookmarkEnd w:id="81"/>
      <w:bookmarkEnd w:id="82"/>
    </w:p>
    <w:p w14:paraId="29E45BBC" w14:textId="77777777" w:rsidR="00230AAA" w:rsidRDefault="00A32D24" w:rsidP="00A32D24">
      <w:pPr>
        <w:pStyle w:val="BodyText"/>
        <w:spacing w:before="39" w:after="0" w:line="240" w:lineRule="auto"/>
        <w:jc w:val="left"/>
      </w:pPr>
      <w:r>
        <w:rPr>
          <w:noProof/>
          <w:lang w:eastAsia="en-GB"/>
        </w:rPr>
        <w:drawing>
          <wp:inline distT="0" distB="0" distL="0" distR="0" wp14:anchorId="29E45D25" wp14:editId="29E45D26">
            <wp:extent cx="4922520" cy="2239549"/>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a:extLst>
                        <a:ext uri="{28A0092B-C50C-407E-A947-70E740481C1C}">
                          <a14:useLocalDpi xmlns:a14="http://schemas.microsoft.com/office/drawing/2010/main" val="0"/>
                        </a:ext>
                      </a:extLst>
                    </a:blip>
                    <a:srcRect l="12347" t="6072"/>
                    <a:stretch/>
                  </pic:blipFill>
                  <pic:spPr bwMode="auto">
                    <a:xfrm>
                      <a:off x="0" y="0"/>
                      <a:ext cx="4921407" cy="2239043"/>
                    </a:xfrm>
                    <a:prstGeom prst="rect">
                      <a:avLst/>
                    </a:prstGeom>
                    <a:noFill/>
                    <a:ln>
                      <a:noFill/>
                    </a:ln>
                    <a:extLst>
                      <a:ext uri="{53640926-AAD7-44D8-BBD7-CCE9431645EC}">
                        <a14:shadowObscured xmlns:a14="http://schemas.microsoft.com/office/drawing/2010/main"/>
                      </a:ext>
                    </a:extLst>
                  </pic:spPr>
                </pic:pic>
              </a:graphicData>
            </a:graphic>
          </wp:inline>
        </w:drawing>
      </w:r>
    </w:p>
    <w:p w14:paraId="29E45BBD" w14:textId="77777777" w:rsidR="00230AAA" w:rsidRDefault="00230AAA" w:rsidP="00230AAA">
      <w:pPr>
        <w:pStyle w:val="Source"/>
      </w:pPr>
      <w:r>
        <w:t xml:space="preserve">Source: Authors’ calculations using data from UN </w:t>
      </w:r>
      <w:proofErr w:type="spellStart"/>
      <w:r>
        <w:t>COMTRADE</w:t>
      </w:r>
      <w:proofErr w:type="spellEnd"/>
      <w:r>
        <w:t xml:space="preserve"> database.</w:t>
      </w:r>
    </w:p>
    <w:p w14:paraId="29E45BBE" w14:textId="77777777" w:rsidR="00F3387B" w:rsidRDefault="00F3387B">
      <w:pPr>
        <w:rPr>
          <w:rFonts w:ascii="Arial" w:hAnsi="Arial"/>
          <w:b/>
          <w:color w:val="006C67" w:themeColor="accent1"/>
          <w:sz w:val="24"/>
        </w:rPr>
      </w:pPr>
      <w:r>
        <w:br w:type="page"/>
      </w:r>
    </w:p>
    <w:p w14:paraId="29E45BBF" w14:textId="77777777" w:rsidR="00A34431" w:rsidRDefault="00F3387B" w:rsidP="00F3387B">
      <w:pPr>
        <w:pStyle w:val="Heading2"/>
      </w:pPr>
      <w:bookmarkStart w:id="83" w:name="_Toc428448509"/>
      <w:r>
        <w:t>Diversification</w:t>
      </w:r>
      <w:bookmarkEnd w:id="83"/>
    </w:p>
    <w:p w14:paraId="29E45BC0" w14:textId="77777777" w:rsidR="00F3387B" w:rsidRDefault="00F3387B" w:rsidP="00F3387B">
      <w:pPr>
        <w:pStyle w:val="FigureHeading"/>
        <w:spacing w:before="0"/>
      </w:pPr>
      <w:bookmarkStart w:id="84" w:name="_Toc428448510"/>
      <w:r>
        <w:t>Export diversification index, Yemen, 1965–2010</w:t>
      </w:r>
      <w:bookmarkEnd w:id="84"/>
    </w:p>
    <w:p w14:paraId="29E45BC1" w14:textId="77777777" w:rsidR="00F3387B" w:rsidRPr="00230AAA" w:rsidRDefault="00F3387B" w:rsidP="00F3387B">
      <w:pPr>
        <w:pStyle w:val="BodyText"/>
        <w:spacing w:before="39" w:after="0" w:line="240" w:lineRule="auto"/>
        <w:jc w:val="left"/>
      </w:pPr>
      <w:r>
        <w:rPr>
          <w:noProof/>
          <w:lang w:eastAsia="en-GB"/>
        </w:rPr>
        <w:drawing>
          <wp:inline distT="0" distB="0" distL="0" distR="0" wp14:anchorId="29E45D27" wp14:editId="29E45D28">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9E45BC2" w14:textId="77777777" w:rsidR="00F3387B" w:rsidRDefault="00F3387B" w:rsidP="00F3387B">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71" w:history="1">
        <w:r w:rsidRPr="005C6F94">
          <w:rPr>
            <w:rStyle w:val="Hyperlink"/>
          </w:rPr>
          <w:t>http://www.imf.org/external/np/res/dfidimf/diversification.htm</w:t>
        </w:r>
      </w:hyperlink>
      <w:r>
        <w:t xml:space="preserve">): Export Diversification Database. </w:t>
      </w:r>
    </w:p>
    <w:p w14:paraId="29E45BC3" w14:textId="77777777" w:rsidR="007C3BA6" w:rsidRDefault="007C3BA6" w:rsidP="00F3387B">
      <w:pPr>
        <w:pStyle w:val="Source"/>
      </w:pPr>
    </w:p>
    <w:p w14:paraId="29E45BC4" w14:textId="77777777" w:rsidR="00F3387B" w:rsidRDefault="00F3387B" w:rsidP="00F3387B">
      <w:pPr>
        <w:pStyle w:val="FigureHeading"/>
      </w:pPr>
      <w:bookmarkStart w:id="85" w:name="_Toc406411726"/>
      <w:bookmarkStart w:id="86" w:name="_Toc428448511"/>
      <w:r>
        <w:t>Export quality index, Yemen, 1990–2010</w:t>
      </w:r>
      <w:bookmarkEnd w:id="85"/>
      <w:bookmarkEnd w:id="86"/>
    </w:p>
    <w:p w14:paraId="29E45BC5" w14:textId="77777777" w:rsidR="00F3387B" w:rsidRPr="00B66F91" w:rsidRDefault="00F3387B" w:rsidP="00F3387B">
      <w:pPr>
        <w:pStyle w:val="BodyText"/>
        <w:spacing w:before="39" w:after="0" w:line="240" w:lineRule="auto"/>
        <w:jc w:val="left"/>
      </w:pPr>
      <w:r>
        <w:rPr>
          <w:noProof/>
          <w:lang w:eastAsia="en-GB"/>
        </w:rPr>
        <w:drawing>
          <wp:inline distT="0" distB="0" distL="0" distR="0" wp14:anchorId="29E45D29" wp14:editId="29E45D2A">
            <wp:extent cx="5614416" cy="2743200"/>
            <wp:effectExtent l="0" t="0" r="571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9E45BC6" w14:textId="77777777" w:rsidR="00F3387B" w:rsidRDefault="00F3387B" w:rsidP="00F3387B">
      <w:pPr>
        <w:pStyle w:val="Source"/>
      </w:pPr>
      <w:r>
        <w:t>Source: DFID–IMF Diversification Toolkit (</w:t>
      </w:r>
      <w:hyperlink r:id="rId73" w:history="1">
        <w:r w:rsidRPr="005C6F94">
          <w:rPr>
            <w:rStyle w:val="Hyperlink"/>
          </w:rPr>
          <w:t>http://www.imf.org/external/np/res/dfidimf/diversification.htm</w:t>
        </w:r>
      </w:hyperlink>
      <w:r>
        <w:t xml:space="preserve">): Export Quality Database. </w:t>
      </w:r>
    </w:p>
    <w:p w14:paraId="29E45BC7" w14:textId="77777777" w:rsidR="00F3387B" w:rsidRDefault="00F3387B">
      <w:r>
        <w:br w:type="page"/>
      </w:r>
    </w:p>
    <w:p w14:paraId="29E45BC8" w14:textId="77777777" w:rsidR="00F3387B" w:rsidRDefault="00F3387B" w:rsidP="00F3387B">
      <w:pPr>
        <w:pStyle w:val="FigureHeading"/>
        <w:spacing w:before="0"/>
      </w:pPr>
      <w:bookmarkStart w:id="87" w:name="_Toc405466104"/>
      <w:bookmarkStart w:id="88" w:name="_Toc428448512"/>
      <w:r>
        <w:t>Number of export items and markets, Yemen, 2006–13</w:t>
      </w:r>
      <w:bookmarkEnd w:id="87"/>
      <w:bookmarkEnd w:id="88"/>
    </w:p>
    <w:p w14:paraId="29E45BC9" w14:textId="77777777" w:rsidR="00F3387B" w:rsidRPr="00E115E4" w:rsidRDefault="00F3387B" w:rsidP="00F3387B">
      <w:pPr>
        <w:pStyle w:val="BodyText"/>
        <w:spacing w:before="39" w:after="0" w:line="240" w:lineRule="auto"/>
        <w:jc w:val="left"/>
      </w:pPr>
      <w:r>
        <w:rPr>
          <w:noProof/>
          <w:lang w:eastAsia="en-GB"/>
        </w:rPr>
        <w:drawing>
          <wp:inline distT="0" distB="0" distL="0" distR="0" wp14:anchorId="29E45D2B" wp14:editId="29E45D2C">
            <wp:extent cx="4572000" cy="2286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9E45BCA" w14:textId="77777777" w:rsidR="00F3387B" w:rsidRDefault="00F3387B" w:rsidP="00F3387B">
      <w:pPr>
        <w:pStyle w:val="Source"/>
      </w:pPr>
      <w:r>
        <w:t>Note: EU countries counted individually.</w:t>
      </w:r>
      <w:r>
        <w:br/>
        <w:t xml:space="preserve">Source: Authors’ calculation using data from the UN’s </w:t>
      </w:r>
      <w:proofErr w:type="spellStart"/>
      <w:r>
        <w:t>COMTRADE</w:t>
      </w:r>
      <w:proofErr w:type="spellEnd"/>
      <w:r>
        <w:t xml:space="preserve"> database.</w:t>
      </w:r>
    </w:p>
    <w:p w14:paraId="29E45BCB" w14:textId="77777777" w:rsidR="007C3BA6" w:rsidRDefault="007C3BA6" w:rsidP="00F3387B">
      <w:pPr>
        <w:pStyle w:val="Source"/>
      </w:pPr>
    </w:p>
    <w:p w14:paraId="29E45BCC" w14:textId="77777777" w:rsidR="00F3387B" w:rsidRDefault="00F3387B" w:rsidP="00F3387B">
      <w:pPr>
        <w:pStyle w:val="FigureHeading"/>
        <w:spacing w:before="0"/>
      </w:pPr>
      <w:bookmarkStart w:id="89" w:name="_Toc405466110"/>
      <w:bookmarkStart w:id="90" w:name="_Toc428448513"/>
      <w:r>
        <w:t>Number of import items and suppliers, Yemen, 2006–13</w:t>
      </w:r>
      <w:bookmarkEnd w:id="89"/>
      <w:bookmarkEnd w:id="90"/>
    </w:p>
    <w:p w14:paraId="29E45BCD" w14:textId="77777777" w:rsidR="00F3387B" w:rsidRDefault="00F3387B" w:rsidP="00F3387B">
      <w:pPr>
        <w:pStyle w:val="Source"/>
        <w:spacing w:after="0"/>
      </w:pPr>
      <w:r>
        <w:rPr>
          <w:noProof/>
          <w:lang w:eastAsia="en-GB"/>
        </w:rPr>
        <w:drawing>
          <wp:inline distT="0" distB="0" distL="0" distR="0" wp14:anchorId="29E45D2D" wp14:editId="29E45D2E">
            <wp:extent cx="4572000" cy="22860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9E45BCE" w14:textId="77777777" w:rsidR="00F3387B" w:rsidRDefault="00F3387B" w:rsidP="00F3387B">
      <w:pPr>
        <w:pStyle w:val="Source"/>
        <w:spacing w:before="0"/>
      </w:pPr>
      <w:r>
        <w:t>Note: EU countries counted individually.</w:t>
      </w:r>
      <w:r>
        <w:br/>
        <w:t xml:space="preserve">Source: Authors’ calculation using data from the UN’s </w:t>
      </w:r>
      <w:proofErr w:type="spellStart"/>
      <w:r>
        <w:t>COMTRADE</w:t>
      </w:r>
      <w:proofErr w:type="spellEnd"/>
      <w:r>
        <w:t xml:space="preserve"> database.</w:t>
      </w:r>
    </w:p>
    <w:p w14:paraId="29E45BCF" w14:textId="77777777" w:rsidR="00F3387B" w:rsidRDefault="00F3387B">
      <w:r>
        <w:br w:type="page"/>
      </w:r>
    </w:p>
    <w:p w14:paraId="29E45BD1" w14:textId="77777777" w:rsidR="00BD4A20" w:rsidRDefault="00BD4A20" w:rsidP="00BD4A20">
      <w:pPr>
        <w:pStyle w:val="Heading2"/>
      </w:pPr>
      <w:bookmarkStart w:id="91" w:name="_Toc409172708"/>
      <w:bookmarkStart w:id="92" w:name="_Toc409174188"/>
      <w:bookmarkStart w:id="93" w:name="_Toc409179346"/>
      <w:bookmarkStart w:id="94" w:name="_Toc428448514"/>
      <w:bookmarkStart w:id="95" w:name="_Toc408311614"/>
      <w:r>
        <w:t>Revealed comparative advantage</w:t>
      </w:r>
      <w:bookmarkEnd w:id="91"/>
      <w:bookmarkEnd w:id="92"/>
      <w:bookmarkEnd w:id="93"/>
      <w:bookmarkEnd w:id="94"/>
    </w:p>
    <w:p w14:paraId="29E45BD2" w14:textId="77777777" w:rsidR="00BD4A20" w:rsidRPr="0063355C" w:rsidRDefault="00BD4A20" w:rsidP="00BD4A20">
      <w:pPr>
        <w:pStyle w:val="TableHeading"/>
      </w:pPr>
      <w:bookmarkStart w:id="96" w:name="_Toc409172709"/>
      <w:bookmarkStart w:id="97" w:name="_Toc409174189"/>
      <w:bookmarkStart w:id="98" w:name="_Toc409179347"/>
      <w:bookmarkStart w:id="99" w:name="_Toc428448515"/>
      <w:r>
        <w:t>Revealed comparative advantage by HS Section,</w:t>
      </w:r>
      <w:bookmarkEnd w:id="96"/>
      <w:bookmarkEnd w:id="97"/>
      <w:bookmarkEnd w:id="98"/>
      <w:r>
        <w:t xml:space="preserve"> Yemen</w:t>
      </w:r>
      <w:bookmarkEnd w:id="99"/>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605"/>
        <w:gridCol w:w="4110"/>
        <w:gridCol w:w="516"/>
        <w:gridCol w:w="516"/>
        <w:gridCol w:w="516"/>
        <w:gridCol w:w="515"/>
        <w:gridCol w:w="515"/>
        <w:gridCol w:w="516"/>
        <w:gridCol w:w="515"/>
        <w:gridCol w:w="516"/>
      </w:tblGrid>
      <w:tr w:rsidR="00BD4A20" w:rsidRPr="0063355C" w14:paraId="29E45BDD" w14:textId="77777777" w:rsidTr="00BD4A20">
        <w:trPr>
          <w:trHeight w:val="240"/>
        </w:trPr>
        <w:tc>
          <w:tcPr>
            <w:tcW w:w="605" w:type="dxa"/>
            <w:shd w:val="clear" w:color="auto" w:fill="E0E0E0" w:themeFill="accent4"/>
            <w:hideMark/>
          </w:tcPr>
          <w:p w14:paraId="29E45BD3" w14:textId="77777777" w:rsidR="00BD4A20" w:rsidRPr="0063355C" w:rsidRDefault="00BD4A20" w:rsidP="00417AEB">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4110" w:type="dxa"/>
            <w:shd w:val="clear" w:color="auto" w:fill="E0E0E0" w:themeFill="accent4"/>
            <w:hideMark/>
          </w:tcPr>
          <w:p w14:paraId="29E45BD4" w14:textId="77777777" w:rsidR="00BD4A20" w:rsidRPr="0063355C" w:rsidRDefault="00BD4A20" w:rsidP="00417AEB">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516" w:type="dxa"/>
            <w:shd w:val="clear" w:color="auto" w:fill="E0E0E0" w:themeFill="accent4"/>
            <w:hideMark/>
          </w:tcPr>
          <w:p w14:paraId="29E45BD5" w14:textId="77777777" w:rsidR="00BD4A20" w:rsidRPr="0063355C" w:rsidRDefault="00BD4A20" w:rsidP="00417AEB">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516" w:type="dxa"/>
            <w:shd w:val="clear" w:color="auto" w:fill="E0E0E0" w:themeFill="accent4"/>
            <w:hideMark/>
          </w:tcPr>
          <w:p w14:paraId="29E45BD6" w14:textId="77777777" w:rsidR="00BD4A20" w:rsidRPr="0063355C" w:rsidRDefault="00BD4A20" w:rsidP="00417AEB">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516" w:type="dxa"/>
            <w:shd w:val="clear" w:color="auto" w:fill="E0E0E0" w:themeFill="accent4"/>
            <w:hideMark/>
          </w:tcPr>
          <w:p w14:paraId="29E45BD7" w14:textId="77777777" w:rsidR="00BD4A20" w:rsidRPr="0063355C" w:rsidRDefault="00BD4A20" w:rsidP="00417AEB">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515" w:type="dxa"/>
            <w:shd w:val="clear" w:color="auto" w:fill="E0E0E0" w:themeFill="accent4"/>
            <w:hideMark/>
          </w:tcPr>
          <w:p w14:paraId="29E45BD8" w14:textId="77777777" w:rsidR="00BD4A20" w:rsidRPr="0063355C" w:rsidRDefault="00BD4A20" w:rsidP="00417AEB">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515" w:type="dxa"/>
            <w:shd w:val="clear" w:color="auto" w:fill="E0E0E0" w:themeFill="accent4"/>
            <w:hideMark/>
          </w:tcPr>
          <w:p w14:paraId="29E45BD9" w14:textId="77777777" w:rsidR="00BD4A20" w:rsidRPr="0063355C" w:rsidRDefault="00BD4A20" w:rsidP="00417AEB">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516" w:type="dxa"/>
            <w:shd w:val="clear" w:color="auto" w:fill="E0E0E0" w:themeFill="accent4"/>
            <w:hideMark/>
          </w:tcPr>
          <w:p w14:paraId="29E45BDA" w14:textId="77777777" w:rsidR="00BD4A20" w:rsidRPr="0063355C" w:rsidRDefault="00BD4A20" w:rsidP="00417AEB">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515" w:type="dxa"/>
            <w:shd w:val="clear" w:color="auto" w:fill="E0E0E0" w:themeFill="accent4"/>
            <w:hideMark/>
          </w:tcPr>
          <w:p w14:paraId="29E45BDB" w14:textId="77777777" w:rsidR="00BD4A20" w:rsidRPr="0063355C" w:rsidRDefault="00BD4A20" w:rsidP="00417AEB">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516" w:type="dxa"/>
            <w:shd w:val="clear" w:color="auto" w:fill="E0E0E0" w:themeFill="accent4"/>
            <w:hideMark/>
          </w:tcPr>
          <w:p w14:paraId="29E45BDC" w14:textId="77777777" w:rsidR="00BD4A20" w:rsidRPr="0063355C" w:rsidRDefault="00BD4A20" w:rsidP="00417AEB">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BD4A20" w:rsidRPr="0063355C" w14:paraId="29E45BE8" w14:textId="77777777" w:rsidTr="00BD4A20">
        <w:trPr>
          <w:trHeight w:val="240"/>
        </w:trPr>
        <w:tc>
          <w:tcPr>
            <w:tcW w:w="605" w:type="dxa"/>
            <w:shd w:val="clear" w:color="auto" w:fill="auto"/>
            <w:noWrap/>
            <w:hideMark/>
          </w:tcPr>
          <w:p w14:paraId="29E45BDE" w14:textId="77777777" w:rsidR="00BD4A20" w:rsidRPr="0063355C" w:rsidRDefault="00BD4A20" w:rsidP="00417AEB">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4110" w:type="dxa"/>
            <w:shd w:val="clear" w:color="auto" w:fill="auto"/>
            <w:noWrap/>
            <w:hideMark/>
          </w:tcPr>
          <w:p w14:paraId="29E45BDF" w14:textId="77777777" w:rsidR="00BD4A20" w:rsidRPr="0063355C" w:rsidRDefault="00BD4A20" w:rsidP="00417AEB">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516" w:type="dxa"/>
            <w:shd w:val="clear" w:color="auto" w:fill="auto"/>
            <w:noWrap/>
            <w:vAlign w:val="center"/>
          </w:tcPr>
          <w:p w14:paraId="29E45BE0" w14:textId="77777777" w:rsidR="00BD4A20" w:rsidRPr="00BD4A20" w:rsidRDefault="00BD4A20" w:rsidP="00417AEB">
            <w:pPr>
              <w:spacing w:line="220" w:lineRule="atLeast"/>
              <w:jc w:val="center"/>
              <w:rPr>
                <w:rFonts w:ascii="Arial" w:eastAsia="Times New Roman" w:hAnsi="Arial" w:cs="Arial"/>
                <w:b/>
                <w:bCs/>
                <w:color w:val="000000"/>
                <w:sz w:val="16"/>
                <w:szCs w:val="18"/>
                <w:lang w:eastAsia="en-GB"/>
              </w:rPr>
            </w:pPr>
            <w:r w:rsidRPr="00BD4A20">
              <w:rPr>
                <w:rFonts w:ascii="Arial" w:eastAsia="Times New Roman" w:hAnsi="Arial" w:cs="Arial"/>
                <w:b/>
                <w:bCs/>
                <w:color w:val="000000"/>
                <w:sz w:val="16"/>
                <w:szCs w:val="18"/>
                <w:lang w:eastAsia="en-GB"/>
              </w:rPr>
              <w:t>1.00</w:t>
            </w:r>
          </w:p>
        </w:tc>
        <w:tc>
          <w:tcPr>
            <w:tcW w:w="516" w:type="dxa"/>
            <w:shd w:val="clear" w:color="auto" w:fill="auto"/>
            <w:noWrap/>
            <w:vAlign w:val="center"/>
          </w:tcPr>
          <w:p w14:paraId="29E45BE1" w14:textId="77777777" w:rsidR="00BD4A20" w:rsidRPr="00BD4A20" w:rsidRDefault="00BD4A20" w:rsidP="00417AEB">
            <w:pPr>
              <w:spacing w:line="220" w:lineRule="atLeast"/>
              <w:jc w:val="center"/>
              <w:rPr>
                <w:rFonts w:ascii="Arial" w:eastAsia="Times New Roman" w:hAnsi="Arial" w:cs="Arial"/>
                <w:b/>
                <w:bCs/>
                <w:color w:val="000000"/>
                <w:sz w:val="16"/>
                <w:szCs w:val="18"/>
                <w:lang w:eastAsia="en-GB"/>
              </w:rPr>
            </w:pPr>
            <w:r w:rsidRPr="00BD4A20">
              <w:rPr>
                <w:rFonts w:ascii="Arial" w:eastAsia="Times New Roman" w:hAnsi="Arial" w:cs="Arial"/>
                <w:b/>
                <w:bCs/>
                <w:color w:val="000000"/>
                <w:sz w:val="16"/>
                <w:szCs w:val="18"/>
                <w:lang w:eastAsia="en-GB"/>
              </w:rPr>
              <w:t>1.00</w:t>
            </w:r>
          </w:p>
        </w:tc>
        <w:tc>
          <w:tcPr>
            <w:tcW w:w="516" w:type="dxa"/>
            <w:shd w:val="clear" w:color="auto" w:fill="auto"/>
            <w:noWrap/>
            <w:vAlign w:val="center"/>
          </w:tcPr>
          <w:p w14:paraId="29E45BE2" w14:textId="77777777" w:rsidR="00BD4A20" w:rsidRPr="00BD4A20" w:rsidRDefault="00BD4A20" w:rsidP="00417AEB">
            <w:pPr>
              <w:spacing w:line="220" w:lineRule="atLeast"/>
              <w:jc w:val="center"/>
              <w:rPr>
                <w:rFonts w:ascii="Arial" w:eastAsia="Times New Roman" w:hAnsi="Arial" w:cs="Arial"/>
                <w:b/>
                <w:bCs/>
                <w:color w:val="000000"/>
                <w:sz w:val="16"/>
                <w:szCs w:val="18"/>
                <w:lang w:eastAsia="en-GB"/>
              </w:rPr>
            </w:pPr>
            <w:r w:rsidRPr="00BD4A20">
              <w:rPr>
                <w:rFonts w:ascii="Arial" w:eastAsia="Times New Roman" w:hAnsi="Arial" w:cs="Arial"/>
                <w:b/>
                <w:bCs/>
                <w:color w:val="000000"/>
                <w:sz w:val="16"/>
                <w:szCs w:val="18"/>
                <w:lang w:eastAsia="en-GB"/>
              </w:rPr>
              <w:t>1.00</w:t>
            </w:r>
          </w:p>
        </w:tc>
        <w:tc>
          <w:tcPr>
            <w:tcW w:w="515" w:type="dxa"/>
            <w:shd w:val="clear" w:color="auto" w:fill="auto"/>
            <w:noWrap/>
            <w:vAlign w:val="center"/>
          </w:tcPr>
          <w:p w14:paraId="29E45BE3" w14:textId="77777777" w:rsidR="00BD4A20" w:rsidRPr="00BD4A20" w:rsidRDefault="00BD4A20" w:rsidP="00417AEB">
            <w:pPr>
              <w:spacing w:line="220" w:lineRule="atLeast"/>
              <w:jc w:val="center"/>
              <w:rPr>
                <w:rFonts w:ascii="Arial" w:eastAsia="Times New Roman" w:hAnsi="Arial" w:cs="Arial"/>
                <w:b/>
                <w:bCs/>
                <w:color w:val="000000"/>
                <w:sz w:val="16"/>
                <w:szCs w:val="18"/>
                <w:lang w:eastAsia="en-GB"/>
              </w:rPr>
            </w:pPr>
            <w:r w:rsidRPr="00BD4A20">
              <w:rPr>
                <w:rFonts w:ascii="Arial" w:eastAsia="Times New Roman" w:hAnsi="Arial" w:cs="Arial"/>
                <w:b/>
                <w:bCs/>
                <w:color w:val="000000"/>
                <w:sz w:val="16"/>
                <w:szCs w:val="18"/>
                <w:lang w:eastAsia="en-GB"/>
              </w:rPr>
              <w:t>1.00</w:t>
            </w:r>
          </w:p>
        </w:tc>
        <w:tc>
          <w:tcPr>
            <w:tcW w:w="515" w:type="dxa"/>
            <w:shd w:val="clear" w:color="auto" w:fill="auto"/>
            <w:noWrap/>
            <w:vAlign w:val="center"/>
          </w:tcPr>
          <w:p w14:paraId="29E45BE4" w14:textId="77777777" w:rsidR="00BD4A20" w:rsidRPr="00BD4A20" w:rsidRDefault="00BD4A20" w:rsidP="00417AEB">
            <w:pPr>
              <w:spacing w:line="220" w:lineRule="atLeast"/>
              <w:jc w:val="center"/>
              <w:rPr>
                <w:rFonts w:ascii="Arial" w:eastAsia="Times New Roman" w:hAnsi="Arial" w:cs="Arial"/>
                <w:b/>
                <w:bCs/>
                <w:color w:val="000000"/>
                <w:sz w:val="16"/>
                <w:szCs w:val="18"/>
                <w:lang w:eastAsia="en-GB"/>
              </w:rPr>
            </w:pPr>
            <w:r w:rsidRPr="00BD4A20">
              <w:rPr>
                <w:rFonts w:ascii="Arial" w:eastAsia="Times New Roman" w:hAnsi="Arial" w:cs="Arial"/>
                <w:b/>
                <w:bCs/>
                <w:color w:val="000000"/>
                <w:sz w:val="16"/>
                <w:szCs w:val="18"/>
                <w:lang w:eastAsia="en-GB"/>
              </w:rPr>
              <w:t>1.00</w:t>
            </w:r>
          </w:p>
        </w:tc>
        <w:tc>
          <w:tcPr>
            <w:tcW w:w="516" w:type="dxa"/>
            <w:shd w:val="clear" w:color="auto" w:fill="auto"/>
            <w:noWrap/>
            <w:vAlign w:val="center"/>
          </w:tcPr>
          <w:p w14:paraId="29E45BE5" w14:textId="77777777" w:rsidR="00BD4A20" w:rsidRPr="00BD4A20" w:rsidRDefault="00BD4A20" w:rsidP="00417AEB">
            <w:pPr>
              <w:spacing w:line="220" w:lineRule="atLeast"/>
              <w:jc w:val="center"/>
              <w:rPr>
                <w:rFonts w:ascii="Arial" w:eastAsia="Times New Roman" w:hAnsi="Arial" w:cs="Arial"/>
                <w:b/>
                <w:bCs/>
                <w:color w:val="000000"/>
                <w:sz w:val="16"/>
                <w:szCs w:val="18"/>
                <w:lang w:eastAsia="en-GB"/>
              </w:rPr>
            </w:pPr>
            <w:r w:rsidRPr="00BD4A20">
              <w:rPr>
                <w:rFonts w:ascii="Arial" w:eastAsia="Times New Roman" w:hAnsi="Arial" w:cs="Arial"/>
                <w:b/>
                <w:bCs/>
                <w:color w:val="000000"/>
                <w:sz w:val="16"/>
                <w:szCs w:val="18"/>
                <w:lang w:eastAsia="en-GB"/>
              </w:rPr>
              <w:t>1.00</w:t>
            </w:r>
          </w:p>
        </w:tc>
        <w:tc>
          <w:tcPr>
            <w:tcW w:w="515" w:type="dxa"/>
            <w:shd w:val="clear" w:color="auto" w:fill="auto"/>
            <w:noWrap/>
            <w:vAlign w:val="center"/>
          </w:tcPr>
          <w:p w14:paraId="29E45BE6" w14:textId="77777777" w:rsidR="00BD4A20" w:rsidRPr="00BD4A20" w:rsidRDefault="00BD4A20" w:rsidP="00417AEB">
            <w:pPr>
              <w:spacing w:line="220" w:lineRule="atLeast"/>
              <w:jc w:val="center"/>
              <w:rPr>
                <w:rFonts w:ascii="Arial" w:eastAsia="Times New Roman" w:hAnsi="Arial" w:cs="Arial"/>
                <w:b/>
                <w:bCs/>
                <w:color w:val="000000"/>
                <w:sz w:val="16"/>
                <w:szCs w:val="18"/>
                <w:lang w:eastAsia="en-GB"/>
              </w:rPr>
            </w:pPr>
            <w:r w:rsidRPr="00BD4A20">
              <w:rPr>
                <w:rFonts w:ascii="Arial" w:eastAsia="Times New Roman" w:hAnsi="Arial" w:cs="Arial"/>
                <w:b/>
                <w:bCs/>
                <w:color w:val="000000"/>
                <w:sz w:val="16"/>
                <w:szCs w:val="18"/>
                <w:lang w:eastAsia="en-GB"/>
              </w:rPr>
              <w:t>1.00</w:t>
            </w:r>
          </w:p>
        </w:tc>
        <w:tc>
          <w:tcPr>
            <w:tcW w:w="516" w:type="dxa"/>
            <w:shd w:val="clear" w:color="auto" w:fill="auto"/>
            <w:noWrap/>
            <w:vAlign w:val="center"/>
          </w:tcPr>
          <w:p w14:paraId="29E45BE7" w14:textId="77777777" w:rsidR="00BD4A20" w:rsidRPr="00BD4A20" w:rsidRDefault="00BD4A20" w:rsidP="00417AEB">
            <w:pPr>
              <w:spacing w:line="220" w:lineRule="atLeast"/>
              <w:jc w:val="center"/>
              <w:rPr>
                <w:rFonts w:ascii="Arial" w:eastAsia="Times New Roman" w:hAnsi="Arial" w:cs="Arial"/>
                <w:b/>
                <w:bCs/>
                <w:color w:val="000000"/>
                <w:sz w:val="16"/>
                <w:szCs w:val="18"/>
                <w:lang w:eastAsia="en-GB"/>
              </w:rPr>
            </w:pPr>
            <w:r w:rsidRPr="00BD4A20">
              <w:rPr>
                <w:rFonts w:ascii="Arial" w:eastAsia="Times New Roman" w:hAnsi="Arial" w:cs="Arial"/>
                <w:b/>
                <w:bCs/>
                <w:color w:val="000000"/>
                <w:sz w:val="16"/>
                <w:szCs w:val="18"/>
                <w:lang w:eastAsia="en-GB"/>
              </w:rPr>
              <w:t>1.00</w:t>
            </w:r>
          </w:p>
        </w:tc>
      </w:tr>
      <w:tr w:rsidR="00BD4A20" w:rsidRPr="0063355C" w14:paraId="29E45BF3" w14:textId="77777777" w:rsidTr="00BD4A20">
        <w:trPr>
          <w:trHeight w:val="240"/>
        </w:trPr>
        <w:tc>
          <w:tcPr>
            <w:tcW w:w="605" w:type="dxa"/>
            <w:shd w:val="clear" w:color="auto" w:fill="auto"/>
            <w:noWrap/>
            <w:hideMark/>
          </w:tcPr>
          <w:p w14:paraId="29E45BE9"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4110" w:type="dxa"/>
            <w:shd w:val="clear" w:color="auto" w:fill="auto"/>
            <w:noWrap/>
            <w:vAlign w:val="center"/>
            <w:hideMark/>
          </w:tcPr>
          <w:p w14:paraId="29E45BEA"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516" w:type="dxa"/>
            <w:shd w:val="clear" w:color="auto" w:fill="auto"/>
            <w:noWrap/>
            <w:vAlign w:val="center"/>
          </w:tcPr>
          <w:p w14:paraId="29E45BEB"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1.28</w:t>
            </w:r>
          </w:p>
        </w:tc>
        <w:tc>
          <w:tcPr>
            <w:tcW w:w="516" w:type="dxa"/>
            <w:shd w:val="clear" w:color="auto" w:fill="auto"/>
            <w:noWrap/>
            <w:vAlign w:val="center"/>
          </w:tcPr>
          <w:p w14:paraId="29E45BE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1.59</w:t>
            </w:r>
          </w:p>
        </w:tc>
        <w:tc>
          <w:tcPr>
            <w:tcW w:w="516" w:type="dxa"/>
            <w:shd w:val="clear" w:color="auto" w:fill="auto"/>
            <w:noWrap/>
            <w:vAlign w:val="center"/>
          </w:tcPr>
          <w:p w14:paraId="29E45BE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1.66</w:t>
            </w:r>
          </w:p>
        </w:tc>
        <w:tc>
          <w:tcPr>
            <w:tcW w:w="515" w:type="dxa"/>
            <w:shd w:val="clear" w:color="auto" w:fill="auto"/>
            <w:noWrap/>
            <w:vAlign w:val="center"/>
          </w:tcPr>
          <w:p w14:paraId="29E45BEE"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1.53</w:t>
            </w:r>
          </w:p>
        </w:tc>
        <w:tc>
          <w:tcPr>
            <w:tcW w:w="515" w:type="dxa"/>
            <w:shd w:val="clear" w:color="auto" w:fill="auto"/>
            <w:noWrap/>
            <w:vAlign w:val="center"/>
          </w:tcPr>
          <w:p w14:paraId="29E45BEF"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1.91</w:t>
            </w:r>
          </w:p>
        </w:tc>
        <w:tc>
          <w:tcPr>
            <w:tcW w:w="516" w:type="dxa"/>
            <w:shd w:val="clear" w:color="auto" w:fill="auto"/>
            <w:noWrap/>
            <w:vAlign w:val="center"/>
          </w:tcPr>
          <w:p w14:paraId="29E45BF0"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2.00</w:t>
            </w:r>
          </w:p>
        </w:tc>
        <w:tc>
          <w:tcPr>
            <w:tcW w:w="515" w:type="dxa"/>
            <w:shd w:val="clear" w:color="auto" w:fill="auto"/>
            <w:noWrap/>
            <w:vAlign w:val="center"/>
          </w:tcPr>
          <w:p w14:paraId="29E45BF1"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1.68</w:t>
            </w:r>
          </w:p>
        </w:tc>
        <w:tc>
          <w:tcPr>
            <w:tcW w:w="516" w:type="dxa"/>
            <w:shd w:val="clear" w:color="auto" w:fill="auto"/>
            <w:noWrap/>
            <w:vAlign w:val="center"/>
          </w:tcPr>
          <w:p w14:paraId="29E45BF2"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1.77</w:t>
            </w:r>
          </w:p>
        </w:tc>
      </w:tr>
      <w:tr w:rsidR="00BD4A20" w:rsidRPr="0063355C" w14:paraId="29E45BFE" w14:textId="77777777" w:rsidTr="00BD4A20">
        <w:trPr>
          <w:trHeight w:val="240"/>
        </w:trPr>
        <w:tc>
          <w:tcPr>
            <w:tcW w:w="605" w:type="dxa"/>
            <w:shd w:val="clear" w:color="auto" w:fill="auto"/>
            <w:noWrap/>
            <w:hideMark/>
          </w:tcPr>
          <w:p w14:paraId="29E45BF4"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4110" w:type="dxa"/>
            <w:shd w:val="clear" w:color="auto" w:fill="auto"/>
            <w:noWrap/>
            <w:vAlign w:val="center"/>
            <w:hideMark/>
          </w:tcPr>
          <w:p w14:paraId="29E45BF5"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516" w:type="dxa"/>
            <w:shd w:val="clear" w:color="auto" w:fill="auto"/>
            <w:noWrap/>
            <w:vAlign w:val="center"/>
          </w:tcPr>
          <w:p w14:paraId="29E45BF6"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0.47</w:t>
            </w:r>
          </w:p>
        </w:tc>
        <w:tc>
          <w:tcPr>
            <w:tcW w:w="516" w:type="dxa"/>
            <w:shd w:val="clear" w:color="auto" w:fill="auto"/>
            <w:noWrap/>
            <w:vAlign w:val="center"/>
          </w:tcPr>
          <w:p w14:paraId="29E45BF7"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0.48</w:t>
            </w:r>
          </w:p>
        </w:tc>
        <w:tc>
          <w:tcPr>
            <w:tcW w:w="516" w:type="dxa"/>
            <w:shd w:val="clear" w:color="auto" w:fill="auto"/>
            <w:noWrap/>
            <w:vAlign w:val="center"/>
          </w:tcPr>
          <w:p w14:paraId="29E45BF8"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0.58</w:t>
            </w:r>
          </w:p>
        </w:tc>
        <w:tc>
          <w:tcPr>
            <w:tcW w:w="515" w:type="dxa"/>
            <w:shd w:val="clear" w:color="auto" w:fill="auto"/>
            <w:noWrap/>
            <w:vAlign w:val="center"/>
          </w:tcPr>
          <w:p w14:paraId="29E45BF9"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0.59</w:t>
            </w:r>
          </w:p>
        </w:tc>
        <w:tc>
          <w:tcPr>
            <w:tcW w:w="515" w:type="dxa"/>
            <w:shd w:val="clear" w:color="auto" w:fill="auto"/>
            <w:noWrap/>
            <w:vAlign w:val="center"/>
          </w:tcPr>
          <w:p w14:paraId="29E45BFA"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0.64</w:t>
            </w:r>
          </w:p>
        </w:tc>
        <w:tc>
          <w:tcPr>
            <w:tcW w:w="516" w:type="dxa"/>
            <w:shd w:val="clear" w:color="auto" w:fill="auto"/>
            <w:noWrap/>
            <w:vAlign w:val="center"/>
          </w:tcPr>
          <w:p w14:paraId="29E45BFB"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0.84</w:t>
            </w:r>
          </w:p>
        </w:tc>
        <w:tc>
          <w:tcPr>
            <w:tcW w:w="515" w:type="dxa"/>
            <w:shd w:val="clear" w:color="auto" w:fill="auto"/>
            <w:noWrap/>
            <w:vAlign w:val="center"/>
          </w:tcPr>
          <w:p w14:paraId="29E45BF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0.71</w:t>
            </w:r>
          </w:p>
        </w:tc>
        <w:tc>
          <w:tcPr>
            <w:tcW w:w="516" w:type="dxa"/>
            <w:shd w:val="clear" w:color="auto" w:fill="auto"/>
            <w:noWrap/>
            <w:vAlign w:val="center"/>
          </w:tcPr>
          <w:p w14:paraId="29E45BF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0.70</w:t>
            </w:r>
          </w:p>
        </w:tc>
      </w:tr>
      <w:tr w:rsidR="00BD4A20" w:rsidRPr="0063355C" w14:paraId="29E45C09" w14:textId="77777777" w:rsidTr="00BD4A20">
        <w:trPr>
          <w:trHeight w:val="240"/>
        </w:trPr>
        <w:tc>
          <w:tcPr>
            <w:tcW w:w="605" w:type="dxa"/>
            <w:shd w:val="clear" w:color="auto" w:fill="auto"/>
            <w:noWrap/>
            <w:hideMark/>
          </w:tcPr>
          <w:p w14:paraId="29E45BFF"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4110" w:type="dxa"/>
            <w:shd w:val="clear" w:color="auto" w:fill="auto"/>
            <w:noWrap/>
            <w:vAlign w:val="center"/>
            <w:hideMark/>
          </w:tcPr>
          <w:p w14:paraId="29E45C00"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516" w:type="dxa"/>
            <w:shd w:val="clear" w:color="auto" w:fill="auto"/>
            <w:noWrap/>
            <w:vAlign w:val="center"/>
          </w:tcPr>
          <w:p w14:paraId="29E45C01"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0.28</w:t>
            </w:r>
          </w:p>
        </w:tc>
        <w:tc>
          <w:tcPr>
            <w:tcW w:w="516" w:type="dxa"/>
            <w:shd w:val="clear" w:color="auto" w:fill="auto"/>
            <w:noWrap/>
            <w:vAlign w:val="center"/>
          </w:tcPr>
          <w:p w14:paraId="29E45C02"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0.23</w:t>
            </w:r>
          </w:p>
        </w:tc>
        <w:tc>
          <w:tcPr>
            <w:tcW w:w="516" w:type="dxa"/>
            <w:shd w:val="clear" w:color="auto" w:fill="auto"/>
            <w:noWrap/>
            <w:vAlign w:val="center"/>
          </w:tcPr>
          <w:p w14:paraId="29E45C03"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0.14</w:t>
            </w:r>
          </w:p>
        </w:tc>
        <w:tc>
          <w:tcPr>
            <w:tcW w:w="515" w:type="dxa"/>
            <w:shd w:val="clear" w:color="auto" w:fill="auto"/>
            <w:noWrap/>
            <w:vAlign w:val="center"/>
          </w:tcPr>
          <w:p w14:paraId="29E45C04"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0.09</w:t>
            </w:r>
          </w:p>
        </w:tc>
        <w:tc>
          <w:tcPr>
            <w:tcW w:w="515" w:type="dxa"/>
            <w:shd w:val="clear" w:color="auto" w:fill="auto"/>
            <w:noWrap/>
            <w:vAlign w:val="center"/>
          </w:tcPr>
          <w:p w14:paraId="29E45C05"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0.15</w:t>
            </w:r>
          </w:p>
        </w:tc>
        <w:tc>
          <w:tcPr>
            <w:tcW w:w="516" w:type="dxa"/>
            <w:shd w:val="clear" w:color="auto" w:fill="auto"/>
            <w:noWrap/>
            <w:vAlign w:val="center"/>
          </w:tcPr>
          <w:p w14:paraId="29E45C06"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0.21</w:t>
            </w:r>
          </w:p>
        </w:tc>
        <w:tc>
          <w:tcPr>
            <w:tcW w:w="515" w:type="dxa"/>
            <w:shd w:val="clear" w:color="auto" w:fill="auto"/>
            <w:noWrap/>
            <w:vAlign w:val="center"/>
          </w:tcPr>
          <w:p w14:paraId="29E45C07"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0.20</w:t>
            </w:r>
          </w:p>
        </w:tc>
        <w:tc>
          <w:tcPr>
            <w:tcW w:w="516" w:type="dxa"/>
            <w:shd w:val="clear" w:color="auto" w:fill="auto"/>
            <w:noWrap/>
            <w:vAlign w:val="center"/>
          </w:tcPr>
          <w:p w14:paraId="29E45C08"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0.16</w:t>
            </w:r>
          </w:p>
        </w:tc>
      </w:tr>
      <w:tr w:rsidR="00BD4A20" w:rsidRPr="0063355C" w14:paraId="29E45C14" w14:textId="77777777" w:rsidTr="00BD4A20">
        <w:trPr>
          <w:trHeight w:val="240"/>
        </w:trPr>
        <w:tc>
          <w:tcPr>
            <w:tcW w:w="605" w:type="dxa"/>
            <w:shd w:val="clear" w:color="auto" w:fill="auto"/>
            <w:noWrap/>
            <w:hideMark/>
          </w:tcPr>
          <w:p w14:paraId="29E45C0A"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4110" w:type="dxa"/>
            <w:shd w:val="clear" w:color="auto" w:fill="auto"/>
            <w:noWrap/>
            <w:vAlign w:val="center"/>
            <w:hideMark/>
          </w:tcPr>
          <w:p w14:paraId="29E45C0B"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516" w:type="dxa"/>
            <w:shd w:val="clear" w:color="auto" w:fill="auto"/>
            <w:noWrap/>
            <w:vAlign w:val="center"/>
          </w:tcPr>
          <w:p w14:paraId="29E45C0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0.32</w:t>
            </w:r>
          </w:p>
        </w:tc>
        <w:tc>
          <w:tcPr>
            <w:tcW w:w="516" w:type="dxa"/>
            <w:shd w:val="clear" w:color="auto" w:fill="auto"/>
            <w:noWrap/>
            <w:vAlign w:val="center"/>
          </w:tcPr>
          <w:p w14:paraId="29E45C0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0.47</w:t>
            </w:r>
          </w:p>
        </w:tc>
        <w:tc>
          <w:tcPr>
            <w:tcW w:w="516" w:type="dxa"/>
            <w:shd w:val="clear" w:color="auto" w:fill="auto"/>
            <w:noWrap/>
            <w:vAlign w:val="center"/>
          </w:tcPr>
          <w:p w14:paraId="29E45C0E"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0.29</w:t>
            </w:r>
          </w:p>
        </w:tc>
        <w:tc>
          <w:tcPr>
            <w:tcW w:w="515" w:type="dxa"/>
            <w:shd w:val="clear" w:color="auto" w:fill="auto"/>
            <w:noWrap/>
            <w:vAlign w:val="center"/>
          </w:tcPr>
          <w:p w14:paraId="29E45C0F"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0.27</w:t>
            </w:r>
          </w:p>
        </w:tc>
        <w:tc>
          <w:tcPr>
            <w:tcW w:w="515" w:type="dxa"/>
            <w:shd w:val="clear" w:color="auto" w:fill="auto"/>
            <w:noWrap/>
            <w:vAlign w:val="center"/>
          </w:tcPr>
          <w:p w14:paraId="29E45C10"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0.40</w:t>
            </w:r>
          </w:p>
        </w:tc>
        <w:tc>
          <w:tcPr>
            <w:tcW w:w="516" w:type="dxa"/>
            <w:shd w:val="clear" w:color="auto" w:fill="auto"/>
            <w:noWrap/>
            <w:vAlign w:val="center"/>
          </w:tcPr>
          <w:p w14:paraId="29E45C11"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0.37</w:t>
            </w:r>
          </w:p>
        </w:tc>
        <w:tc>
          <w:tcPr>
            <w:tcW w:w="515" w:type="dxa"/>
            <w:shd w:val="clear" w:color="auto" w:fill="auto"/>
            <w:noWrap/>
            <w:vAlign w:val="center"/>
          </w:tcPr>
          <w:p w14:paraId="29E45C12"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0.31</w:t>
            </w:r>
          </w:p>
        </w:tc>
        <w:tc>
          <w:tcPr>
            <w:tcW w:w="516" w:type="dxa"/>
            <w:shd w:val="clear" w:color="auto" w:fill="auto"/>
            <w:noWrap/>
            <w:vAlign w:val="center"/>
          </w:tcPr>
          <w:p w14:paraId="29E45C13"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0.29</w:t>
            </w:r>
          </w:p>
        </w:tc>
      </w:tr>
      <w:tr w:rsidR="00BD4A20" w:rsidRPr="0063355C" w14:paraId="29E45C1F" w14:textId="77777777" w:rsidTr="00BD4A20">
        <w:trPr>
          <w:trHeight w:val="240"/>
        </w:trPr>
        <w:tc>
          <w:tcPr>
            <w:tcW w:w="605" w:type="dxa"/>
            <w:shd w:val="clear" w:color="auto" w:fill="auto"/>
            <w:noWrap/>
            <w:hideMark/>
          </w:tcPr>
          <w:p w14:paraId="29E45C15"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4110" w:type="dxa"/>
            <w:shd w:val="clear" w:color="auto" w:fill="auto"/>
            <w:noWrap/>
            <w:vAlign w:val="center"/>
            <w:hideMark/>
          </w:tcPr>
          <w:p w14:paraId="29E45C16"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516" w:type="dxa"/>
            <w:shd w:val="clear" w:color="auto" w:fill="auto"/>
            <w:noWrap/>
            <w:vAlign w:val="center"/>
          </w:tcPr>
          <w:p w14:paraId="29E45C17"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6.02</w:t>
            </w:r>
          </w:p>
        </w:tc>
        <w:tc>
          <w:tcPr>
            <w:tcW w:w="516" w:type="dxa"/>
            <w:shd w:val="clear" w:color="auto" w:fill="auto"/>
            <w:noWrap/>
            <w:vAlign w:val="center"/>
          </w:tcPr>
          <w:p w14:paraId="29E45C18"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6.35</w:t>
            </w:r>
          </w:p>
        </w:tc>
        <w:tc>
          <w:tcPr>
            <w:tcW w:w="516" w:type="dxa"/>
            <w:shd w:val="clear" w:color="auto" w:fill="auto"/>
            <w:noWrap/>
            <w:vAlign w:val="center"/>
          </w:tcPr>
          <w:p w14:paraId="29E45C19"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5.02</w:t>
            </w:r>
          </w:p>
        </w:tc>
        <w:tc>
          <w:tcPr>
            <w:tcW w:w="515" w:type="dxa"/>
            <w:shd w:val="clear" w:color="auto" w:fill="auto"/>
            <w:noWrap/>
            <w:vAlign w:val="center"/>
          </w:tcPr>
          <w:p w14:paraId="29E45C1A"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6.02</w:t>
            </w:r>
          </w:p>
        </w:tc>
        <w:tc>
          <w:tcPr>
            <w:tcW w:w="515" w:type="dxa"/>
            <w:shd w:val="clear" w:color="auto" w:fill="auto"/>
            <w:noWrap/>
            <w:vAlign w:val="center"/>
          </w:tcPr>
          <w:p w14:paraId="29E45C1B"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5.30</w:t>
            </w:r>
          </w:p>
        </w:tc>
        <w:tc>
          <w:tcPr>
            <w:tcW w:w="516" w:type="dxa"/>
            <w:shd w:val="clear" w:color="auto" w:fill="auto"/>
            <w:noWrap/>
            <w:vAlign w:val="center"/>
          </w:tcPr>
          <w:p w14:paraId="29E45C1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4.76</w:t>
            </w:r>
          </w:p>
        </w:tc>
        <w:tc>
          <w:tcPr>
            <w:tcW w:w="515" w:type="dxa"/>
            <w:shd w:val="clear" w:color="auto" w:fill="auto"/>
            <w:noWrap/>
            <w:vAlign w:val="center"/>
          </w:tcPr>
          <w:p w14:paraId="29E45C1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4.82</w:t>
            </w:r>
          </w:p>
        </w:tc>
        <w:tc>
          <w:tcPr>
            <w:tcW w:w="516" w:type="dxa"/>
            <w:shd w:val="clear" w:color="auto" w:fill="auto"/>
            <w:noWrap/>
            <w:vAlign w:val="center"/>
          </w:tcPr>
          <w:p w14:paraId="29E45C1E"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4.76</w:t>
            </w:r>
          </w:p>
        </w:tc>
      </w:tr>
      <w:tr w:rsidR="00BD4A20" w:rsidRPr="0063355C" w14:paraId="29E45C2A" w14:textId="77777777" w:rsidTr="00BD4A20">
        <w:trPr>
          <w:trHeight w:val="240"/>
        </w:trPr>
        <w:tc>
          <w:tcPr>
            <w:tcW w:w="605" w:type="dxa"/>
            <w:shd w:val="clear" w:color="auto" w:fill="auto"/>
            <w:noWrap/>
            <w:hideMark/>
          </w:tcPr>
          <w:p w14:paraId="29E45C20"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4110" w:type="dxa"/>
            <w:shd w:val="clear" w:color="auto" w:fill="auto"/>
            <w:noWrap/>
            <w:vAlign w:val="center"/>
            <w:hideMark/>
          </w:tcPr>
          <w:p w14:paraId="29E45C21"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516" w:type="dxa"/>
            <w:shd w:val="clear" w:color="auto" w:fill="auto"/>
            <w:noWrap/>
            <w:vAlign w:val="center"/>
          </w:tcPr>
          <w:p w14:paraId="29E45C22"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6" w:type="dxa"/>
            <w:shd w:val="clear" w:color="auto" w:fill="auto"/>
            <w:noWrap/>
            <w:vAlign w:val="center"/>
          </w:tcPr>
          <w:p w14:paraId="29E45C23"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0.04</w:t>
            </w:r>
          </w:p>
        </w:tc>
        <w:tc>
          <w:tcPr>
            <w:tcW w:w="516" w:type="dxa"/>
            <w:shd w:val="clear" w:color="auto" w:fill="auto"/>
            <w:noWrap/>
            <w:vAlign w:val="center"/>
          </w:tcPr>
          <w:p w14:paraId="29E45C24"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0.04</w:t>
            </w:r>
          </w:p>
        </w:tc>
        <w:tc>
          <w:tcPr>
            <w:tcW w:w="515" w:type="dxa"/>
            <w:shd w:val="clear" w:color="auto" w:fill="auto"/>
            <w:noWrap/>
            <w:vAlign w:val="center"/>
          </w:tcPr>
          <w:p w14:paraId="29E45C25"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0.04</w:t>
            </w:r>
          </w:p>
        </w:tc>
        <w:tc>
          <w:tcPr>
            <w:tcW w:w="515" w:type="dxa"/>
            <w:shd w:val="clear" w:color="auto" w:fill="auto"/>
            <w:noWrap/>
            <w:vAlign w:val="center"/>
          </w:tcPr>
          <w:p w14:paraId="29E45C26"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0.04</w:t>
            </w:r>
          </w:p>
        </w:tc>
        <w:tc>
          <w:tcPr>
            <w:tcW w:w="516" w:type="dxa"/>
            <w:shd w:val="clear" w:color="auto" w:fill="auto"/>
            <w:noWrap/>
            <w:vAlign w:val="center"/>
          </w:tcPr>
          <w:p w14:paraId="29E45C27"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0.05</w:t>
            </w:r>
          </w:p>
        </w:tc>
        <w:tc>
          <w:tcPr>
            <w:tcW w:w="515" w:type="dxa"/>
            <w:shd w:val="clear" w:color="auto" w:fill="auto"/>
            <w:noWrap/>
            <w:vAlign w:val="center"/>
          </w:tcPr>
          <w:p w14:paraId="29E45C28"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0.05</w:t>
            </w:r>
          </w:p>
        </w:tc>
        <w:tc>
          <w:tcPr>
            <w:tcW w:w="516" w:type="dxa"/>
            <w:shd w:val="clear" w:color="auto" w:fill="auto"/>
            <w:noWrap/>
            <w:vAlign w:val="center"/>
          </w:tcPr>
          <w:p w14:paraId="29E45C29"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0.06</w:t>
            </w:r>
          </w:p>
        </w:tc>
      </w:tr>
      <w:tr w:rsidR="00BD4A20" w:rsidRPr="0063355C" w14:paraId="29E45C35" w14:textId="77777777" w:rsidTr="00BD4A20">
        <w:trPr>
          <w:trHeight w:val="240"/>
        </w:trPr>
        <w:tc>
          <w:tcPr>
            <w:tcW w:w="605" w:type="dxa"/>
            <w:shd w:val="clear" w:color="auto" w:fill="auto"/>
            <w:noWrap/>
            <w:hideMark/>
          </w:tcPr>
          <w:p w14:paraId="29E45C2B"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4110" w:type="dxa"/>
            <w:shd w:val="clear" w:color="auto" w:fill="auto"/>
            <w:noWrap/>
            <w:vAlign w:val="center"/>
            <w:hideMark/>
          </w:tcPr>
          <w:p w14:paraId="29E45C2C"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516" w:type="dxa"/>
            <w:shd w:val="clear" w:color="auto" w:fill="auto"/>
            <w:noWrap/>
            <w:vAlign w:val="center"/>
          </w:tcPr>
          <w:p w14:paraId="29E45C2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6" w:type="dxa"/>
            <w:shd w:val="clear" w:color="auto" w:fill="auto"/>
            <w:noWrap/>
            <w:vAlign w:val="center"/>
          </w:tcPr>
          <w:p w14:paraId="29E45C2E"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c>
          <w:tcPr>
            <w:tcW w:w="516" w:type="dxa"/>
            <w:shd w:val="clear" w:color="auto" w:fill="auto"/>
            <w:noWrap/>
            <w:vAlign w:val="center"/>
          </w:tcPr>
          <w:p w14:paraId="29E45C2F"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5" w:type="dxa"/>
            <w:shd w:val="clear" w:color="auto" w:fill="auto"/>
            <w:noWrap/>
            <w:vAlign w:val="center"/>
          </w:tcPr>
          <w:p w14:paraId="29E45C30"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0.04</w:t>
            </w:r>
          </w:p>
        </w:tc>
        <w:tc>
          <w:tcPr>
            <w:tcW w:w="515" w:type="dxa"/>
            <w:shd w:val="clear" w:color="auto" w:fill="auto"/>
            <w:noWrap/>
            <w:vAlign w:val="center"/>
          </w:tcPr>
          <w:p w14:paraId="29E45C31"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0.04</w:t>
            </w:r>
          </w:p>
        </w:tc>
        <w:tc>
          <w:tcPr>
            <w:tcW w:w="516" w:type="dxa"/>
            <w:shd w:val="clear" w:color="auto" w:fill="auto"/>
            <w:noWrap/>
            <w:vAlign w:val="center"/>
          </w:tcPr>
          <w:p w14:paraId="29E45C32"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0.04</w:t>
            </w:r>
          </w:p>
        </w:tc>
        <w:tc>
          <w:tcPr>
            <w:tcW w:w="515" w:type="dxa"/>
            <w:shd w:val="clear" w:color="auto" w:fill="auto"/>
            <w:noWrap/>
            <w:vAlign w:val="center"/>
          </w:tcPr>
          <w:p w14:paraId="29E45C33"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c>
          <w:tcPr>
            <w:tcW w:w="516" w:type="dxa"/>
            <w:shd w:val="clear" w:color="auto" w:fill="auto"/>
            <w:noWrap/>
            <w:vAlign w:val="center"/>
          </w:tcPr>
          <w:p w14:paraId="29E45C34"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r>
      <w:tr w:rsidR="00BD4A20" w:rsidRPr="0063355C" w14:paraId="29E45C40" w14:textId="77777777" w:rsidTr="00BD4A20">
        <w:trPr>
          <w:trHeight w:val="240"/>
        </w:trPr>
        <w:tc>
          <w:tcPr>
            <w:tcW w:w="605" w:type="dxa"/>
            <w:shd w:val="clear" w:color="auto" w:fill="auto"/>
            <w:noWrap/>
            <w:hideMark/>
          </w:tcPr>
          <w:p w14:paraId="29E45C36"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4110" w:type="dxa"/>
            <w:shd w:val="clear" w:color="auto" w:fill="auto"/>
            <w:noWrap/>
            <w:vAlign w:val="center"/>
            <w:hideMark/>
          </w:tcPr>
          <w:p w14:paraId="29E45C37"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516" w:type="dxa"/>
            <w:shd w:val="clear" w:color="auto" w:fill="auto"/>
            <w:noWrap/>
            <w:vAlign w:val="center"/>
          </w:tcPr>
          <w:p w14:paraId="29E45C38"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0.41</w:t>
            </w:r>
          </w:p>
        </w:tc>
        <w:tc>
          <w:tcPr>
            <w:tcW w:w="516" w:type="dxa"/>
            <w:shd w:val="clear" w:color="auto" w:fill="auto"/>
            <w:noWrap/>
            <w:vAlign w:val="center"/>
          </w:tcPr>
          <w:p w14:paraId="29E45C39"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0.51</w:t>
            </w:r>
          </w:p>
        </w:tc>
        <w:tc>
          <w:tcPr>
            <w:tcW w:w="516" w:type="dxa"/>
            <w:shd w:val="clear" w:color="auto" w:fill="auto"/>
            <w:noWrap/>
            <w:vAlign w:val="center"/>
          </w:tcPr>
          <w:p w14:paraId="29E45C3A"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0.39</w:t>
            </w:r>
          </w:p>
        </w:tc>
        <w:tc>
          <w:tcPr>
            <w:tcW w:w="515" w:type="dxa"/>
            <w:shd w:val="clear" w:color="auto" w:fill="auto"/>
            <w:noWrap/>
            <w:vAlign w:val="center"/>
          </w:tcPr>
          <w:p w14:paraId="29E45C3B"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0.45</w:t>
            </w:r>
          </w:p>
        </w:tc>
        <w:tc>
          <w:tcPr>
            <w:tcW w:w="515" w:type="dxa"/>
            <w:shd w:val="clear" w:color="auto" w:fill="auto"/>
            <w:noWrap/>
            <w:vAlign w:val="center"/>
          </w:tcPr>
          <w:p w14:paraId="29E45C3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0.49</w:t>
            </w:r>
          </w:p>
        </w:tc>
        <w:tc>
          <w:tcPr>
            <w:tcW w:w="516" w:type="dxa"/>
            <w:shd w:val="clear" w:color="auto" w:fill="auto"/>
            <w:noWrap/>
            <w:vAlign w:val="center"/>
          </w:tcPr>
          <w:p w14:paraId="29E45C3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0.46</w:t>
            </w:r>
          </w:p>
        </w:tc>
        <w:tc>
          <w:tcPr>
            <w:tcW w:w="515" w:type="dxa"/>
            <w:shd w:val="clear" w:color="auto" w:fill="auto"/>
            <w:noWrap/>
            <w:vAlign w:val="center"/>
          </w:tcPr>
          <w:p w14:paraId="29E45C3E"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0.35</w:t>
            </w:r>
          </w:p>
        </w:tc>
        <w:tc>
          <w:tcPr>
            <w:tcW w:w="516" w:type="dxa"/>
            <w:shd w:val="clear" w:color="auto" w:fill="auto"/>
            <w:noWrap/>
            <w:vAlign w:val="center"/>
          </w:tcPr>
          <w:p w14:paraId="29E45C3F"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0.47</w:t>
            </w:r>
          </w:p>
        </w:tc>
      </w:tr>
      <w:tr w:rsidR="00BD4A20" w:rsidRPr="0063355C" w14:paraId="29E45C4B" w14:textId="77777777" w:rsidTr="00BD4A20">
        <w:trPr>
          <w:trHeight w:val="240"/>
        </w:trPr>
        <w:tc>
          <w:tcPr>
            <w:tcW w:w="605" w:type="dxa"/>
            <w:shd w:val="clear" w:color="auto" w:fill="auto"/>
            <w:noWrap/>
            <w:hideMark/>
          </w:tcPr>
          <w:p w14:paraId="29E45C41"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4110" w:type="dxa"/>
            <w:shd w:val="clear" w:color="auto" w:fill="auto"/>
            <w:noWrap/>
            <w:vAlign w:val="center"/>
            <w:hideMark/>
          </w:tcPr>
          <w:p w14:paraId="29E45C42"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516" w:type="dxa"/>
            <w:shd w:val="clear" w:color="auto" w:fill="auto"/>
            <w:noWrap/>
            <w:vAlign w:val="center"/>
          </w:tcPr>
          <w:p w14:paraId="29E45C43"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44"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45"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46"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47"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48"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49"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4A"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r>
      <w:tr w:rsidR="00BD4A20" w:rsidRPr="0063355C" w14:paraId="29E45C56" w14:textId="77777777" w:rsidTr="00BD4A20">
        <w:trPr>
          <w:trHeight w:val="240"/>
        </w:trPr>
        <w:tc>
          <w:tcPr>
            <w:tcW w:w="605" w:type="dxa"/>
            <w:shd w:val="clear" w:color="auto" w:fill="auto"/>
            <w:noWrap/>
            <w:hideMark/>
          </w:tcPr>
          <w:p w14:paraId="29E45C4C"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4110" w:type="dxa"/>
            <w:shd w:val="clear" w:color="auto" w:fill="auto"/>
            <w:noWrap/>
            <w:vAlign w:val="center"/>
            <w:hideMark/>
          </w:tcPr>
          <w:p w14:paraId="29E45C4D"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516" w:type="dxa"/>
            <w:shd w:val="clear" w:color="auto" w:fill="auto"/>
            <w:noWrap/>
            <w:vAlign w:val="center"/>
          </w:tcPr>
          <w:p w14:paraId="29E45C4E"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6" w:type="dxa"/>
            <w:shd w:val="clear" w:color="auto" w:fill="auto"/>
            <w:noWrap/>
            <w:vAlign w:val="center"/>
          </w:tcPr>
          <w:p w14:paraId="29E45C4F"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6" w:type="dxa"/>
            <w:shd w:val="clear" w:color="auto" w:fill="auto"/>
            <w:noWrap/>
            <w:vAlign w:val="center"/>
          </w:tcPr>
          <w:p w14:paraId="29E45C50"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5" w:type="dxa"/>
            <w:shd w:val="clear" w:color="auto" w:fill="auto"/>
            <w:noWrap/>
            <w:vAlign w:val="center"/>
          </w:tcPr>
          <w:p w14:paraId="29E45C51"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5" w:type="dxa"/>
            <w:shd w:val="clear" w:color="auto" w:fill="auto"/>
            <w:noWrap/>
            <w:vAlign w:val="center"/>
          </w:tcPr>
          <w:p w14:paraId="29E45C52"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6" w:type="dxa"/>
            <w:shd w:val="clear" w:color="auto" w:fill="auto"/>
            <w:noWrap/>
            <w:vAlign w:val="center"/>
          </w:tcPr>
          <w:p w14:paraId="29E45C53"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5" w:type="dxa"/>
            <w:shd w:val="clear" w:color="auto" w:fill="auto"/>
            <w:noWrap/>
            <w:vAlign w:val="center"/>
          </w:tcPr>
          <w:p w14:paraId="29E45C54"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6" w:type="dxa"/>
            <w:shd w:val="clear" w:color="auto" w:fill="auto"/>
            <w:noWrap/>
            <w:vAlign w:val="center"/>
          </w:tcPr>
          <w:p w14:paraId="29E45C55"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r>
      <w:tr w:rsidR="00BD4A20" w:rsidRPr="0063355C" w14:paraId="29E45C61" w14:textId="77777777" w:rsidTr="00BD4A20">
        <w:trPr>
          <w:trHeight w:val="240"/>
        </w:trPr>
        <w:tc>
          <w:tcPr>
            <w:tcW w:w="605" w:type="dxa"/>
            <w:shd w:val="clear" w:color="auto" w:fill="auto"/>
            <w:noWrap/>
            <w:hideMark/>
          </w:tcPr>
          <w:p w14:paraId="29E45C57"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4110" w:type="dxa"/>
            <w:shd w:val="clear" w:color="auto" w:fill="auto"/>
            <w:noWrap/>
            <w:vAlign w:val="center"/>
            <w:hideMark/>
          </w:tcPr>
          <w:p w14:paraId="29E45C58"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516" w:type="dxa"/>
            <w:shd w:val="clear" w:color="auto" w:fill="auto"/>
            <w:noWrap/>
            <w:vAlign w:val="center"/>
          </w:tcPr>
          <w:p w14:paraId="29E45C59"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6" w:type="dxa"/>
            <w:shd w:val="clear" w:color="auto" w:fill="auto"/>
            <w:noWrap/>
            <w:vAlign w:val="center"/>
          </w:tcPr>
          <w:p w14:paraId="29E45C5A"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6" w:type="dxa"/>
            <w:shd w:val="clear" w:color="auto" w:fill="auto"/>
            <w:noWrap/>
            <w:vAlign w:val="center"/>
          </w:tcPr>
          <w:p w14:paraId="29E45C5B"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5" w:type="dxa"/>
            <w:shd w:val="clear" w:color="auto" w:fill="auto"/>
            <w:noWrap/>
            <w:vAlign w:val="center"/>
          </w:tcPr>
          <w:p w14:paraId="29E45C5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5" w:type="dxa"/>
            <w:shd w:val="clear" w:color="auto" w:fill="auto"/>
            <w:noWrap/>
            <w:vAlign w:val="center"/>
          </w:tcPr>
          <w:p w14:paraId="29E45C5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6" w:type="dxa"/>
            <w:shd w:val="clear" w:color="auto" w:fill="auto"/>
            <w:noWrap/>
            <w:vAlign w:val="center"/>
          </w:tcPr>
          <w:p w14:paraId="29E45C5E"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5" w:type="dxa"/>
            <w:shd w:val="clear" w:color="auto" w:fill="auto"/>
            <w:noWrap/>
            <w:vAlign w:val="center"/>
          </w:tcPr>
          <w:p w14:paraId="29E45C5F"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6" w:type="dxa"/>
            <w:shd w:val="clear" w:color="auto" w:fill="auto"/>
            <w:noWrap/>
            <w:vAlign w:val="center"/>
          </w:tcPr>
          <w:p w14:paraId="29E45C60"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r>
      <w:tr w:rsidR="00BD4A20" w:rsidRPr="0063355C" w14:paraId="29E45C6C" w14:textId="77777777" w:rsidTr="00BD4A20">
        <w:trPr>
          <w:trHeight w:val="240"/>
        </w:trPr>
        <w:tc>
          <w:tcPr>
            <w:tcW w:w="605" w:type="dxa"/>
            <w:shd w:val="clear" w:color="auto" w:fill="auto"/>
            <w:noWrap/>
            <w:hideMark/>
          </w:tcPr>
          <w:p w14:paraId="29E45C62"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4110" w:type="dxa"/>
            <w:shd w:val="clear" w:color="auto" w:fill="auto"/>
            <w:noWrap/>
            <w:vAlign w:val="center"/>
            <w:hideMark/>
          </w:tcPr>
          <w:p w14:paraId="29E45C63"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516" w:type="dxa"/>
            <w:shd w:val="clear" w:color="auto" w:fill="auto"/>
            <w:noWrap/>
            <w:vAlign w:val="center"/>
          </w:tcPr>
          <w:p w14:paraId="29E45C64"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65"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0.05</w:t>
            </w:r>
          </w:p>
        </w:tc>
        <w:tc>
          <w:tcPr>
            <w:tcW w:w="516" w:type="dxa"/>
            <w:shd w:val="clear" w:color="auto" w:fill="auto"/>
            <w:noWrap/>
            <w:vAlign w:val="center"/>
          </w:tcPr>
          <w:p w14:paraId="29E45C66"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5" w:type="dxa"/>
            <w:shd w:val="clear" w:color="auto" w:fill="auto"/>
            <w:noWrap/>
            <w:vAlign w:val="center"/>
          </w:tcPr>
          <w:p w14:paraId="29E45C67"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c>
          <w:tcPr>
            <w:tcW w:w="515" w:type="dxa"/>
            <w:shd w:val="clear" w:color="auto" w:fill="auto"/>
            <w:noWrap/>
            <w:vAlign w:val="center"/>
          </w:tcPr>
          <w:p w14:paraId="29E45C68"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6" w:type="dxa"/>
            <w:shd w:val="clear" w:color="auto" w:fill="auto"/>
            <w:noWrap/>
            <w:vAlign w:val="center"/>
          </w:tcPr>
          <w:p w14:paraId="29E45C69"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5" w:type="dxa"/>
            <w:shd w:val="clear" w:color="auto" w:fill="auto"/>
            <w:noWrap/>
            <w:vAlign w:val="center"/>
          </w:tcPr>
          <w:p w14:paraId="29E45C6A"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6" w:type="dxa"/>
            <w:shd w:val="clear" w:color="auto" w:fill="auto"/>
            <w:noWrap/>
            <w:vAlign w:val="center"/>
          </w:tcPr>
          <w:p w14:paraId="29E45C6B"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r>
      <w:tr w:rsidR="00BD4A20" w:rsidRPr="0063355C" w14:paraId="29E45C77" w14:textId="77777777" w:rsidTr="00BD4A20">
        <w:trPr>
          <w:trHeight w:val="240"/>
        </w:trPr>
        <w:tc>
          <w:tcPr>
            <w:tcW w:w="605" w:type="dxa"/>
            <w:shd w:val="clear" w:color="auto" w:fill="auto"/>
            <w:noWrap/>
            <w:hideMark/>
          </w:tcPr>
          <w:p w14:paraId="29E45C6D"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4110" w:type="dxa"/>
            <w:shd w:val="clear" w:color="auto" w:fill="auto"/>
            <w:noWrap/>
            <w:vAlign w:val="center"/>
            <w:hideMark/>
          </w:tcPr>
          <w:p w14:paraId="29E45C6E"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516" w:type="dxa"/>
            <w:shd w:val="clear" w:color="auto" w:fill="auto"/>
            <w:noWrap/>
            <w:vAlign w:val="center"/>
          </w:tcPr>
          <w:p w14:paraId="29E45C6F"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70"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c>
          <w:tcPr>
            <w:tcW w:w="516" w:type="dxa"/>
            <w:shd w:val="clear" w:color="auto" w:fill="auto"/>
            <w:noWrap/>
            <w:vAlign w:val="center"/>
          </w:tcPr>
          <w:p w14:paraId="29E45C71"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5" w:type="dxa"/>
            <w:shd w:val="clear" w:color="auto" w:fill="auto"/>
            <w:noWrap/>
            <w:vAlign w:val="center"/>
          </w:tcPr>
          <w:p w14:paraId="29E45C72"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c>
          <w:tcPr>
            <w:tcW w:w="515" w:type="dxa"/>
            <w:shd w:val="clear" w:color="auto" w:fill="auto"/>
            <w:noWrap/>
            <w:vAlign w:val="center"/>
          </w:tcPr>
          <w:p w14:paraId="29E45C73"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c>
          <w:tcPr>
            <w:tcW w:w="516" w:type="dxa"/>
            <w:shd w:val="clear" w:color="auto" w:fill="auto"/>
            <w:noWrap/>
            <w:vAlign w:val="center"/>
          </w:tcPr>
          <w:p w14:paraId="29E45C74"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c>
          <w:tcPr>
            <w:tcW w:w="515" w:type="dxa"/>
            <w:shd w:val="clear" w:color="auto" w:fill="auto"/>
            <w:noWrap/>
            <w:vAlign w:val="center"/>
          </w:tcPr>
          <w:p w14:paraId="29E45C75"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c>
          <w:tcPr>
            <w:tcW w:w="516" w:type="dxa"/>
            <w:shd w:val="clear" w:color="auto" w:fill="auto"/>
            <w:noWrap/>
            <w:vAlign w:val="center"/>
          </w:tcPr>
          <w:p w14:paraId="29E45C76"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r>
      <w:tr w:rsidR="00BD4A20" w:rsidRPr="0063355C" w14:paraId="29E45C82" w14:textId="77777777" w:rsidTr="00BD4A20">
        <w:trPr>
          <w:trHeight w:val="240"/>
        </w:trPr>
        <w:tc>
          <w:tcPr>
            <w:tcW w:w="605" w:type="dxa"/>
            <w:shd w:val="clear" w:color="auto" w:fill="auto"/>
            <w:noWrap/>
            <w:hideMark/>
          </w:tcPr>
          <w:p w14:paraId="29E45C78"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4110" w:type="dxa"/>
            <w:shd w:val="clear" w:color="auto" w:fill="auto"/>
            <w:noWrap/>
            <w:vAlign w:val="center"/>
            <w:hideMark/>
          </w:tcPr>
          <w:p w14:paraId="29E45C79"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516" w:type="dxa"/>
            <w:shd w:val="clear" w:color="auto" w:fill="auto"/>
            <w:noWrap/>
            <w:vAlign w:val="center"/>
          </w:tcPr>
          <w:p w14:paraId="29E45C7A"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7B"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0.06</w:t>
            </w:r>
          </w:p>
        </w:tc>
        <w:tc>
          <w:tcPr>
            <w:tcW w:w="516" w:type="dxa"/>
            <w:shd w:val="clear" w:color="auto" w:fill="auto"/>
            <w:noWrap/>
            <w:vAlign w:val="center"/>
          </w:tcPr>
          <w:p w14:paraId="29E45C7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7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0.07</w:t>
            </w:r>
          </w:p>
        </w:tc>
        <w:tc>
          <w:tcPr>
            <w:tcW w:w="515" w:type="dxa"/>
            <w:shd w:val="clear" w:color="auto" w:fill="auto"/>
            <w:noWrap/>
            <w:vAlign w:val="center"/>
          </w:tcPr>
          <w:p w14:paraId="29E45C7E"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0.22</w:t>
            </w:r>
          </w:p>
        </w:tc>
        <w:tc>
          <w:tcPr>
            <w:tcW w:w="516" w:type="dxa"/>
            <w:shd w:val="clear" w:color="auto" w:fill="auto"/>
            <w:noWrap/>
            <w:vAlign w:val="center"/>
          </w:tcPr>
          <w:p w14:paraId="29E45C7F"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5" w:type="dxa"/>
            <w:shd w:val="clear" w:color="auto" w:fill="auto"/>
            <w:noWrap/>
            <w:vAlign w:val="center"/>
          </w:tcPr>
          <w:p w14:paraId="29E45C80"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6" w:type="dxa"/>
            <w:shd w:val="clear" w:color="auto" w:fill="auto"/>
            <w:noWrap/>
            <w:vAlign w:val="center"/>
          </w:tcPr>
          <w:p w14:paraId="29E45C81"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0.09</w:t>
            </w:r>
          </w:p>
        </w:tc>
      </w:tr>
      <w:tr w:rsidR="00BD4A20" w:rsidRPr="0063355C" w14:paraId="29E45C8D" w14:textId="77777777" w:rsidTr="00BD4A20">
        <w:trPr>
          <w:trHeight w:val="240"/>
        </w:trPr>
        <w:tc>
          <w:tcPr>
            <w:tcW w:w="605" w:type="dxa"/>
            <w:shd w:val="clear" w:color="auto" w:fill="auto"/>
            <w:noWrap/>
            <w:hideMark/>
          </w:tcPr>
          <w:p w14:paraId="29E45C83"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4110" w:type="dxa"/>
            <w:shd w:val="clear" w:color="auto" w:fill="auto"/>
            <w:noWrap/>
            <w:vAlign w:val="center"/>
            <w:hideMark/>
          </w:tcPr>
          <w:p w14:paraId="29E45C84"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516" w:type="dxa"/>
            <w:shd w:val="clear" w:color="auto" w:fill="auto"/>
            <w:noWrap/>
            <w:vAlign w:val="center"/>
          </w:tcPr>
          <w:p w14:paraId="29E45C85"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6" w:type="dxa"/>
            <w:shd w:val="clear" w:color="auto" w:fill="auto"/>
            <w:noWrap/>
            <w:vAlign w:val="center"/>
          </w:tcPr>
          <w:p w14:paraId="29E45C86"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c>
          <w:tcPr>
            <w:tcW w:w="516" w:type="dxa"/>
            <w:shd w:val="clear" w:color="auto" w:fill="auto"/>
            <w:noWrap/>
            <w:vAlign w:val="center"/>
          </w:tcPr>
          <w:p w14:paraId="29E45C87"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5" w:type="dxa"/>
            <w:shd w:val="clear" w:color="auto" w:fill="auto"/>
            <w:noWrap/>
            <w:vAlign w:val="center"/>
          </w:tcPr>
          <w:p w14:paraId="29E45C88"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5" w:type="dxa"/>
            <w:shd w:val="clear" w:color="auto" w:fill="auto"/>
            <w:noWrap/>
            <w:vAlign w:val="center"/>
          </w:tcPr>
          <w:p w14:paraId="29E45C89"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0.03</w:t>
            </w:r>
          </w:p>
        </w:tc>
        <w:tc>
          <w:tcPr>
            <w:tcW w:w="516" w:type="dxa"/>
            <w:shd w:val="clear" w:color="auto" w:fill="auto"/>
            <w:noWrap/>
            <w:vAlign w:val="center"/>
          </w:tcPr>
          <w:p w14:paraId="29E45C8A"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0.08</w:t>
            </w:r>
          </w:p>
        </w:tc>
        <w:tc>
          <w:tcPr>
            <w:tcW w:w="515" w:type="dxa"/>
            <w:shd w:val="clear" w:color="auto" w:fill="auto"/>
            <w:noWrap/>
            <w:vAlign w:val="center"/>
          </w:tcPr>
          <w:p w14:paraId="29E45C8B"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0.06</w:t>
            </w:r>
          </w:p>
        </w:tc>
        <w:tc>
          <w:tcPr>
            <w:tcW w:w="516" w:type="dxa"/>
            <w:shd w:val="clear" w:color="auto" w:fill="auto"/>
            <w:noWrap/>
            <w:vAlign w:val="center"/>
          </w:tcPr>
          <w:p w14:paraId="29E45C8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0.11</w:t>
            </w:r>
          </w:p>
        </w:tc>
      </w:tr>
      <w:tr w:rsidR="00BD4A20" w:rsidRPr="0063355C" w14:paraId="29E45C98" w14:textId="77777777" w:rsidTr="00BD4A20">
        <w:trPr>
          <w:trHeight w:val="240"/>
        </w:trPr>
        <w:tc>
          <w:tcPr>
            <w:tcW w:w="605" w:type="dxa"/>
            <w:shd w:val="clear" w:color="auto" w:fill="auto"/>
            <w:noWrap/>
            <w:hideMark/>
          </w:tcPr>
          <w:p w14:paraId="29E45C8E"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4110" w:type="dxa"/>
            <w:shd w:val="clear" w:color="auto" w:fill="auto"/>
            <w:noWrap/>
            <w:vAlign w:val="center"/>
            <w:hideMark/>
          </w:tcPr>
          <w:p w14:paraId="29E45C8F"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516" w:type="dxa"/>
            <w:shd w:val="clear" w:color="auto" w:fill="auto"/>
            <w:noWrap/>
            <w:vAlign w:val="center"/>
          </w:tcPr>
          <w:p w14:paraId="29E45C90"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91"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92"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93"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94"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95"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96"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97"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r>
      <w:tr w:rsidR="00BD4A20" w:rsidRPr="0063355C" w14:paraId="29E45CA3" w14:textId="77777777" w:rsidTr="00BD4A20">
        <w:trPr>
          <w:trHeight w:val="240"/>
        </w:trPr>
        <w:tc>
          <w:tcPr>
            <w:tcW w:w="605" w:type="dxa"/>
            <w:shd w:val="clear" w:color="auto" w:fill="auto"/>
            <w:noWrap/>
            <w:hideMark/>
          </w:tcPr>
          <w:p w14:paraId="29E45C99"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4110" w:type="dxa"/>
            <w:shd w:val="clear" w:color="auto" w:fill="auto"/>
            <w:noWrap/>
            <w:vAlign w:val="center"/>
            <w:hideMark/>
          </w:tcPr>
          <w:p w14:paraId="29E45C9A"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516" w:type="dxa"/>
            <w:shd w:val="clear" w:color="auto" w:fill="auto"/>
            <w:noWrap/>
            <w:vAlign w:val="center"/>
          </w:tcPr>
          <w:p w14:paraId="29E45C9B"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9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9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9E"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9F"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A0"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A1"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A2"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r>
      <w:tr w:rsidR="00BD4A20" w:rsidRPr="0063355C" w14:paraId="29E45CAE" w14:textId="77777777" w:rsidTr="00BD4A20">
        <w:trPr>
          <w:trHeight w:val="240"/>
        </w:trPr>
        <w:tc>
          <w:tcPr>
            <w:tcW w:w="605" w:type="dxa"/>
            <w:shd w:val="clear" w:color="auto" w:fill="auto"/>
            <w:noWrap/>
            <w:hideMark/>
          </w:tcPr>
          <w:p w14:paraId="29E45CA4"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4110" w:type="dxa"/>
            <w:shd w:val="clear" w:color="auto" w:fill="auto"/>
            <w:noWrap/>
            <w:vAlign w:val="center"/>
            <w:hideMark/>
          </w:tcPr>
          <w:p w14:paraId="29E45CA5"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516" w:type="dxa"/>
            <w:shd w:val="clear" w:color="auto" w:fill="auto"/>
            <w:noWrap/>
            <w:vAlign w:val="center"/>
          </w:tcPr>
          <w:p w14:paraId="29E45CA6"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A7"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A8"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A9"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AA"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AB"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A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A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w:t>
            </w:r>
          </w:p>
        </w:tc>
      </w:tr>
      <w:tr w:rsidR="00BD4A20" w:rsidRPr="0063355C" w14:paraId="29E45CB9" w14:textId="77777777" w:rsidTr="00BD4A20">
        <w:trPr>
          <w:trHeight w:val="240"/>
        </w:trPr>
        <w:tc>
          <w:tcPr>
            <w:tcW w:w="605" w:type="dxa"/>
            <w:shd w:val="clear" w:color="auto" w:fill="auto"/>
            <w:noWrap/>
            <w:hideMark/>
          </w:tcPr>
          <w:p w14:paraId="29E45CAF"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4110" w:type="dxa"/>
            <w:shd w:val="clear" w:color="auto" w:fill="auto"/>
            <w:noWrap/>
            <w:vAlign w:val="center"/>
            <w:hideMark/>
          </w:tcPr>
          <w:p w14:paraId="29E45CB0"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516" w:type="dxa"/>
            <w:shd w:val="clear" w:color="auto" w:fill="auto"/>
            <w:noWrap/>
            <w:vAlign w:val="center"/>
          </w:tcPr>
          <w:p w14:paraId="29E45CB1"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B2"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w:t>
            </w:r>
          </w:p>
        </w:tc>
        <w:tc>
          <w:tcPr>
            <w:tcW w:w="516" w:type="dxa"/>
            <w:shd w:val="clear" w:color="auto" w:fill="auto"/>
            <w:noWrap/>
            <w:vAlign w:val="center"/>
          </w:tcPr>
          <w:p w14:paraId="29E45CB3"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5" w:type="dxa"/>
            <w:shd w:val="clear" w:color="auto" w:fill="auto"/>
            <w:noWrap/>
            <w:vAlign w:val="center"/>
          </w:tcPr>
          <w:p w14:paraId="29E45CB4"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B5"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B6"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w:t>
            </w:r>
          </w:p>
        </w:tc>
        <w:tc>
          <w:tcPr>
            <w:tcW w:w="515" w:type="dxa"/>
            <w:shd w:val="clear" w:color="auto" w:fill="auto"/>
            <w:noWrap/>
            <w:vAlign w:val="center"/>
          </w:tcPr>
          <w:p w14:paraId="29E45CB7"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w:t>
            </w:r>
          </w:p>
        </w:tc>
        <w:tc>
          <w:tcPr>
            <w:tcW w:w="516" w:type="dxa"/>
            <w:shd w:val="clear" w:color="auto" w:fill="auto"/>
            <w:noWrap/>
            <w:vAlign w:val="center"/>
          </w:tcPr>
          <w:p w14:paraId="29E45CB8"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w:t>
            </w:r>
          </w:p>
        </w:tc>
      </w:tr>
      <w:tr w:rsidR="00BD4A20" w:rsidRPr="0063355C" w14:paraId="29E45CC4" w14:textId="77777777" w:rsidTr="00BD4A20">
        <w:trPr>
          <w:trHeight w:val="240"/>
        </w:trPr>
        <w:tc>
          <w:tcPr>
            <w:tcW w:w="605" w:type="dxa"/>
            <w:shd w:val="clear" w:color="auto" w:fill="auto"/>
            <w:noWrap/>
            <w:hideMark/>
          </w:tcPr>
          <w:p w14:paraId="29E45CBA"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4110" w:type="dxa"/>
            <w:shd w:val="clear" w:color="auto" w:fill="auto"/>
            <w:noWrap/>
            <w:vAlign w:val="center"/>
            <w:hideMark/>
          </w:tcPr>
          <w:p w14:paraId="29E45CBB"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516" w:type="dxa"/>
            <w:shd w:val="clear" w:color="auto" w:fill="auto"/>
            <w:noWrap/>
            <w:vAlign w:val="center"/>
          </w:tcPr>
          <w:p w14:paraId="29E45CB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B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0.02</w:t>
            </w:r>
          </w:p>
        </w:tc>
        <w:tc>
          <w:tcPr>
            <w:tcW w:w="516" w:type="dxa"/>
            <w:shd w:val="clear" w:color="auto" w:fill="auto"/>
            <w:noWrap/>
            <w:vAlign w:val="center"/>
          </w:tcPr>
          <w:p w14:paraId="29E45CBE"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BF"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C0"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6" w:type="dxa"/>
            <w:shd w:val="clear" w:color="auto" w:fill="auto"/>
            <w:noWrap/>
            <w:vAlign w:val="center"/>
          </w:tcPr>
          <w:p w14:paraId="29E45CC1"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0.01</w:t>
            </w:r>
          </w:p>
        </w:tc>
        <w:tc>
          <w:tcPr>
            <w:tcW w:w="515" w:type="dxa"/>
            <w:shd w:val="clear" w:color="auto" w:fill="auto"/>
            <w:noWrap/>
            <w:vAlign w:val="center"/>
          </w:tcPr>
          <w:p w14:paraId="29E45CC2"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w:t>
            </w:r>
          </w:p>
        </w:tc>
        <w:tc>
          <w:tcPr>
            <w:tcW w:w="516" w:type="dxa"/>
            <w:shd w:val="clear" w:color="auto" w:fill="auto"/>
            <w:noWrap/>
            <w:vAlign w:val="center"/>
          </w:tcPr>
          <w:p w14:paraId="29E45CC3"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r>
      <w:tr w:rsidR="00BD4A20" w:rsidRPr="0063355C" w14:paraId="29E45CCF" w14:textId="77777777" w:rsidTr="00BD4A20">
        <w:trPr>
          <w:trHeight w:val="240"/>
        </w:trPr>
        <w:tc>
          <w:tcPr>
            <w:tcW w:w="605" w:type="dxa"/>
            <w:shd w:val="clear" w:color="auto" w:fill="auto"/>
            <w:noWrap/>
            <w:hideMark/>
          </w:tcPr>
          <w:p w14:paraId="29E45CC5" w14:textId="77777777" w:rsidR="00BD4A20" w:rsidRPr="0063355C" w:rsidRDefault="00BD4A20" w:rsidP="00417AEB">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4110" w:type="dxa"/>
            <w:shd w:val="clear" w:color="auto" w:fill="auto"/>
            <w:noWrap/>
            <w:vAlign w:val="center"/>
            <w:hideMark/>
          </w:tcPr>
          <w:p w14:paraId="29E45CC6" w14:textId="77777777" w:rsidR="00BD4A20" w:rsidRPr="0063355C" w:rsidRDefault="00BD4A20" w:rsidP="00417AEB">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516" w:type="dxa"/>
            <w:shd w:val="clear" w:color="auto" w:fill="auto"/>
            <w:noWrap/>
            <w:vAlign w:val="center"/>
          </w:tcPr>
          <w:p w14:paraId="29E45CC7"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C8"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C9"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CA"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5" w:type="dxa"/>
            <w:shd w:val="clear" w:color="auto" w:fill="auto"/>
            <w:noWrap/>
            <w:vAlign w:val="center"/>
          </w:tcPr>
          <w:p w14:paraId="29E45CCB"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0.00</w:t>
            </w:r>
          </w:p>
        </w:tc>
        <w:tc>
          <w:tcPr>
            <w:tcW w:w="516" w:type="dxa"/>
            <w:shd w:val="clear" w:color="auto" w:fill="auto"/>
            <w:noWrap/>
            <w:vAlign w:val="center"/>
          </w:tcPr>
          <w:p w14:paraId="29E45CCC"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w:t>
            </w:r>
          </w:p>
        </w:tc>
        <w:tc>
          <w:tcPr>
            <w:tcW w:w="515" w:type="dxa"/>
            <w:shd w:val="clear" w:color="auto" w:fill="auto"/>
            <w:noWrap/>
            <w:vAlign w:val="center"/>
          </w:tcPr>
          <w:p w14:paraId="29E45CCD"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w:t>
            </w:r>
          </w:p>
        </w:tc>
        <w:tc>
          <w:tcPr>
            <w:tcW w:w="516" w:type="dxa"/>
            <w:shd w:val="clear" w:color="auto" w:fill="auto"/>
            <w:noWrap/>
            <w:vAlign w:val="center"/>
          </w:tcPr>
          <w:p w14:paraId="29E45CCE" w14:textId="77777777" w:rsidR="00BD4A20" w:rsidRPr="00BD4A20" w:rsidRDefault="00BD4A20" w:rsidP="00417AEB">
            <w:pPr>
              <w:spacing w:line="220" w:lineRule="atLeast"/>
              <w:jc w:val="center"/>
              <w:rPr>
                <w:rFonts w:ascii="Arial" w:eastAsia="Times New Roman" w:hAnsi="Arial" w:cs="Arial"/>
                <w:color w:val="000000"/>
                <w:sz w:val="16"/>
                <w:szCs w:val="18"/>
                <w:lang w:eastAsia="en-GB"/>
              </w:rPr>
            </w:pPr>
            <w:r w:rsidRPr="00BD4A20">
              <w:rPr>
                <w:rFonts w:ascii="Arial" w:eastAsia="Times New Roman" w:hAnsi="Arial" w:cs="Arial"/>
                <w:color w:val="000000"/>
                <w:sz w:val="16"/>
                <w:szCs w:val="18"/>
                <w:lang w:eastAsia="en-GB"/>
              </w:rPr>
              <w:t>-</w:t>
            </w:r>
          </w:p>
        </w:tc>
      </w:tr>
    </w:tbl>
    <w:p w14:paraId="29E45CD0" w14:textId="77777777" w:rsidR="00BD4A20" w:rsidRDefault="00BD4A20" w:rsidP="00BD4A20">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29E45CD1" w14:textId="77777777" w:rsidR="00F3387B" w:rsidRDefault="00F3387B" w:rsidP="00F3387B">
      <w:pPr>
        <w:pStyle w:val="Heading2"/>
      </w:pPr>
      <w:bookmarkStart w:id="100" w:name="_Toc428448516"/>
      <w:r>
        <w:t>Trade in value added</w:t>
      </w:r>
      <w:bookmarkEnd w:id="95"/>
      <w:bookmarkEnd w:id="100"/>
    </w:p>
    <w:p w14:paraId="29E45CD2" w14:textId="77777777" w:rsidR="007431D8" w:rsidRPr="007831E9" w:rsidRDefault="007431D8" w:rsidP="007431D8">
      <w:pPr>
        <w:pStyle w:val="FigureHeading"/>
      </w:pPr>
      <w:bookmarkStart w:id="101" w:name="_Toc428448517"/>
      <w:r w:rsidRPr="007831E9">
        <w:t>Compound annual growth rate of domestic value added, foreign value added and exports, 1996-2011 and 2006-11</w:t>
      </w:r>
      <w:r>
        <w:t>, Yemen</w:t>
      </w:r>
      <w:bookmarkEnd w:id="101"/>
    </w:p>
    <w:p w14:paraId="29E45CD3" w14:textId="77777777" w:rsidR="007431D8" w:rsidRDefault="007431D8" w:rsidP="007431D8">
      <w:r>
        <w:rPr>
          <w:noProof/>
          <w:lang w:eastAsia="en-GB"/>
        </w:rPr>
        <w:drawing>
          <wp:inline distT="0" distB="0" distL="0" distR="0" wp14:anchorId="29E45D2F" wp14:editId="29E45D30">
            <wp:extent cx="4114800" cy="1828800"/>
            <wp:effectExtent l="0" t="0" r="0" b="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9E45CD4" w14:textId="77777777" w:rsidR="007431D8" w:rsidRPr="00B67D98" w:rsidRDefault="007431D8" w:rsidP="007431D8">
      <w:pPr>
        <w:pStyle w:val="Source"/>
      </w:pPr>
      <w:r w:rsidRPr="00B67D98">
        <w:t xml:space="preserve">Source: Own </w:t>
      </w:r>
      <w:r>
        <w:t xml:space="preserve">computations using </w:t>
      </w:r>
      <w:proofErr w:type="spellStart"/>
      <w:r>
        <w:t>Eora26</w:t>
      </w:r>
      <w:proofErr w:type="spellEnd"/>
      <w:r>
        <w:t xml:space="preserve"> database</w:t>
      </w:r>
    </w:p>
    <w:p w14:paraId="29E45CD5" w14:textId="77777777" w:rsidR="007431D8" w:rsidRDefault="007431D8" w:rsidP="007431D8"/>
    <w:p w14:paraId="29E45CD6" w14:textId="77777777" w:rsidR="007431D8" w:rsidRDefault="007431D8" w:rsidP="007431D8">
      <w:pPr>
        <w:pStyle w:val="FigureHeading"/>
      </w:pPr>
      <w:bookmarkStart w:id="102" w:name="_Toc428448518"/>
      <w:r>
        <w:rPr>
          <w:rFonts w:cs="Arial"/>
        </w:rPr>
        <w:t>Domestic and foreign value added content of gross exports as share of gross exports, 1996, 2000, 2006 and 2011</w:t>
      </w:r>
      <w:r>
        <w:t>, Yemen</w:t>
      </w:r>
      <w:bookmarkEnd w:id="102"/>
    </w:p>
    <w:p w14:paraId="3F5DA4C0" w14:textId="160C82CD" w:rsidR="00CD5D5F" w:rsidRDefault="00CD5D5F" w:rsidP="00CD5D5F">
      <w:pPr>
        <w:pStyle w:val="BodyText"/>
        <w:spacing w:before="39" w:after="0" w:line="240" w:lineRule="auto"/>
        <w:jc w:val="left"/>
      </w:pPr>
      <w:r>
        <w:rPr>
          <w:noProof/>
          <w:lang w:eastAsia="en-GB"/>
        </w:rPr>
        <w:drawing>
          <wp:inline distT="0" distB="0" distL="0" distR="0" wp14:anchorId="4D6AF386" wp14:editId="4806C910">
            <wp:extent cx="4114800" cy="18288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9E45CD8" w14:textId="77777777" w:rsidR="007431D8" w:rsidRPr="00B67D98" w:rsidRDefault="007431D8" w:rsidP="007431D8">
      <w:pPr>
        <w:pStyle w:val="Source"/>
      </w:pPr>
      <w:r w:rsidRPr="00B67D98">
        <w:t xml:space="preserve">Source: Own </w:t>
      </w:r>
      <w:r>
        <w:t xml:space="preserve">computations using </w:t>
      </w:r>
      <w:proofErr w:type="spellStart"/>
      <w:r>
        <w:t>Eora26</w:t>
      </w:r>
      <w:proofErr w:type="spellEnd"/>
      <w:r>
        <w:t xml:space="preserve"> database</w:t>
      </w:r>
    </w:p>
    <w:p w14:paraId="29E45CD9" w14:textId="77777777" w:rsidR="007431D8" w:rsidRDefault="007431D8" w:rsidP="007431D8">
      <w:pPr>
        <w:pStyle w:val="BodyText"/>
      </w:pPr>
    </w:p>
    <w:p w14:paraId="29E45CDA" w14:textId="77777777" w:rsidR="007431D8" w:rsidRPr="00623027" w:rsidRDefault="007431D8" w:rsidP="007431D8">
      <w:pPr>
        <w:pStyle w:val="FigureHeading"/>
        <w:rPr>
          <w:rFonts w:cs="Arial"/>
        </w:rPr>
      </w:pPr>
      <w:bookmarkStart w:id="103" w:name="_Toc428448519"/>
      <w:r>
        <w:rPr>
          <w:rFonts w:cs="Arial"/>
        </w:rPr>
        <w:t>Overall value of domestic and foreign value added, 1996, 2000, 2006 and 2011 (in USD 1,000)</w:t>
      </w:r>
      <w:r w:rsidRPr="007431D8">
        <w:t xml:space="preserve"> </w:t>
      </w:r>
      <w:r>
        <w:t>, Yemen</w:t>
      </w:r>
      <w:bookmarkEnd w:id="103"/>
    </w:p>
    <w:p w14:paraId="29E45CDB" w14:textId="77777777" w:rsidR="007431D8" w:rsidRDefault="007431D8" w:rsidP="007431D8">
      <w:pPr>
        <w:pStyle w:val="BodyText"/>
      </w:pPr>
      <w:r>
        <w:rPr>
          <w:noProof/>
          <w:lang w:eastAsia="en-GB"/>
        </w:rPr>
        <w:drawing>
          <wp:inline distT="0" distB="0" distL="0" distR="0" wp14:anchorId="29E45D33" wp14:editId="29E45D34">
            <wp:extent cx="4114800" cy="1828800"/>
            <wp:effectExtent l="0" t="0" r="0" b="0"/>
            <wp:docPr id="271" name="Chart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9E45CDC" w14:textId="77777777" w:rsidR="007431D8" w:rsidRPr="00B67D98" w:rsidRDefault="007431D8" w:rsidP="007431D8">
      <w:pPr>
        <w:pStyle w:val="Source"/>
      </w:pPr>
      <w:r w:rsidRPr="00B67D98">
        <w:t xml:space="preserve">Source: Own </w:t>
      </w:r>
      <w:r>
        <w:t xml:space="preserve">computations using </w:t>
      </w:r>
      <w:proofErr w:type="spellStart"/>
      <w:r>
        <w:t>Eora26</w:t>
      </w:r>
      <w:proofErr w:type="spellEnd"/>
      <w:r>
        <w:t xml:space="preserve"> database</w:t>
      </w:r>
    </w:p>
    <w:p w14:paraId="29E45CDD" w14:textId="77777777" w:rsidR="007431D8" w:rsidRPr="007831E9" w:rsidRDefault="007431D8" w:rsidP="007431D8">
      <w:pPr>
        <w:pStyle w:val="BodyText"/>
      </w:pPr>
    </w:p>
    <w:p w14:paraId="29E45CDE" w14:textId="77777777" w:rsidR="007431D8" w:rsidRDefault="007431D8" w:rsidP="007431D8">
      <w:pPr>
        <w:pStyle w:val="FigureHeading"/>
        <w:rPr>
          <w:rFonts w:cs="Arial"/>
        </w:rPr>
      </w:pPr>
      <w:bookmarkStart w:id="104" w:name="_Toc428448520"/>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t>, Yemen</w:t>
      </w:r>
      <w:bookmarkEnd w:id="104"/>
    </w:p>
    <w:p w14:paraId="29E45CDF" w14:textId="77777777" w:rsidR="007431D8" w:rsidRPr="00DE2F8A" w:rsidRDefault="007431D8" w:rsidP="007431D8">
      <w:pPr>
        <w:pStyle w:val="BodyText"/>
      </w:pPr>
      <w:r>
        <w:rPr>
          <w:noProof/>
          <w:lang w:eastAsia="en-GB"/>
        </w:rPr>
        <w:drawing>
          <wp:inline distT="0" distB="0" distL="0" distR="0" wp14:anchorId="29E45D35" wp14:editId="29E45D36">
            <wp:extent cx="4572000" cy="2743200"/>
            <wp:effectExtent l="0" t="0" r="0" b="0"/>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9E45CE0" w14:textId="77777777" w:rsidR="007431D8" w:rsidRPr="00B67D98" w:rsidRDefault="007431D8" w:rsidP="007431D8">
      <w:pPr>
        <w:pStyle w:val="Source"/>
      </w:pPr>
      <w:r w:rsidRPr="00B67D98">
        <w:t xml:space="preserve">Source: Own </w:t>
      </w:r>
      <w:r>
        <w:t xml:space="preserve">computations using </w:t>
      </w:r>
      <w:proofErr w:type="spellStart"/>
      <w:r>
        <w:t>Eora26</w:t>
      </w:r>
      <w:proofErr w:type="spellEnd"/>
      <w:r>
        <w:t xml:space="preserve"> database</w:t>
      </w:r>
    </w:p>
    <w:p w14:paraId="29E45CE1" w14:textId="77777777" w:rsidR="007431D8" w:rsidRDefault="007431D8" w:rsidP="007431D8"/>
    <w:p w14:paraId="29E45CE2" w14:textId="77777777" w:rsidR="007431D8" w:rsidRDefault="007431D8" w:rsidP="007431D8">
      <w:pPr>
        <w:pStyle w:val="FigureHeading"/>
      </w:pPr>
      <w:bookmarkStart w:id="105" w:name="_Toc428448521"/>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t>, Yemen</w:t>
      </w:r>
      <w:bookmarkEnd w:id="105"/>
    </w:p>
    <w:p w14:paraId="00B37497" w14:textId="351F7363" w:rsidR="00CD5D5F" w:rsidRPr="00CD5D5F" w:rsidRDefault="00CD5D5F" w:rsidP="00CD5D5F">
      <w:pPr>
        <w:pStyle w:val="BodyText"/>
        <w:spacing w:before="39" w:after="0" w:line="240" w:lineRule="auto"/>
        <w:jc w:val="left"/>
      </w:pPr>
      <w:r>
        <w:rPr>
          <w:noProof/>
          <w:lang w:eastAsia="en-GB"/>
        </w:rPr>
        <w:drawing>
          <wp:inline distT="0" distB="0" distL="0" distR="0" wp14:anchorId="129A6A25" wp14:editId="6154AAEA">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9E45CE4" w14:textId="77777777" w:rsidR="007431D8" w:rsidRPr="00B67D98" w:rsidRDefault="007431D8" w:rsidP="007431D8">
      <w:pPr>
        <w:pStyle w:val="Source"/>
      </w:pPr>
      <w:r w:rsidRPr="00B67D98">
        <w:t xml:space="preserve">Source: Own </w:t>
      </w:r>
      <w:r>
        <w:t xml:space="preserve">computations using </w:t>
      </w:r>
      <w:proofErr w:type="spellStart"/>
      <w:r>
        <w:t>Eora26</w:t>
      </w:r>
      <w:proofErr w:type="spellEnd"/>
      <w:r>
        <w:t xml:space="preserve"> database</w:t>
      </w:r>
    </w:p>
    <w:p w14:paraId="29E45CE5" w14:textId="77777777" w:rsidR="007431D8" w:rsidRDefault="007431D8" w:rsidP="007431D8"/>
    <w:p w14:paraId="29E45CE6" w14:textId="77777777" w:rsidR="007431D8" w:rsidRDefault="007431D8">
      <w:pPr>
        <w:rPr>
          <w:rFonts w:ascii="Arial" w:hAnsi="Arial" w:cs="Arial"/>
          <w:b/>
          <w:color w:val="006C67" w:themeColor="accent1"/>
          <w:sz w:val="24"/>
        </w:rPr>
      </w:pPr>
      <w:r>
        <w:rPr>
          <w:rFonts w:cs="Arial"/>
        </w:rPr>
        <w:br w:type="page"/>
      </w:r>
    </w:p>
    <w:p w14:paraId="29E45CE7" w14:textId="77777777" w:rsidR="007431D8" w:rsidRDefault="007431D8" w:rsidP="007431D8">
      <w:pPr>
        <w:pStyle w:val="FigureHeading"/>
      </w:pPr>
      <w:bookmarkStart w:id="106" w:name="_Toc428448522"/>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t>, Yemen</w:t>
      </w:r>
      <w:bookmarkEnd w:id="106"/>
    </w:p>
    <w:p w14:paraId="29E45CE8" w14:textId="77777777" w:rsidR="007431D8" w:rsidRPr="007431D8" w:rsidRDefault="007431D8" w:rsidP="007431D8">
      <w:pPr>
        <w:pStyle w:val="BodyText"/>
      </w:pPr>
      <w:r>
        <w:rPr>
          <w:noProof/>
          <w:lang w:eastAsia="en-GB"/>
        </w:rPr>
        <w:drawing>
          <wp:inline distT="0" distB="0" distL="0" distR="0" wp14:anchorId="29E45D39" wp14:editId="29E45D3A">
            <wp:extent cx="4680966" cy="2800800"/>
            <wp:effectExtent l="0" t="0" r="571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9E45CE9" w14:textId="77777777" w:rsidR="007431D8" w:rsidRDefault="007431D8" w:rsidP="007431D8">
      <w:r>
        <w:rPr>
          <w:noProof/>
          <w:lang w:eastAsia="en-GB"/>
        </w:rPr>
        <w:drawing>
          <wp:inline distT="0" distB="0" distL="0" distR="0" wp14:anchorId="29E45D3B" wp14:editId="29E45D3C">
            <wp:extent cx="4680000" cy="2800800"/>
            <wp:effectExtent l="0" t="0" r="635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9E45CEA" w14:textId="77777777" w:rsidR="007431D8" w:rsidRPr="00B67D98" w:rsidRDefault="007431D8" w:rsidP="007431D8">
      <w:pPr>
        <w:pStyle w:val="Source"/>
      </w:pPr>
      <w:r w:rsidRPr="00B67D98">
        <w:t xml:space="preserve">Source: Own </w:t>
      </w:r>
      <w:r>
        <w:t xml:space="preserve">computations using </w:t>
      </w:r>
      <w:proofErr w:type="spellStart"/>
      <w:r>
        <w:t>Eora26</w:t>
      </w:r>
      <w:proofErr w:type="spellEnd"/>
      <w:r>
        <w:t xml:space="preserve"> database</w:t>
      </w:r>
    </w:p>
    <w:p w14:paraId="29E45CEB" w14:textId="77777777" w:rsidR="007431D8" w:rsidRDefault="007431D8" w:rsidP="007431D8"/>
    <w:p w14:paraId="29E45CEC" w14:textId="77777777" w:rsidR="007431D8" w:rsidRDefault="007431D8">
      <w:pPr>
        <w:rPr>
          <w:rFonts w:ascii="Arial" w:hAnsi="Arial" w:cs="Arial"/>
          <w:b/>
          <w:color w:val="006C67" w:themeColor="accent1"/>
          <w:sz w:val="24"/>
        </w:rPr>
      </w:pPr>
      <w:r>
        <w:rPr>
          <w:rFonts w:cs="Arial"/>
        </w:rPr>
        <w:br w:type="page"/>
      </w:r>
    </w:p>
    <w:p w14:paraId="29E45CED" w14:textId="77777777" w:rsidR="007431D8" w:rsidRPr="00623027" w:rsidRDefault="007431D8" w:rsidP="007431D8">
      <w:pPr>
        <w:pStyle w:val="FigureHeading"/>
        <w:rPr>
          <w:rFonts w:cs="Arial"/>
        </w:rPr>
      </w:pPr>
      <w:bookmarkStart w:id="107" w:name="_Toc428448523"/>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t>, Yemen</w:t>
      </w:r>
      <w:bookmarkEnd w:id="107"/>
    </w:p>
    <w:p w14:paraId="29E45CEE" w14:textId="77777777" w:rsidR="007431D8" w:rsidRDefault="007431D8" w:rsidP="007431D8">
      <w:r>
        <w:rPr>
          <w:noProof/>
          <w:lang w:eastAsia="en-GB"/>
        </w:rPr>
        <w:drawing>
          <wp:inline distT="0" distB="0" distL="0" distR="0" wp14:anchorId="29E45D3D" wp14:editId="29E45D3E">
            <wp:extent cx="4572000" cy="2743200"/>
            <wp:effectExtent l="0" t="0" r="0" b="0"/>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9E45CEF" w14:textId="77777777" w:rsidR="007431D8" w:rsidRPr="00B67D98" w:rsidRDefault="007431D8" w:rsidP="007431D8">
      <w:pPr>
        <w:pStyle w:val="Source"/>
      </w:pPr>
      <w:r w:rsidRPr="00B67D98">
        <w:t xml:space="preserve">Source: Own </w:t>
      </w:r>
      <w:r>
        <w:t xml:space="preserve">computations using </w:t>
      </w:r>
      <w:proofErr w:type="spellStart"/>
      <w:r>
        <w:t>Eora26</w:t>
      </w:r>
      <w:proofErr w:type="spellEnd"/>
      <w:r>
        <w:t xml:space="preserve"> database</w:t>
      </w:r>
    </w:p>
    <w:p w14:paraId="29E45CF0" w14:textId="77777777" w:rsidR="007431D8" w:rsidRDefault="007431D8" w:rsidP="007431D8"/>
    <w:p w14:paraId="29E45CF1" w14:textId="77777777" w:rsidR="007431D8" w:rsidRDefault="007431D8" w:rsidP="007431D8">
      <w:pPr>
        <w:pStyle w:val="FigureHeading"/>
      </w:pPr>
      <w:bookmarkStart w:id="108" w:name="_Toc428448524"/>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t>, Yemen</w:t>
      </w:r>
      <w:bookmarkEnd w:id="108"/>
    </w:p>
    <w:p w14:paraId="04098064" w14:textId="63BD2D3D" w:rsidR="00CD5D5F" w:rsidRPr="00CD5D5F" w:rsidRDefault="00CD5D5F" w:rsidP="00CD5D5F">
      <w:pPr>
        <w:pStyle w:val="BodyText"/>
        <w:spacing w:before="39" w:after="0" w:line="240" w:lineRule="auto"/>
        <w:jc w:val="left"/>
      </w:pPr>
      <w:r>
        <w:rPr>
          <w:noProof/>
          <w:lang w:eastAsia="en-GB"/>
        </w:rPr>
        <w:drawing>
          <wp:inline distT="0" distB="0" distL="0" distR="0" wp14:anchorId="6B7D7677" wp14:editId="2D454353">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9E45CF3" w14:textId="77777777" w:rsidR="007431D8" w:rsidRPr="00B67D98" w:rsidRDefault="007431D8" w:rsidP="007431D8">
      <w:pPr>
        <w:pStyle w:val="Source"/>
      </w:pPr>
      <w:r w:rsidRPr="00B67D98">
        <w:t xml:space="preserve">Source: Own </w:t>
      </w:r>
      <w:r>
        <w:t xml:space="preserve">computations using </w:t>
      </w:r>
      <w:proofErr w:type="spellStart"/>
      <w:r>
        <w:t>Eora26</w:t>
      </w:r>
      <w:proofErr w:type="spellEnd"/>
      <w:r>
        <w:t xml:space="preserve"> database</w:t>
      </w:r>
    </w:p>
    <w:p w14:paraId="29E45CF4" w14:textId="77777777" w:rsidR="007431D8" w:rsidRDefault="007431D8" w:rsidP="007431D8">
      <w:pPr>
        <w:pStyle w:val="BodyText"/>
      </w:pPr>
    </w:p>
    <w:p w14:paraId="29E45CF5" w14:textId="77777777" w:rsidR="007431D8" w:rsidRDefault="007431D8">
      <w:pPr>
        <w:rPr>
          <w:rFonts w:ascii="Arial" w:hAnsi="Arial" w:cs="Arial"/>
          <w:b/>
          <w:color w:val="006C67" w:themeColor="accent1"/>
          <w:sz w:val="24"/>
        </w:rPr>
      </w:pPr>
      <w:r>
        <w:rPr>
          <w:rFonts w:cs="Arial"/>
        </w:rPr>
        <w:br w:type="page"/>
      </w:r>
    </w:p>
    <w:p w14:paraId="29E45CF6" w14:textId="77777777" w:rsidR="007431D8" w:rsidRDefault="007431D8" w:rsidP="007431D8">
      <w:pPr>
        <w:pStyle w:val="FigureHeading"/>
      </w:pPr>
      <w:bookmarkStart w:id="109" w:name="_Toc428448525"/>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t>, Yemen</w:t>
      </w:r>
      <w:bookmarkEnd w:id="109"/>
    </w:p>
    <w:p w14:paraId="29E45CF7" w14:textId="77777777" w:rsidR="007431D8" w:rsidRPr="007431D8" w:rsidRDefault="007431D8" w:rsidP="00D05D3A">
      <w:pPr>
        <w:pStyle w:val="BodyText"/>
        <w:spacing w:before="39" w:after="0" w:line="240" w:lineRule="auto"/>
        <w:jc w:val="left"/>
      </w:pPr>
      <w:r>
        <w:rPr>
          <w:noProof/>
          <w:lang w:eastAsia="en-GB"/>
        </w:rPr>
        <w:drawing>
          <wp:inline distT="0" distB="0" distL="0" distR="0" wp14:anchorId="29E45D41" wp14:editId="29E45D42">
            <wp:extent cx="4680966" cy="2799806"/>
            <wp:effectExtent l="0" t="0" r="5715" b="6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9E45CF8" w14:textId="77777777" w:rsidR="007431D8" w:rsidRDefault="007431D8" w:rsidP="00D05D3A">
      <w:pPr>
        <w:pStyle w:val="BodyText"/>
        <w:spacing w:before="39" w:after="0" w:line="240" w:lineRule="auto"/>
        <w:jc w:val="left"/>
      </w:pPr>
      <w:r>
        <w:rPr>
          <w:noProof/>
          <w:lang w:eastAsia="en-GB"/>
        </w:rPr>
        <w:drawing>
          <wp:inline distT="0" distB="0" distL="0" distR="0" wp14:anchorId="29E45D43" wp14:editId="29E45D44">
            <wp:extent cx="4684014" cy="2799806"/>
            <wp:effectExtent l="0" t="0" r="2540" b="63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9E45CF9" w14:textId="77777777" w:rsidR="007431D8" w:rsidRPr="00B67D98" w:rsidRDefault="007431D8" w:rsidP="007431D8">
      <w:pPr>
        <w:pStyle w:val="Source"/>
      </w:pPr>
      <w:r w:rsidRPr="00B67D98">
        <w:t xml:space="preserve">Source: Own </w:t>
      </w:r>
      <w:r>
        <w:t xml:space="preserve">computations using </w:t>
      </w:r>
      <w:proofErr w:type="spellStart"/>
      <w:r>
        <w:t>Eora26</w:t>
      </w:r>
      <w:proofErr w:type="spellEnd"/>
      <w:r>
        <w:t xml:space="preserve"> database</w:t>
      </w:r>
    </w:p>
    <w:p w14:paraId="29E45CFA" w14:textId="17B5F554" w:rsidR="00301F4A" w:rsidRDefault="00301F4A">
      <w:r>
        <w:br w:type="page"/>
      </w:r>
    </w:p>
    <w:p w14:paraId="29A0DDBD" w14:textId="77777777" w:rsidR="00301F4A" w:rsidRDefault="00301F4A" w:rsidP="00301F4A">
      <w:pPr>
        <w:pStyle w:val="Heading2"/>
      </w:pPr>
      <w:bookmarkStart w:id="110" w:name="_Toc419997417"/>
      <w:bookmarkStart w:id="111" w:name="_Toc428448526"/>
      <w:r>
        <w:t>Trade in services</w:t>
      </w:r>
      <w:bookmarkEnd w:id="110"/>
      <w:bookmarkEnd w:id="111"/>
    </w:p>
    <w:p w14:paraId="3A914885" w14:textId="0DBC5C41" w:rsidR="007431D8" w:rsidRDefault="00301F4A" w:rsidP="00301F4A">
      <w:pPr>
        <w:pStyle w:val="FigureHeading"/>
      </w:pPr>
      <w:bookmarkStart w:id="112" w:name="_Toc428448527"/>
      <w:r>
        <w:t>Exports of goods and services, Yemen</w:t>
      </w:r>
      <w:bookmarkEnd w:id="112"/>
    </w:p>
    <w:p w14:paraId="7726273E" w14:textId="54082FE5" w:rsidR="00301F4A" w:rsidRDefault="00301F4A" w:rsidP="00301F4A">
      <w:pPr>
        <w:pStyle w:val="BodyText"/>
        <w:spacing w:before="39" w:after="0" w:line="240" w:lineRule="auto"/>
        <w:jc w:val="left"/>
      </w:pPr>
      <w:r>
        <w:rPr>
          <w:noProof/>
          <w:lang w:eastAsia="en-GB"/>
        </w:rPr>
        <w:drawing>
          <wp:inline distT="0" distB="0" distL="0" distR="0" wp14:anchorId="7D2205EC" wp14:editId="1D4A20C7">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53A2954" w14:textId="77777777" w:rsidR="00301F4A" w:rsidRDefault="00301F4A" w:rsidP="00301F4A">
      <w:pPr>
        <w:pStyle w:val="Source"/>
      </w:pPr>
      <w:r>
        <w:t>Source: Authors’ calculation using data from the World Bank’s World Development Indicators.</w:t>
      </w:r>
    </w:p>
    <w:p w14:paraId="5DC46FF7" w14:textId="4C2D3D4D" w:rsidR="00301F4A" w:rsidRDefault="00301F4A" w:rsidP="00301F4A">
      <w:pPr>
        <w:pStyle w:val="FigureHeading"/>
      </w:pPr>
      <w:bookmarkStart w:id="113" w:name="_Toc428448528"/>
      <w:r>
        <w:t>Sectoral shares of services exports, Yemen</w:t>
      </w:r>
      <w:bookmarkEnd w:id="113"/>
    </w:p>
    <w:p w14:paraId="674B3B42" w14:textId="18E0A779" w:rsidR="00301F4A" w:rsidRDefault="00301F4A" w:rsidP="00301F4A">
      <w:pPr>
        <w:pStyle w:val="BodyText"/>
        <w:spacing w:before="39" w:after="0" w:line="240" w:lineRule="auto"/>
        <w:jc w:val="left"/>
      </w:pPr>
      <w:r>
        <w:rPr>
          <w:noProof/>
          <w:lang w:eastAsia="en-GB"/>
        </w:rPr>
        <w:drawing>
          <wp:inline distT="0" distB="0" distL="0" distR="0" wp14:anchorId="117FA76C" wp14:editId="69468398">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B07E4C9" w14:textId="4D3CD495" w:rsidR="00301F4A" w:rsidRDefault="00301F4A" w:rsidP="00301F4A">
      <w:pPr>
        <w:pStyle w:val="Source"/>
      </w:pPr>
      <w:r w:rsidRPr="00301F4A">
        <w:t>Source: Authors’ calculation using data from the World Bank’s World Development Indicators.</w:t>
      </w:r>
    </w:p>
    <w:p w14:paraId="4F74C1D4" w14:textId="77777777" w:rsidR="00301F4A" w:rsidRPr="00301F4A" w:rsidRDefault="00301F4A" w:rsidP="00301F4A">
      <w:pPr>
        <w:pStyle w:val="Source"/>
      </w:pPr>
    </w:p>
    <w:p w14:paraId="29E45CFB" w14:textId="77777777" w:rsidR="007431D8" w:rsidRPr="007431D8" w:rsidRDefault="007431D8" w:rsidP="007431D8">
      <w:pPr>
        <w:pStyle w:val="BodyText"/>
      </w:pPr>
    </w:p>
    <w:p w14:paraId="29E45CFC" w14:textId="77777777" w:rsidR="00F3387B" w:rsidRDefault="00F3387B" w:rsidP="00F3387B">
      <w:r>
        <w:br w:type="page"/>
      </w:r>
    </w:p>
    <w:p w14:paraId="29E45CFD" w14:textId="77777777" w:rsidR="00F3387B" w:rsidRDefault="00F3387B" w:rsidP="006A1321">
      <w:pPr>
        <w:pStyle w:val="Heading1"/>
      </w:pPr>
      <w:bookmarkStart w:id="114" w:name="_Toc408300390"/>
      <w:bookmarkStart w:id="115" w:name="_Toc408311615"/>
      <w:bookmarkStart w:id="116" w:name="_Toc428448529"/>
      <w:r>
        <w:t xml:space="preserve">Estimates of </w:t>
      </w:r>
      <w:r w:rsidRPr="009E6714">
        <w:t>total factor productivity</w:t>
      </w:r>
      <w:r>
        <w:t xml:space="preserve"> at firm level</w:t>
      </w:r>
      <w:bookmarkEnd w:id="114"/>
      <w:bookmarkEnd w:id="115"/>
      <w:bookmarkEnd w:id="116"/>
    </w:p>
    <w:p w14:paraId="29E45CFE" w14:textId="77777777" w:rsidR="00F3387B" w:rsidRDefault="00F3387B" w:rsidP="00F3387B">
      <w:pPr>
        <w:pStyle w:val="FigureHeading"/>
      </w:pPr>
      <w:bookmarkStart w:id="117" w:name="_Toc408300245"/>
      <w:bookmarkStart w:id="118" w:name="_Toc408300391"/>
      <w:bookmarkStart w:id="119" w:name="_Toc408311616"/>
      <w:bookmarkStart w:id="120" w:name="_Toc428448530"/>
      <w:r w:rsidRPr="00087CCE">
        <w:t>Dispersion in productivity across firms by sector</w:t>
      </w:r>
      <w:r>
        <w:t xml:space="preserve"> – </w:t>
      </w:r>
      <w:bookmarkEnd w:id="117"/>
      <w:bookmarkEnd w:id="118"/>
      <w:bookmarkEnd w:id="119"/>
      <w:r>
        <w:t>Yemen</w:t>
      </w:r>
      <w:bookmarkEnd w:id="120"/>
    </w:p>
    <w:p w14:paraId="29E45CFF" w14:textId="77777777" w:rsidR="00F3387B" w:rsidRDefault="00F3387B" w:rsidP="00F3387B">
      <w:pPr>
        <w:rPr>
          <w:b/>
        </w:rPr>
      </w:pPr>
      <w:r>
        <w:rPr>
          <w:noProof/>
          <w:lang w:eastAsia="en-GB"/>
        </w:rPr>
        <w:drawing>
          <wp:inline distT="0" distB="0" distL="0" distR="0" wp14:anchorId="29E45D45" wp14:editId="29E45D46">
            <wp:extent cx="5113020" cy="37452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29E45D00" w14:textId="77777777" w:rsidR="00F3387B" w:rsidRDefault="00F3387B" w:rsidP="00F3387B">
      <w:pPr>
        <w:pStyle w:val="Source"/>
      </w:pPr>
      <w:r>
        <w:t>Source: Authors’ calculations using data from World Bank Enterprise Surveys (</w:t>
      </w:r>
      <w:hyperlink r:id="rId90" w:history="1">
        <w:r>
          <w:rPr>
            <w:rStyle w:val="Hyperlink"/>
          </w:rPr>
          <w:t>http://www.enterprisesurveys.org/</w:t>
        </w:r>
      </w:hyperlink>
      <w:r>
        <w:t>).</w:t>
      </w:r>
    </w:p>
    <w:p w14:paraId="29E45D01" w14:textId="77777777" w:rsidR="006A1321" w:rsidRDefault="006A1321">
      <w:pPr>
        <w:rPr>
          <w:rFonts w:ascii="Arial" w:hAnsi="Arial"/>
          <w:b/>
          <w:color w:val="006C67" w:themeColor="accent1"/>
          <w:sz w:val="24"/>
        </w:rPr>
      </w:pPr>
      <w:bookmarkStart w:id="121" w:name="_Toc408300246"/>
      <w:bookmarkStart w:id="122" w:name="_Toc408300392"/>
      <w:bookmarkStart w:id="123" w:name="_Toc408311617"/>
      <w:r>
        <w:br w:type="page"/>
      </w:r>
    </w:p>
    <w:p w14:paraId="29E45D02" w14:textId="77777777" w:rsidR="00F3387B" w:rsidRPr="00490E45" w:rsidRDefault="00F3387B" w:rsidP="00F3387B">
      <w:pPr>
        <w:pStyle w:val="FigureHeading"/>
      </w:pPr>
      <w:bookmarkStart w:id="124" w:name="_Toc428448531"/>
      <w:r>
        <w:t xml:space="preserve">Distribution </w:t>
      </w:r>
      <w:r w:rsidRPr="00087CCE">
        <w:t xml:space="preserve">in productivity </w:t>
      </w:r>
      <w:r>
        <w:t>in Yemen – comparing kernel and normal distributions</w:t>
      </w:r>
      <w:bookmarkEnd w:id="121"/>
      <w:bookmarkEnd w:id="122"/>
      <w:bookmarkEnd w:id="123"/>
      <w:bookmarkEnd w:id="124"/>
    </w:p>
    <w:p w14:paraId="29E45D03" w14:textId="77777777" w:rsidR="00F3387B" w:rsidRDefault="00F3387B" w:rsidP="00F3387B">
      <w:pPr>
        <w:pStyle w:val="BodyText"/>
        <w:spacing w:before="39" w:after="0" w:line="240" w:lineRule="auto"/>
        <w:jc w:val="left"/>
      </w:pPr>
      <w:r>
        <w:rPr>
          <w:noProof/>
          <w:lang w:eastAsia="en-GB"/>
        </w:rPr>
        <w:drawing>
          <wp:inline distT="0" distB="0" distL="0" distR="0" wp14:anchorId="29E45D47" wp14:editId="29E45D48">
            <wp:extent cx="5114290" cy="37426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29E45D04" w14:textId="77777777" w:rsidR="00F3387B" w:rsidRPr="00F3387B" w:rsidRDefault="00F3387B" w:rsidP="00F3387B">
      <w:pPr>
        <w:pStyle w:val="Source"/>
      </w:pPr>
      <w:r>
        <w:t>Source: Authors’ calculations using data from World Bank Enterprise Surveys (</w:t>
      </w:r>
      <w:hyperlink r:id="rId92" w:history="1">
        <w:r>
          <w:rPr>
            <w:rStyle w:val="Hyperlink"/>
          </w:rPr>
          <w:t>http://www.enterprisesurveys.org/</w:t>
        </w:r>
      </w:hyperlink>
      <w:r>
        <w:t>).</w:t>
      </w:r>
    </w:p>
    <w:sectPr w:rsidR="00F3387B" w:rsidRPr="00F3387B"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45D4D" w14:textId="77777777" w:rsidR="004D4BD8" w:rsidRDefault="004D4BD8" w:rsidP="00664562">
      <w:r>
        <w:separator/>
      </w:r>
    </w:p>
  </w:endnote>
  <w:endnote w:type="continuationSeparator" w:id="0">
    <w:p w14:paraId="29E45D4E" w14:textId="77777777" w:rsidR="004D4BD8" w:rsidRDefault="004D4BD8"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45D50" w14:textId="77777777" w:rsidR="004D4BD8" w:rsidRDefault="004D4BD8">
    <w:pPr>
      <w:pStyle w:val="Footer"/>
    </w:pPr>
    <w:r>
      <w:fldChar w:fldCharType="begin"/>
    </w:r>
    <w:r>
      <w:instrText xml:space="preserve"> page </w:instrText>
    </w:r>
    <w:r>
      <w:fldChar w:fldCharType="separate"/>
    </w:r>
    <w:r w:rsidR="00EF6E3A">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4D4BD8" w14:paraId="29E45D62" w14:textId="77777777" w:rsidTr="00401C72">
      <w:tc>
        <w:tcPr>
          <w:tcW w:w="3800" w:type="dxa"/>
        </w:tcPr>
        <w:p w14:paraId="29E45D60" w14:textId="77777777" w:rsidR="004D4BD8" w:rsidRDefault="004D4BD8" w:rsidP="00401C72">
          <w:pPr>
            <w:pStyle w:val="Strapline"/>
          </w:pPr>
          <w:r>
            <w:t>Shaping policy for development</w:t>
          </w:r>
        </w:p>
      </w:tc>
      <w:tc>
        <w:tcPr>
          <w:tcW w:w="6406" w:type="dxa"/>
        </w:tcPr>
        <w:p w14:paraId="29E45D61" w14:textId="77777777" w:rsidR="004D4BD8" w:rsidRPr="00346BDD" w:rsidRDefault="004D4BD8" w:rsidP="00401C72">
          <w:pPr>
            <w:pStyle w:val="Strapline"/>
            <w:jc w:val="right"/>
            <w:rPr>
              <w:b/>
            </w:rPr>
          </w:pPr>
          <w:r w:rsidRPr="00346BDD">
            <w:rPr>
              <w:b/>
            </w:rPr>
            <w:t>odi.org</w:t>
          </w:r>
        </w:p>
      </w:tc>
    </w:tr>
  </w:tbl>
  <w:p w14:paraId="29E45D63" w14:textId="77777777" w:rsidR="004D4BD8" w:rsidRDefault="004D4BD8">
    <w:pPr>
      <w:pStyle w:val="Footer"/>
    </w:pPr>
  </w:p>
  <w:p w14:paraId="29E45D64" w14:textId="77777777" w:rsidR="004D4BD8" w:rsidRDefault="004D4BD8">
    <w:pPr>
      <w:pStyle w:val="Footer"/>
    </w:pPr>
  </w:p>
  <w:p w14:paraId="29E45D65" w14:textId="77777777" w:rsidR="004D4BD8" w:rsidRDefault="004D4BD8">
    <w:pPr>
      <w:pStyle w:val="Footer"/>
    </w:pPr>
  </w:p>
  <w:p w14:paraId="29E45D66" w14:textId="77777777" w:rsidR="004D4BD8" w:rsidRDefault="004D4BD8">
    <w:pPr>
      <w:pStyle w:val="Footer"/>
    </w:pPr>
  </w:p>
  <w:p w14:paraId="29E45D67" w14:textId="77777777" w:rsidR="004D4BD8" w:rsidRDefault="004D4B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29E45D69" w14:textId="77777777" w:rsidR="004D4BD8" w:rsidRPr="001228CD" w:rsidRDefault="004D4BD8"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EF6E3A" w:rsidRPr="00EF6E3A">
          <w:rPr>
            <w:rFonts w:asciiTheme="majorHAnsi" w:eastAsiaTheme="majorEastAsia" w:hAnsiTheme="majorHAnsi" w:cstheme="majorHAnsi"/>
            <w:noProof/>
            <w:sz w:val="18"/>
            <w:szCs w:val="18"/>
          </w:rPr>
          <w:t>4</w:t>
        </w:r>
        <w:r w:rsidRPr="001228CD">
          <w:rPr>
            <w:rFonts w:asciiTheme="majorHAnsi" w:eastAsiaTheme="majorEastAsia" w:hAnsiTheme="majorHAnsi" w:cstheme="majorHAnsi"/>
            <w:noProof/>
            <w:sz w:val="18"/>
            <w:szCs w:val="18"/>
          </w:rPr>
          <w:fldChar w:fldCharType="end"/>
        </w:r>
      </w:p>
    </w:sdtContent>
  </w:sdt>
  <w:p w14:paraId="29E45D6A" w14:textId="77777777" w:rsidR="004D4BD8" w:rsidRDefault="004D4B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4D4BD8" w14:paraId="29E45D4A" w14:textId="77777777" w:rsidTr="00F676A1">
        <w:trPr>
          <w:trHeight w:hRule="exact" w:val="227"/>
        </w:trPr>
        <w:tc>
          <w:tcPr>
            <w:tcW w:w="9855" w:type="dxa"/>
          </w:tcPr>
          <w:p w14:paraId="29E45D49" w14:textId="77777777" w:rsidR="004D4BD8" w:rsidRDefault="004D4BD8" w:rsidP="0073462B">
            <w:pPr>
              <w:pStyle w:val="Footer"/>
            </w:pPr>
          </w:p>
        </w:tc>
      </w:tr>
    </w:tbl>
    <w:p w14:paraId="29E45D4B" w14:textId="77777777" w:rsidR="004D4BD8" w:rsidRPr="0073462B" w:rsidRDefault="004D4BD8" w:rsidP="0073462B">
      <w:pPr>
        <w:pStyle w:val="Footer"/>
        <w:rPr>
          <w:sz w:val="2"/>
          <w:szCs w:val="2"/>
        </w:rPr>
      </w:pPr>
    </w:p>
  </w:footnote>
  <w:footnote w:type="continuationSeparator" w:id="0">
    <w:p w14:paraId="29E45D4C" w14:textId="77777777" w:rsidR="004D4BD8" w:rsidRDefault="004D4BD8"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45D4F" w14:textId="77777777" w:rsidR="004D4BD8" w:rsidRDefault="004D4BD8">
    <w:pPr>
      <w:pStyle w:val="Header"/>
    </w:pPr>
    <w:r>
      <w:rPr>
        <w:noProof/>
        <w:lang w:eastAsia="en-GB"/>
      </w:rPr>
      <mc:AlternateContent>
        <mc:Choice Requires="wps">
          <w:drawing>
            <wp:anchor distT="0" distB="0" distL="114300" distR="114300" simplePos="0" relativeHeight="251659264" behindDoc="1" locked="0" layoutInCell="1" allowOverlap="1" wp14:anchorId="29E45D6B" wp14:editId="29E45D6C">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45D51" w14:textId="25EE200F" w:rsidR="004D4BD8" w:rsidRPr="00F409DF" w:rsidRDefault="004D4BD8" w:rsidP="00401C72">
    <w:pPr>
      <w:pStyle w:val="Header"/>
      <w:rPr>
        <w:sz w:val="20"/>
        <w:szCs w:val="20"/>
      </w:rPr>
    </w:pPr>
    <w:r w:rsidRPr="00301F4A">
      <w:rPr>
        <w:sz w:val="20"/>
        <w:szCs w:val="20"/>
      </w:rPr>
      <w:t xml:space="preserve">Last updated: </w:t>
    </w:r>
    <w:r w:rsidR="00887216">
      <w:rPr>
        <w:sz w:val="20"/>
        <w:szCs w:val="20"/>
      </w:rPr>
      <w:t>27 August 2015</w:t>
    </w:r>
  </w:p>
  <w:p w14:paraId="29E45D52" w14:textId="77777777" w:rsidR="004D4BD8" w:rsidRDefault="004D4BD8" w:rsidP="00401C72">
    <w:pPr>
      <w:pStyle w:val="Header"/>
    </w:pPr>
  </w:p>
  <w:p w14:paraId="29E45D53" w14:textId="77777777" w:rsidR="004D4BD8" w:rsidRDefault="004D4BD8" w:rsidP="00401C72">
    <w:pPr>
      <w:pStyle w:val="Header"/>
    </w:pPr>
  </w:p>
  <w:p w14:paraId="29E45D54" w14:textId="77777777" w:rsidR="004D4BD8" w:rsidRDefault="004D4BD8" w:rsidP="00401C72">
    <w:pPr>
      <w:pStyle w:val="Header"/>
    </w:pPr>
  </w:p>
  <w:p w14:paraId="29E45D55" w14:textId="77777777" w:rsidR="004D4BD8" w:rsidRDefault="004D4BD8" w:rsidP="00401C72">
    <w:pPr>
      <w:pStyle w:val="Header"/>
    </w:pPr>
  </w:p>
  <w:p w14:paraId="29E45D56" w14:textId="77777777" w:rsidR="004D4BD8" w:rsidRDefault="004D4BD8" w:rsidP="00401C72">
    <w:pPr>
      <w:pStyle w:val="Header"/>
    </w:pPr>
  </w:p>
  <w:p w14:paraId="29E45D57" w14:textId="77777777" w:rsidR="004D4BD8" w:rsidRDefault="004D4BD8" w:rsidP="00401C72">
    <w:pPr>
      <w:pStyle w:val="Header"/>
    </w:pPr>
  </w:p>
  <w:p w14:paraId="29E45D58" w14:textId="77777777" w:rsidR="004D4BD8" w:rsidRDefault="004D4BD8" w:rsidP="00401C72">
    <w:pPr>
      <w:pStyle w:val="Header"/>
    </w:pPr>
  </w:p>
  <w:p w14:paraId="29E45D59" w14:textId="77777777" w:rsidR="004D4BD8" w:rsidRDefault="004D4BD8" w:rsidP="00401C72">
    <w:pPr>
      <w:pStyle w:val="Header"/>
    </w:pPr>
  </w:p>
  <w:p w14:paraId="29E45D5A" w14:textId="77777777" w:rsidR="004D4BD8" w:rsidRDefault="004D4BD8" w:rsidP="00401C72">
    <w:pPr>
      <w:pStyle w:val="Header"/>
    </w:pPr>
  </w:p>
  <w:p w14:paraId="29E45D5B" w14:textId="77777777" w:rsidR="004D4BD8" w:rsidRDefault="004D4BD8" w:rsidP="00401C72">
    <w:pPr>
      <w:pStyle w:val="Header"/>
    </w:pPr>
  </w:p>
  <w:p w14:paraId="29E45D5C" w14:textId="77777777" w:rsidR="004D4BD8" w:rsidRDefault="004D4BD8" w:rsidP="00401C72">
    <w:pPr>
      <w:pStyle w:val="Header"/>
    </w:pPr>
  </w:p>
  <w:p w14:paraId="29E45D5D" w14:textId="77777777" w:rsidR="004D4BD8" w:rsidRDefault="004D4BD8" w:rsidP="00401C72">
    <w:pPr>
      <w:pStyle w:val="Header"/>
    </w:pPr>
  </w:p>
  <w:p w14:paraId="29E45D5E" w14:textId="77777777" w:rsidR="004D4BD8" w:rsidRDefault="004D4BD8" w:rsidP="00401C72">
    <w:pPr>
      <w:pStyle w:val="Header"/>
    </w:pPr>
  </w:p>
  <w:p w14:paraId="29E45D5F" w14:textId="77777777" w:rsidR="004D4BD8" w:rsidRDefault="004D4BD8" w:rsidP="00401C72">
    <w:pPr>
      <w:pStyle w:val="Header"/>
    </w:pPr>
    <w:r>
      <w:rPr>
        <w:noProof/>
        <w:lang w:eastAsia="en-GB"/>
      </w:rPr>
      <w:drawing>
        <wp:anchor distT="0" distB="0" distL="114300" distR="114300" simplePos="0" relativeHeight="251664384" behindDoc="1" locked="0" layoutInCell="1" allowOverlap="1" wp14:anchorId="29E45D6D" wp14:editId="29E45D6E">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29E45D6F" wp14:editId="29E45D70">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45D68" w14:textId="77777777" w:rsidR="004D4BD8" w:rsidRDefault="004D4B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3"/>
  </w:num>
  <w:num w:numId="2">
    <w:abstractNumId w:val="5"/>
  </w:num>
  <w:num w:numId="3">
    <w:abstractNumId w:val="10"/>
  </w:num>
  <w:num w:numId="4">
    <w:abstractNumId w:val="4"/>
  </w:num>
  <w:num w:numId="5">
    <w:abstractNumId w:val="2"/>
  </w:num>
  <w:num w:numId="6">
    <w:abstractNumId w:val="11"/>
  </w:num>
  <w:num w:numId="7">
    <w:abstractNumId w:val="9"/>
  </w:num>
  <w:num w:numId="8">
    <w:abstractNumId w:val="7"/>
  </w:num>
  <w:num w:numId="9">
    <w:abstractNumId w:val="0"/>
  </w:num>
  <w:num w:numId="10">
    <w:abstractNumId w:val="8"/>
  </w:num>
  <w:num w:numId="11">
    <w:abstractNumId w:val="1"/>
  </w:num>
  <w:num w:numId="12">
    <w:abstractNumId w:val="8"/>
  </w:num>
  <w:num w:numId="13">
    <w:abstractNumId w:val="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07F99"/>
    <w:rsid w:val="00011EA8"/>
    <w:rsid w:val="00012753"/>
    <w:rsid w:val="00012BBD"/>
    <w:rsid w:val="0001514C"/>
    <w:rsid w:val="00024ADE"/>
    <w:rsid w:val="000260C6"/>
    <w:rsid w:val="00031CCD"/>
    <w:rsid w:val="0005222E"/>
    <w:rsid w:val="00053D3C"/>
    <w:rsid w:val="00062C4C"/>
    <w:rsid w:val="0007293C"/>
    <w:rsid w:val="00082FAD"/>
    <w:rsid w:val="00092E42"/>
    <w:rsid w:val="000A169E"/>
    <w:rsid w:val="000A2821"/>
    <w:rsid w:val="000A45B1"/>
    <w:rsid w:val="000A5D4E"/>
    <w:rsid w:val="000A6828"/>
    <w:rsid w:val="000B6991"/>
    <w:rsid w:val="000C193D"/>
    <w:rsid w:val="000D1433"/>
    <w:rsid w:val="000D3120"/>
    <w:rsid w:val="000D6D0D"/>
    <w:rsid w:val="000D7881"/>
    <w:rsid w:val="000F6EF5"/>
    <w:rsid w:val="001032B7"/>
    <w:rsid w:val="0010754B"/>
    <w:rsid w:val="00120AF6"/>
    <w:rsid w:val="001228CD"/>
    <w:rsid w:val="00122DDC"/>
    <w:rsid w:val="00127793"/>
    <w:rsid w:val="00133231"/>
    <w:rsid w:val="0013568E"/>
    <w:rsid w:val="0016258F"/>
    <w:rsid w:val="00164374"/>
    <w:rsid w:val="00171B3C"/>
    <w:rsid w:val="001721C5"/>
    <w:rsid w:val="00174E09"/>
    <w:rsid w:val="00183515"/>
    <w:rsid w:val="001879E3"/>
    <w:rsid w:val="001A761C"/>
    <w:rsid w:val="001B4EE1"/>
    <w:rsid w:val="001C4EF9"/>
    <w:rsid w:val="001D36AE"/>
    <w:rsid w:val="001D49A0"/>
    <w:rsid w:val="001D49E8"/>
    <w:rsid w:val="001E32EE"/>
    <w:rsid w:val="001E4A81"/>
    <w:rsid w:val="001F4E55"/>
    <w:rsid w:val="0021269B"/>
    <w:rsid w:val="00230AAA"/>
    <w:rsid w:val="00232565"/>
    <w:rsid w:val="002370C9"/>
    <w:rsid w:val="0024174D"/>
    <w:rsid w:val="002463BE"/>
    <w:rsid w:val="002506FB"/>
    <w:rsid w:val="00253523"/>
    <w:rsid w:val="00254E99"/>
    <w:rsid w:val="00255B93"/>
    <w:rsid w:val="0026761A"/>
    <w:rsid w:val="00270D22"/>
    <w:rsid w:val="00272C14"/>
    <w:rsid w:val="002731D3"/>
    <w:rsid w:val="002751F9"/>
    <w:rsid w:val="002944B4"/>
    <w:rsid w:val="002B354B"/>
    <w:rsid w:val="002B58F7"/>
    <w:rsid w:val="002C3051"/>
    <w:rsid w:val="002C3212"/>
    <w:rsid w:val="002D227E"/>
    <w:rsid w:val="002D2734"/>
    <w:rsid w:val="002D3E1B"/>
    <w:rsid w:val="002D65F8"/>
    <w:rsid w:val="0030081A"/>
    <w:rsid w:val="00301F4A"/>
    <w:rsid w:val="00303E52"/>
    <w:rsid w:val="00305FA5"/>
    <w:rsid w:val="0030797E"/>
    <w:rsid w:val="00310652"/>
    <w:rsid w:val="003137F8"/>
    <w:rsid w:val="00332F91"/>
    <w:rsid w:val="00333E0C"/>
    <w:rsid w:val="003353EE"/>
    <w:rsid w:val="0033758D"/>
    <w:rsid w:val="0034397C"/>
    <w:rsid w:val="00346BDD"/>
    <w:rsid w:val="00346D13"/>
    <w:rsid w:val="00347AA3"/>
    <w:rsid w:val="00371218"/>
    <w:rsid w:val="003912BC"/>
    <w:rsid w:val="00392938"/>
    <w:rsid w:val="00394688"/>
    <w:rsid w:val="00394BB8"/>
    <w:rsid w:val="003A792E"/>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17AEB"/>
    <w:rsid w:val="00436F99"/>
    <w:rsid w:val="00440C46"/>
    <w:rsid w:val="00455C2A"/>
    <w:rsid w:val="004565AC"/>
    <w:rsid w:val="00457F88"/>
    <w:rsid w:val="00462DDC"/>
    <w:rsid w:val="00470867"/>
    <w:rsid w:val="00472D81"/>
    <w:rsid w:val="00484325"/>
    <w:rsid w:val="0048459F"/>
    <w:rsid w:val="00485EC0"/>
    <w:rsid w:val="00486495"/>
    <w:rsid w:val="00494281"/>
    <w:rsid w:val="004B0FE9"/>
    <w:rsid w:val="004B51DA"/>
    <w:rsid w:val="004C56B6"/>
    <w:rsid w:val="004D4BD8"/>
    <w:rsid w:val="004E73F1"/>
    <w:rsid w:val="004F060B"/>
    <w:rsid w:val="00507122"/>
    <w:rsid w:val="00517C36"/>
    <w:rsid w:val="00520318"/>
    <w:rsid w:val="00520965"/>
    <w:rsid w:val="005217FF"/>
    <w:rsid w:val="005304D0"/>
    <w:rsid w:val="00543D1D"/>
    <w:rsid w:val="00545BC5"/>
    <w:rsid w:val="00551EA2"/>
    <w:rsid w:val="00563320"/>
    <w:rsid w:val="00564A7A"/>
    <w:rsid w:val="00564F0B"/>
    <w:rsid w:val="00567544"/>
    <w:rsid w:val="00575F70"/>
    <w:rsid w:val="00590C4A"/>
    <w:rsid w:val="005A1BA7"/>
    <w:rsid w:val="005A58F4"/>
    <w:rsid w:val="005A6FA7"/>
    <w:rsid w:val="005B0344"/>
    <w:rsid w:val="005B4E8C"/>
    <w:rsid w:val="005C2CD5"/>
    <w:rsid w:val="005C6F94"/>
    <w:rsid w:val="005C75EB"/>
    <w:rsid w:val="005D2D85"/>
    <w:rsid w:val="005D512E"/>
    <w:rsid w:val="005E037A"/>
    <w:rsid w:val="005F1B76"/>
    <w:rsid w:val="005F2BFA"/>
    <w:rsid w:val="005F4244"/>
    <w:rsid w:val="006029DA"/>
    <w:rsid w:val="00612519"/>
    <w:rsid w:val="00617000"/>
    <w:rsid w:val="00640456"/>
    <w:rsid w:val="00644703"/>
    <w:rsid w:val="00646F4F"/>
    <w:rsid w:val="0065174D"/>
    <w:rsid w:val="006572EF"/>
    <w:rsid w:val="00664562"/>
    <w:rsid w:val="00666E17"/>
    <w:rsid w:val="0067593F"/>
    <w:rsid w:val="0068259C"/>
    <w:rsid w:val="00684AF0"/>
    <w:rsid w:val="00684FE5"/>
    <w:rsid w:val="006875E9"/>
    <w:rsid w:val="00696ABC"/>
    <w:rsid w:val="006977AE"/>
    <w:rsid w:val="006A1321"/>
    <w:rsid w:val="006B1675"/>
    <w:rsid w:val="006B2F9B"/>
    <w:rsid w:val="006B4CF4"/>
    <w:rsid w:val="006C1FA8"/>
    <w:rsid w:val="006C4A48"/>
    <w:rsid w:val="006C513A"/>
    <w:rsid w:val="006C7729"/>
    <w:rsid w:val="006D0BDA"/>
    <w:rsid w:val="006D55AE"/>
    <w:rsid w:val="006E46CD"/>
    <w:rsid w:val="006F2898"/>
    <w:rsid w:val="006F684D"/>
    <w:rsid w:val="00705562"/>
    <w:rsid w:val="007111EA"/>
    <w:rsid w:val="00712DB9"/>
    <w:rsid w:val="00714EDC"/>
    <w:rsid w:val="007165E2"/>
    <w:rsid w:val="007176CB"/>
    <w:rsid w:val="007177E3"/>
    <w:rsid w:val="0073462B"/>
    <w:rsid w:val="007431D8"/>
    <w:rsid w:val="0075133B"/>
    <w:rsid w:val="007529EE"/>
    <w:rsid w:val="00757B0B"/>
    <w:rsid w:val="00764512"/>
    <w:rsid w:val="007645F6"/>
    <w:rsid w:val="007662F3"/>
    <w:rsid w:val="0079184A"/>
    <w:rsid w:val="007A3E19"/>
    <w:rsid w:val="007A45AB"/>
    <w:rsid w:val="007B1A68"/>
    <w:rsid w:val="007B3D02"/>
    <w:rsid w:val="007B403C"/>
    <w:rsid w:val="007C0CF7"/>
    <w:rsid w:val="007C3BA6"/>
    <w:rsid w:val="007D1DB2"/>
    <w:rsid w:val="007D2AA3"/>
    <w:rsid w:val="007E19B2"/>
    <w:rsid w:val="007E30E8"/>
    <w:rsid w:val="007E38A7"/>
    <w:rsid w:val="007F3E73"/>
    <w:rsid w:val="007F6828"/>
    <w:rsid w:val="008010A2"/>
    <w:rsid w:val="0082000A"/>
    <w:rsid w:val="0082160C"/>
    <w:rsid w:val="00831464"/>
    <w:rsid w:val="00835040"/>
    <w:rsid w:val="00836B03"/>
    <w:rsid w:val="008375CF"/>
    <w:rsid w:val="0084519B"/>
    <w:rsid w:val="008607CD"/>
    <w:rsid w:val="008649F8"/>
    <w:rsid w:val="00865754"/>
    <w:rsid w:val="0086796E"/>
    <w:rsid w:val="0088042D"/>
    <w:rsid w:val="0088574D"/>
    <w:rsid w:val="00887216"/>
    <w:rsid w:val="008A1ACA"/>
    <w:rsid w:val="008A430A"/>
    <w:rsid w:val="008B225E"/>
    <w:rsid w:val="008D4154"/>
    <w:rsid w:val="008E2FCE"/>
    <w:rsid w:val="008F0DE4"/>
    <w:rsid w:val="008F4CE5"/>
    <w:rsid w:val="00902A0F"/>
    <w:rsid w:val="00926356"/>
    <w:rsid w:val="00927476"/>
    <w:rsid w:val="00932113"/>
    <w:rsid w:val="00933493"/>
    <w:rsid w:val="0093607A"/>
    <w:rsid w:val="00941049"/>
    <w:rsid w:val="00946728"/>
    <w:rsid w:val="009620BC"/>
    <w:rsid w:val="00962BC0"/>
    <w:rsid w:val="00994F8F"/>
    <w:rsid w:val="00996663"/>
    <w:rsid w:val="009A08FB"/>
    <w:rsid w:val="009A2FC4"/>
    <w:rsid w:val="009A47D7"/>
    <w:rsid w:val="009B1AF6"/>
    <w:rsid w:val="009B346D"/>
    <w:rsid w:val="009C3C78"/>
    <w:rsid w:val="009C4A22"/>
    <w:rsid w:val="009D26F6"/>
    <w:rsid w:val="009D72A8"/>
    <w:rsid w:val="009F1A46"/>
    <w:rsid w:val="009F3201"/>
    <w:rsid w:val="00A251B5"/>
    <w:rsid w:val="00A257BE"/>
    <w:rsid w:val="00A32D24"/>
    <w:rsid w:val="00A34431"/>
    <w:rsid w:val="00A364CB"/>
    <w:rsid w:val="00A375FF"/>
    <w:rsid w:val="00A44F79"/>
    <w:rsid w:val="00A55623"/>
    <w:rsid w:val="00A55E26"/>
    <w:rsid w:val="00A63AAB"/>
    <w:rsid w:val="00A63EF0"/>
    <w:rsid w:val="00A8569F"/>
    <w:rsid w:val="00A85F57"/>
    <w:rsid w:val="00A86B25"/>
    <w:rsid w:val="00A90359"/>
    <w:rsid w:val="00AD0B21"/>
    <w:rsid w:val="00AD31B2"/>
    <w:rsid w:val="00AD51AB"/>
    <w:rsid w:val="00AD7A53"/>
    <w:rsid w:val="00AE002E"/>
    <w:rsid w:val="00AE5156"/>
    <w:rsid w:val="00AE567E"/>
    <w:rsid w:val="00AE752E"/>
    <w:rsid w:val="00AF5CFE"/>
    <w:rsid w:val="00B0147A"/>
    <w:rsid w:val="00B12AEC"/>
    <w:rsid w:val="00B1497C"/>
    <w:rsid w:val="00B36F67"/>
    <w:rsid w:val="00B407A0"/>
    <w:rsid w:val="00B40B3F"/>
    <w:rsid w:val="00B43E10"/>
    <w:rsid w:val="00B43EA2"/>
    <w:rsid w:val="00B44747"/>
    <w:rsid w:val="00B468C6"/>
    <w:rsid w:val="00B50876"/>
    <w:rsid w:val="00B5437B"/>
    <w:rsid w:val="00B66F91"/>
    <w:rsid w:val="00B755ED"/>
    <w:rsid w:val="00B76800"/>
    <w:rsid w:val="00B76AAE"/>
    <w:rsid w:val="00B77BAD"/>
    <w:rsid w:val="00B808C2"/>
    <w:rsid w:val="00B81FB2"/>
    <w:rsid w:val="00B833F0"/>
    <w:rsid w:val="00B851CA"/>
    <w:rsid w:val="00B85EE6"/>
    <w:rsid w:val="00B96C41"/>
    <w:rsid w:val="00B96F8F"/>
    <w:rsid w:val="00B970EA"/>
    <w:rsid w:val="00BA441A"/>
    <w:rsid w:val="00BA5FA0"/>
    <w:rsid w:val="00BA639F"/>
    <w:rsid w:val="00BB2A9C"/>
    <w:rsid w:val="00BB5F06"/>
    <w:rsid w:val="00BB675E"/>
    <w:rsid w:val="00BC1A2F"/>
    <w:rsid w:val="00BC486C"/>
    <w:rsid w:val="00BD3901"/>
    <w:rsid w:val="00BD4A20"/>
    <w:rsid w:val="00BE010C"/>
    <w:rsid w:val="00BF137D"/>
    <w:rsid w:val="00C001CF"/>
    <w:rsid w:val="00C00A3D"/>
    <w:rsid w:val="00C05475"/>
    <w:rsid w:val="00C06538"/>
    <w:rsid w:val="00C12C19"/>
    <w:rsid w:val="00C141A3"/>
    <w:rsid w:val="00C16D5D"/>
    <w:rsid w:val="00C22116"/>
    <w:rsid w:val="00C2422C"/>
    <w:rsid w:val="00C325B7"/>
    <w:rsid w:val="00C34342"/>
    <w:rsid w:val="00C34B1C"/>
    <w:rsid w:val="00C34FB8"/>
    <w:rsid w:val="00C41384"/>
    <w:rsid w:val="00C41769"/>
    <w:rsid w:val="00C51D05"/>
    <w:rsid w:val="00C52918"/>
    <w:rsid w:val="00C53D15"/>
    <w:rsid w:val="00C560EE"/>
    <w:rsid w:val="00C562F1"/>
    <w:rsid w:val="00C6750C"/>
    <w:rsid w:val="00C7167F"/>
    <w:rsid w:val="00C87F58"/>
    <w:rsid w:val="00C91C87"/>
    <w:rsid w:val="00C94B90"/>
    <w:rsid w:val="00CA7558"/>
    <w:rsid w:val="00CB2389"/>
    <w:rsid w:val="00CB41DF"/>
    <w:rsid w:val="00CC2458"/>
    <w:rsid w:val="00CC2F0A"/>
    <w:rsid w:val="00CC7325"/>
    <w:rsid w:val="00CC7B99"/>
    <w:rsid w:val="00CD153A"/>
    <w:rsid w:val="00CD4953"/>
    <w:rsid w:val="00CD5D5F"/>
    <w:rsid w:val="00CD6E26"/>
    <w:rsid w:val="00D042AF"/>
    <w:rsid w:val="00D05D3A"/>
    <w:rsid w:val="00D10D73"/>
    <w:rsid w:val="00D2707D"/>
    <w:rsid w:val="00D315D7"/>
    <w:rsid w:val="00D40056"/>
    <w:rsid w:val="00D4065B"/>
    <w:rsid w:val="00D4548D"/>
    <w:rsid w:val="00D522AF"/>
    <w:rsid w:val="00D54624"/>
    <w:rsid w:val="00D63019"/>
    <w:rsid w:val="00D65A90"/>
    <w:rsid w:val="00D7098B"/>
    <w:rsid w:val="00D80511"/>
    <w:rsid w:val="00D836B6"/>
    <w:rsid w:val="00D851C0"/>
    <w:rsid w:val="00D9040C"/>
    <w:rsid w:val="00D94502"/>
    <w:rsid w:val="00DA00FD"/>
    <w:rsid w:val="00DA1B71"/>
    <w:rsid w:val="00DA68ED"/>
    <w:rsid w:val="00DC1A9F"/>
    <w:rsid w:val="00DD4551"/>
    <w:rsid w:val="00DE6F6D"/>
    <w:rsid w:val="00DF040A"/>
    <w:rsid w:val="00DF5522"/>
    <w:rsid w:val="00E16D2C"/>
    <w:rsid w:val="00E27196"/>
    <w:rsid w:val="00E34060"/>
    <w:rsid w:val="00E43561"/>
    <w:rsid w:val="00E44849"/>
    <w:rsid w:val="00E50793"/>
    <w:rsid w:val="00E628F5"/>
    <w:rsid w:val="00E65B70"/>
    <w:rsid w:val="00E71649"/>
    <w:rsid w:val="00E72539"/>
    <w:rsid w:val="00E74E32"/>
    <w:rsid w:val="00E76EF9"/>
    <w:rsid w:val="00E8041F"/>
    <w:rsid w:val="00E81E7D"/>
    <w:rsid w:val="00E83DC2"/>
    <w:rsid w:val="00EA21D5"/>
    <w:rsid w:val="00EA4839"/>
    <w:rsid w:val="00EA756A"/>
    <w:rsid w:val="00EC049E"/>
    <w:rsid w:val="00EC45E7"/>
    <w:rsid w:val="00EC498B"/>
    <w:rsid w:val="00ED6C42"/>
    <w:rsid w:val="00EE326C"/>
    <w:rsid w:val="00EE341B"/>
    <w:rsid w:val="00EE45CF"/>
    <w:rsid w:val="00EE4860"/>
    <w:rsid w:val="00EF6E3A"/>
    <w:rsid w:val="00F05E89"/>
    <w:rsid w:val="00F060FB"/>
    <w:rsid w:val="00F07233"/>
    <w:rsid w:val="00F118A0"/>
    <w:rsid w:val="00F12B6E"/>
    <w:rsid w:val="00F1337E"/>
    <w:rsid w:val="00F16BDE"/>
    <w:rsid w:val="00F319A2"/>
    <w:rsid w:val="00F3387B"/>
    <w:rsid w:val="00F409DF"/>
    <w:rsid w:val="00F50092"/>
    <w:rsid w:val="00F515DA"/>
    <w:rsid w:val="00F5280A"/>
    <w:rsid w:val="00F565AD"/>
    <w:rsid w:val="00F60282"/>
    <w:rsid w:val="00F624DF"/>
    <w:rsid w:val="00F64B41"/>
    <w:rsid w:val="00F6653B"/>
    <w:rsid w:val="00F676A1"/>
    <w:rsid w:val="00F67AC6"/>
    <w:rsid w:val="00F76C68"/>
    <w:rsid w:val="00F8038D"/>
    <w:rsid w:val="00F844B7"/>
    <w:rsid w:val="00F94CB0"/>
    <w:rsid w:val="00F95547"/>
    <w:rsid w:val="00F975F4"/>
    <w:rsid w:val="00FB0BC4"/>
    <w:rsid w:val="00FB382F"/>
    <w:rsid w:val="00FC3972"/>
    <w:rsid w:val="00FC45D4"/>
    <w:rsid w:val="00FC470D"/>
    <w:rsid w:val="00FC783A"/>
    <w:rsid w:val="00FD1A3A"/>
    <w:rsid w:val="00FD1D37"/>
    <w:rsid w:val="00FD69CD"/>
    <w:rsid w:val="00FE1ED2"/>
    <w:rsid w:val="00FE29D8"/>
    <w:rsid w:val="00FE6293"/>
    <w:rsid w:val="00FE650F"/>
    <w:rsid w:val="00FE7B68"/>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style="mso-position-horizontal:left;mso-position-horizontal-relative:margin;mso-position-vertical-relative:page">
      <v:stroke weight=".5pt"/>
    </o:shapedefaults>
    <o:shapelayout v:ext="edit">
      <o:idmap v:ext="edit" data="1"/>
    </o:shapelayout>
  </w:shapeDefaults>
  <w:decimalSymbol w:val="."/>
  <w:listSeparator w:val=","/>
  <w14:docId w14:val="29E45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3387B"/>
    <w:rPr>
      <w:rFonts w:ascii="Times New Roman" w:hAnsi="Times New Roman"/>
      <w:szCs w:val="22"/>
      <w:lang w:eastAsia="en-US"/>
    </w:rPr>
  </w:style>
  <w:style w:type="paragraph" w:styleId="Heading1">
    <w:name w:val="heading 1"/>
    <w:basedOn w:val="Normal"/>
    <w:next w:val="BodyText"/>
    <w:link w:val="Heading1Char"/>
    <w:uiPriority w:val="9"/>
    <w:qFormat/>
    <w:rsid w:val="00F3387B"/>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F3387B"/>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F3387B"/>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F3387B"/>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F3387B"/>
    <w:pPr>
      <w:outlineLvl w:val="4"/>
    </w:pPr>
    <w:rPr>
      <w:b w:val="0"/>
      <w:i w:val="0"/>
    </w:rPr>
  </w:style>
  <w:style w:type="paragraph" w:styleId="Heading6">
    <w:name w:val="heading 6"/>
    <w:basedOn w:val="Normal"/>
    <w:next w:val="BodyText"/>
    <w:link w:val="Heading6Char"/>
    <w:uiPriority w:val="9"/>
    <w:semiHidden/>
    <w:qFormat/>
    <w:rsid w:val="00F3387B"/>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F3387B"/>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3387B"/>
    <w:pPr>
      <w:spacing w:after="190" w:line="250" w:lineRule="atLeast"/>
      <w:jc w:val="both"/>
    </w:pPr>
  </w:style>
  <w:style w:type="character" w:customStyle="1" w:styleId="BodyTextChar">
    <w:name w:val="Body Text Char"/>
    <w:link w:val="BodyText"/>
    <w:rsid w:val="00F3387B"/>
    <w:rPr>
      <w:rFonts w:ascii="Times New Roman" w:hAnsi="Times New Roman"/>
      <w:szCs w:val="22"/>
      <w:lang w:eastAsia="en-US"/>
    </w:rPr>
  </w:style>
  <w:style w:type="character" w:customStyle="1" w:styleId="Heading1Char">
    <w:name w:val="Heading 1 Char"/>
    <w:link w:val="Heading1"/>
    <w:uiPriority w:val="9"/>
    <w:rsid w:val="00F3387B"/>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F3387B"/>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F3387B"/>
    <w:rPr>
      <w:rFonts w:ascii="Arial" w:eastAsia="Times New Roman" w:hAnsi="Arial"/>
      <w:b/>
      <w:bCs/>
      <w:szCs w:val="26"/>
      <w:lang w:eastAsia="en-US"/>
    </w:rPr>
  </w:style>
  <w:style w:type="character" w:customStyle="1" w:styleId="Heading4Char">
    <w:name w:val="Heading 4 Char"/>
    <w:link w:val="Heading4"/>
    <w:uiPriority w:val="9"/>
    <w:rsid w:val="00F3387B"/>
    <w:rPr>
      <w:rFonts w:ascii="Arial" w:eastAsia="Times New Roman" w:hAnsi="Arial"/>
      <w:b/>
      <w:i/>
      <w:iCs/>
      <w:sz w:val="18"/>
      <w:szCs w:val="26"/>
      <w:lang w:eastAsia="en-US"/>
    </w:rPr>
  </w:style>
  <w:style w:type="character" w:customStyle="1" w:styleId="Heading5Char">
    <w:name w:val="Heading 5 Char"/>
    <w:link w:val="Heading5"/>
    <w:uiPriority w:val="9"/>
    <w:semiHidden/>
    <w:rsid w:val="00F3387B"/>
    <w:rPr>
      <w:rFonts w:ascii="Arial" w:eastAsia="Times New Roman" w:hAnsi="Arial"/>
      <w:iCs/>
      <w:sz w:val="18"/>
      <w:szCs w:val="26"/>
      <w:lang w:eastAsia="en-US"/>
    </w:rPr>
  </w:style>
  <w:style w:type="character" w:customStyle="1" w:styleId="Heading6Char">
    <w:name w:val="Heading 6 Char"/>
    <w:link w:val="Heading6"/>
    <w:uiPriority w:val="9"/>
    <w:semiHidden/>
    <w:rsid w:val="00F3387B"/>
    <w:rPr>
      <w:rFonts w:ascii="Times New Roman" w:eastAsia="Times New Roman" w:hAnsi="Times New Roman"/>
      <w:i/>
      <w:iCs/>
      <w:szCs w:val="22"/>
      <w:lang w:eastAsia="en-US"/>
    </w:rPr>
  </w:style>
  <w:style w:type="paragraph" w:styleId="ListNumber">
    <w:name w:val="List Number"/>
    <w:basedOn w:val="Normal"/>
    <w:uiPriority w:val="99"/>
    <w:unhideWhenUsed/>
    <w:qFormat/>
    <w:rsid w:val="00F3387B"/>
    <w:pPr>
      <w:numPr>
        <w:numId w:val="9"/>
      </w:numPr>
      <w:spacing w:line="250" w:lineRule="atLeast"/>
      <w:jc w:val="both"/>
    </w:pPr>
  </w:style>
  <w:style w:type="paragraph" w:styleId="ListNumber2">
    <w:name w:val="List Number 2"/>
    <w:basedOn w:val="ListNumber"/>
    <w:uiPriority w:val="99"/>
    <w:unhideWhenUsed/>
    <w:qFormat/>
    <w:rsid w:val="00F3387B"/>
    <w:pPr>
      <w:numPr>
        <w:ilvl w:val="1"/>
      </w:numPr>
    </w:pPr>
  </w:style>
  <w:style w:type="paragraph" w:styleId="ListNumber3">
    <w:name w:val="List Number 3"/>
    <w:basedOn w:val="ListNumber2"/>
    <w:uiPriority w:val="99"/>
    <w:unhideWhenUsed/>
    <w:qFormat/>
    <w:rsid w:val="00F3387B"/>
    <w:pPr>
      <w:numPr>
        <w:ilvl w:val="2"/>
      </w:numPr>
    </w:pPr>
  </w:style>
  <w:style w:type="paragraph" w:styleId="ListContinue">
    <w:name w:val="List Continue"/>
    <w:basedOn w:val="Normal"/>
    <w:uiPriority w:val="99"/>
    <w:unhideWhenUsed/>
    <w:qFormat/>
    <w:rsid w:val="00F3387B"/>
    <w:pPr>
      <w:spacing w:line="250" w:lineRule="atLeast"/>
      <w:ind w:left="567" w:right="567"/>
      <w:jc w:val="both"/>
    </w:pPr>
  </w:style>
  <w:style w:type="paragraph" w:styleId="ListContinue2">
    <w:name w:val="List Continue 2"/>
    <w:basedOn w:val="Normal"/>
    <w:uiPriority w:val="99"/>
    <w:unhideWhenUsed/>
    <w:qFormat/>
    <w:rsid w:val="00F3387B"/>
    <w:pPr>
      <w:spacing w:line="250" w:lineRule="atLeast"/>
      <w:ind w:left="851" w:right="567"/>
      <w:jc w:val="both"/>
    </w:pPr>
  </w:style>
  <w:style w:type="paragraph" w:styleId="ListContinue3">
    <w:name w:val="List Continue 3"/>
    <w:basedOn w:val="Normal"/>
    <w:uiPriority w:val="99"/>
    <w:unhideWhenUsed/>
    <w:qFormat/>
    <w:rsid w:val="00F3387B"/>
    <w:pPr>
      <w:spacing w:line="250" w:lineRule="atLeast"/>
      <w:ind w:left="1134" w:right="567"/>
      <w:jc w:val="both"/>
    </w:pPr>
  </w:style>
  <w:style w:type="paragraph" w:styleId="ListBullet">
    <w:name w:val="List Bullet"/>
    <w:basedOn w:val="Normal"/>
    <w:uiPriority w:val="99"/>
    <w:unhideWhenUsed/>
    <w:qFormat/>
    <w:rsid w:val="00F3387B"/>
    <w:pPr>
      <w:numPr>
        <w:numId w:val="4"/>
      </w:numPr>
      <w:spacing w:line="250" w:lineRule="atLeast"/>
      <w:ind w:right="567"/>
      <w:jc w:val="both"/>
    </w:pPr>
  </w:style>
  <w:style w:type="paragraph" w:styleId="ListBullet2">
    <w:name w:val="List Bullet 2"/>
    <w:basedOn w:val="ListBullet"/>
    <w:uiPriority w:val="99"/>
    <w:unhideWhenUsed/>
    <w:qFormat/>
    <w:rsid w:val="00F3387B"/>
    <w:pPr>
      <w:numPr>
        <w:ilvl w:val="1"/>
      </w:numPr>
    </w:pPr>
  </w:style>
  <w:style w:type="character" w:customStyle="1" w:styleId="Heading7Char">
    <w:name w:val="Heading 7 Char"/>
    <w:link w:val="Heading7"/>
    <w:uiPriority w:val="9"/>
    <w:semiHidden/>
    <w:rsid w:val="00F3387B"/>
    <w:rPr>
      <w:rFonts w:eastAsia="Times New Roman"/>
      <w:i/>
      <w:iCs/>
      <w:color w:val="404040"/>
      <w:szCs w:val="22"/>
      <w:lang w:eastAsia="en-US"/>
    </w:rPr>
  </w:style>
  <w:style w:type="paragraph" w:styleId="Footer">
    <w:name w:val="footer"/>
    <w:basedOn w:val="Normal"/>
    <w:link w:val="FooterChar"/>
    <w:uiPriority w:val="99"/>
    <w:unhideWhenUsed/>
    <w:rsid w:val="00F3387B"/>
    <w:pPr>
      <w:ind w:right="-2835"/>
      <w:jc w:val="right"/>
    </w:pPr>
    <w:rPr>
      <w:rFonts w:ascii="Arial" w:hAnsi="Arial"/>
      <w:sz w:val="15"/>
    </w:rPr>
  </w:style>
  <w:style w:type="character" w:customStyle="1" w:styleId="FooterChar">
    <w:name w:val="Footer Char"/>
    <w:link w:val="Footer"/>
    <w:uiPriority w:val="99"/>
    <w:rsid w:val="00F3387B"/>
    <w:rPr>
      <w:rFonts w:ascii="Arial" w:hAnsi="Arial"/>
      <w:sz w:val="15"/>
      <w:szCs w:val="22"/>
      <w:lang w:eastAsia="en-US"/>
    </w:rPr>
  </w:style>
  <w:style w:type="paragraph" w:styleId="Header">
    <w:name w:val="header"/>
    <w:basedOn w:val="Normal"/>
    <w:link w:val="HeaderChar"/>
    <w:uiPriority w:val="99"/>
    <w:unhideWhenUsed/>
    <w:rsid w:val="00F3387B"/>
    <w:pPr>
      <w:tabs>
        <w:tab w:val="center" w:pos="4680"/>
        <w:tab w:val="right" w:pos="9360"/>
      </w:tabs>
      <w:jc w:val="right"/>
    </w:pPr>
    <w:rPr>
      <w:rFonts w:ascii="Arial" w:hAnsi="Arial"/>
      <w:sz w:val="16"/>
    </w:rPr>
  </w:style>
  <w:style w:type="character" w:customStyle="1" w:styleId="HeaderChar">
    <w:name w:val="Header Char"/>
    <w:link w:val="Header"/>
    <w:uiPriority w:val="99"/>
    <w:rsid w:val="00F3387B"/>
    <w:rPr>
      <w:rFonts w:ascii="Arial" w:hAnsi="Arial"/>
      <w:sz w:val="16"/>
      <w:szCs w:val="22"/>
      <w:lang w:eastAsia="en-US"/>
    </w:rPr>
  </w:style>
  <w:style w:type="character" w:styleId="PageNumber">
    <w:name w:val="page number"/>
    <w:uiPriority w:val="99"/>
    <w:semiHidden/>
    <w:unhideWhenUsed/>
    <w:rsid w:val="00F3387B"/>
    <w:rPr>
      <w:rFonts w:ascii="Arial" w:hAnsi="Arial"/>
      <w:sz w:val="20"/>
    </w:rPr>
  </w:style>
  <w:style w:type="table" w:customStyle="1" w:styleId="Blank">
    <w:name w:val="Blank"/>
    <w:basedOn w:val="TableNormal"/>
    <w:uiPriority w:val="99"/>
    <w:rsid w:val="00F3387B"/>
    <w:tblPr>
      <w:tblCellMar>
        <w:left w:w="0" w:type="dxa"/>
        <w:right w:w="0" w:type="dxa"/>
      </w:tblCellMar>
    </w:tblPr>
  </w:style>
  <w:style w:type="paragraph" w:styleId="BalloonText">
    <w:name w:val="Balloon Text"/>
    <w:basedOn w:val="Normal"/>
    <w:link w:val="BalloonTextChar"/>
    <w:uiPriority w:val="99"/>
    <w:semiHidden/>
    <w:unhideWhenUsed/>
    <w:rsid w:val="00F3387B"/>
    <w:rPr>
      <w:rFonts w:ascii="Tahoma" w:hAnsi="Tahoma" w:cs="Tahoma"/>
      <w:sz w:val="16"/>
      <w:szCs w:val="16"/>
    </w:rPr>
  </w:style>
  <w:style w:type="character" w:customStyle="1" w:styleId="BalloonTextChar">
    <w:name w:val="Balloon Text Char"/>
    <w:basedOn w:val="DefaultParagraphFont"/>
    <w:link w:val="BalloonText"/>
    <w:uiPriority w:val="99"/>
    <w:semiHidden/>
    <w:rsid w:val="00F3387B"/>
    <w:rPr>
      <w:rFonts w:ascii="Tahoma" w:hAnsi="Tahoma" w:cs="Tahoma"/>
      <w:sz w:val="16"/>
      <w:szCs w:val="16"/>
      <w:lang w:eastAsia="en-US"/>
    </w:rPr>
  </w:style>
  <w:style w:type="table" w:styleId="TableGrid">
    <w:name w:val="Table Grid"/>
    <w:basedOn w:val="TableNormal"/>
    <w:uiPriority w:val="59"/>
    <w:rsid w:val="00F33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387B"/>
    <w:rPr>
      <w:color w:val="0000FF"/>
      <w:u w:val="single"/>
    </w:rPr>
  </w:style>
  <w:style w:type="character" w:styleId="FollowedHyperlink">
    <w:name w:val="FollowedHyperlink"/>
    <w:basedOn w:val="DefaultParagraphFont"/>
    <w:uiPriority w:val="99"/>
    <w:semiHidden/>
    <w:unhideWhenUsed/>
    <w:rsid w:val="00F3387B"/>
    <w:rPr>
      <w:color w:val="800080"/>
      <w:u w:val="single"/>
    </w:rPr>
  </w:style>
  <w:style w:type="numbering" w:customStyle="1" w:styleId="ODIHeadings">
    <w:name w:val="ODI Headings"/>
    <w:basedOn w:val="NoList"/>
    <w:uiPriority w:val="99"/>
    <w:rsid w:val="00F3387B"/>
    <w:pPr>
      <w:numPr>
        <w:numId w:val="7"/>
      </w:numPr>
    </w:pPr>
  </w:style>
  <w:style w:type="paragraph" w:customStyle="1" w:styleId="Strapline">
    <w:name w:val="Strapline"/>
    <w:basedOn w:val="Normal"/>
    <w:rsid w:val="00F3387B"/>
    <w:pPr>
      <w:spacing w:before="100" w:after="100"/>
    </w:pPr>
    <w:rPr>
      <w:rFonts w:ascii="Arial" w:hAnsi="Arial"/>
      <w:color w:val="006C67" w:themeColor="accent1"/>
      <w:sz w:val="24"/>
    </w:rPr>
  </w:style>
  <w:style w:type="paragraph" w:customStyle="1" w:styleId="TableHeading">
    <w:name w:val="Table Heading"/>
    <w:basedOn w:val="Normal"/>
    <w:next w:val="BodyText"/>
    <w:qFormat/>
    <w:rsid w:val="00F409DF"/>
    <w:pPr>
      <w:numPr>
        <w:numId w:val="16"/>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F3387B"/>
    <w:pPr>
      <w:numPr>
        <w:numId w:val="11"/>
      </w:numPr>
    </w:pPr>
  </w:style>
  <w:style w:type="paragraph" w:customStyle="1" w:styleId="FigureHeading">
    <w:name w:val="Figure Heading"/>
    <w:basedOn w:val="Normal"/>
    <w:next w:val="BodyText"/>
    <w:qFormat/>
    <w:rsid w:val="00F409DF"/>
    <w:pPr>
      <w:numPr>
        <w:numId w:val="15"/>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F3387B"/>
    <w:pPr>
      <w:numPr>
        <w:numId w:val="6"/>
      </w:numPr>
    </w:pPr>
  </w:style>
  <w:style w:type="paragraph" w:customStyle="1" w:styleId="BoxHeading">
    <w:name w:val="Box Heading"/>
    <w:basedOn w:val="Normal"/>
    <w:next w:val="BoxText"/>
    <w:qFormat/>
    <w:rsid w:val="00F3387B"/>
    <w:pPr>
      <w:spacing w:after="113"/>
    </w:pPr>
    <w:rPr>
      <w:rFonts w:ascii="Arial" w:hAnsi="Arial"/>
      <w:b/>
      <w:color w:val="006C67" w:themeColor="accent1"/>
      <w:sz w:val="22"/>
    </w:rPr>
  </w:style>
  <w:style w:type="numbering" w:customStyle="1" w:styleId="ODIBoxHeadings">
    <w:name w:val="ODI Box Headings"/>
    <w:basedOn w:val="NoList"/>
    <w:uiPriority w:val="99"/>
    <w:rsid w:val="00F3387B"/>
    <w:pPr>
      <w:numPr>
        <w:numId w:val="3"/>
      </w:numPr>
    </w:pPr>
  </w:style>
  <w:style w:type="paragraph" w:customStyle="1" w:styleId="Abbreviation">
    <w:name w:val="Abbreviation"/>
    <w:basedOn w:val="Normal"/>
    <w:qFormat/>
    <w:rsid w:val="00F3387B"/>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F3387B"/>
    <w:rPr>
      <w:sz w:val="16"/>
      <w:szCs w:val="20"/>
    </w:rPr>
  </w:style>
  <w:style w:type="character" w:customStyle="1" w:styleId="FootnoteTextChar">
    <w:name w:val="Footnote Text Char"/>
    <w:basedOn w:val="DefaultParagraphFont"/>
    <w:link w:val="FootnoteText"/>
    <w:uiPriority w:val="99"/>
    <w:rsid w:val="00F3387B"/>
    <w:rPr>
      <w:rFonts w:ascii="Times New Roman" w:hAnsi="Times New Roman"/>
      <w:sz w:val="16"/>
      <w:lang w:eastAsia="en-US"/>
    </w:rPr>
  </w:style>
  <w:style w:type="character" w:styleId="FootnoteReference">
    <w:name w:val="footnote reference"/>
    <w:basedOn w:val="DefaultParagraphFont"/>
    <w:uiPriority w:val="99"/>
    <w:qFormat/>
    <w:rsid w:val="00F3387B"/>
    <w:rPr>
      <w:rFonts w:asciiTheme="minorHAnsi" w:hAnsiTheme="minorHAnsi"/>
      <w:sz w:val="19"/>
      <w:vertAlign w:val="superscript"/>
    </w:rPr>
  </w:style>
  <w:style w:type="numbering" w:customStyle="1" w:styleId="ODIBullets">
    <w:name w:val="ODI Bullets"/>
    <w:basedOn w:val="NoList"/>
    <w:uiPriority w:val="99"/>
    <w:rsid w:val="00F3387B"/>
    <w:pPr>
      <w:numPr>
        <w:numId w:val="4"/>
      </w:numPr>
    </w:pPr>
  </w:style>
  <w:style w:type="paragraph" w:customStyle="1" w:styleId="LastBullet">
    <w:name w:val="Last Bullet"/>
    <w:basedOn w:val="ListBullet"/>
    <w:next w:val="BodyText"/>
    <w:qFormat/>
    <w:rsid w:val="00F3387B"/>
    <w:pPr>
      <w:numPr>
        <w:numId w:val="8"/>
      </w:numPr>
      <w:spacing w:after="190"/>
    </w:pPr>
  </w:style>
  <w:style w:type="numbering" w:customStyle="1" w:styleId="ODILastBullet">
    <w:name w:val="ODI Last Bullet"/>
    <w:basedOn w:val="ODIBullets"/>
    <w:uiPriority w:val="99"/>
    <w:rsid w:val="00F3387B"/>
    <w:pPr>
      <w:numPr>
        <w:numId w:val="8"/>
      </w:numPr>
    </w:pPr>
  </w:style>
  <w:style w:type="table" w:customStyle="1" w:styleId="ODITable">
    <w:name w:val="ODI Table"/>
    <w:basedOn w:val="TableNormal"/>
    <w:uiPriority w:val="99"/>
    <w:rsid w:val="00F3387B"/>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F3387B"/>
    <w:pPr>
      <w:spacing w:line="220" w:lineRule="atLeast"/>
    </w:pPr>
    <w:rPr>
      <w:rFonts w:ascii="Arial" w:hAnsi="Arial"/>
      <w:sz w:val="17"/>
    </w:rPr>
  </w:style>
  <w:style w:type="paragraph" w:customStyle="1" w:styleId="ColumnHeading">
    <w:name w:val="Column Heading"/>
    <w:basedOn w:val="Normal"/>
    <w:next w:val="TableText"/>
    <w:qFormat/>
    <w:rsid w:val="00F3387B"/>
    <w:rPr>
      <w:rFonts w:ascii="Arial" w:hAnsi="Arial"/>
      <w:b/>
      <w:sz w:val="17"/>
    </w:rPr>
  </w:style>
  <w:style w:type="paragraph" w:customStyle="1" w:styleId="TableBullet">
    <w:name w:val="Table Bullet"/>
    <w:basedOn w:val="TableText"/>
    <w:qFormat/>
    <w:rsid w:val="00F3387B"/>
    <w:pPr>
      <w:numPr>
        <w:numId w:val="12"/>
      </w:numPr>
    </w:pPr>
  </w:style>
  <w:style w:type="numbering" w:customStyle="1" w:styleId="ODITableBullet">
    <w:name w:val="ODI Table Bullet"/>
    <w:basedOn w:val="NoList"/>
    <w:uiPriority w:val="99"/>
    <w:rsid w:val="00F3387B"/>
    <w:pPr>
      <w:numPr>
        <w:numId w:val="10"/>
      </w:numPr>
    </w:pPr>
  </w:style>
  <w:style w:type="paragraph" w:customStyle="1" w:styleId="Source">
    <w:name w:val="Source"/>
    <w:basedOn w:val="Normal"/>
    <w:qFormat/>
    <w:rsid w:val="00F3387B"/>
    <w:pPr>
      <w:spacing w:before="39" w:after="250"/>
    </w:pPr>
    <w:rPr>
      <w:rFonts w:ascii="Arial" w:hAnsi="Arial"/>
      <w:i/>
      <w:sz w:val="16"/>
    </w:rPr>
  </w:style>
  <w:style w:type="paragraph" w:customStyle="1" w:styleId="BoxText">
    <w:name w:val="Box Text"/>
    <w:basedOn w:val="Normal"/>
    <w:qFormat/>
    <w:rsid w:val="00F3387B"/>
    <w:pPr>
      <w:spacing w:after="135"/>
      <w:jc w:val="both"/>
    </w:pPr>
    <w:rPr>
      <w:rFonts w:ascii="Arial" w:hAnsi="Arial"/>
      <w:sz w:val="18"/>
    </w:rPr>
  </w:style>
  <w:style w:type="table" w:customStyle="1" w:styleId="ODIBox">
    <w:name w:val="ODI Box"/>
    <w:basedOn w:val="TableNormal"/>
    <w:uiPriority w:val="99"/>
    <w:rsid w:val="00F3387B"/>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F3387B"/>
    <w:pPr>
      <w:numPr>
        <w:numId w:val="2"/>
      </w:numPr>
      <w:spacing w:after="0"/>
      <w:ind w:right="284"/>
    </w:pPr>
  </w:style>
  <w:style w:type="numbering" w:customStyle="1" w:styleId="ODIBoxBullet">
    <w:name w:val="ODI Box Bullet"/>
    <w:basedOn w:val="NoList"/>
    <w:uiPriority w:val="99"/>
    <w:rsid w:val="00F3387B"/>
    <w:pPr>
      <w:numPr>
        <w:numId w:val="2"/>
      </w:numPr>
    </w:pPr>
  </w:style>
  <w:style w:type="numbering" w:customStyle="1" w:styleId="ODINumberedList">
    <w:name w:val="ODI Numbered List"/>
    <w:basedOn w:val="NoList"/>
    <w:uiPriority w:val="99"/>
    <w:rsid w:val="00F3387B"/>
    <w:pPr>
      <w:numPr>
        <w:numId w:val="9"/>
      </w:numPr>
    </w:pPr>
  </w:style>
  <w:style w:type="numbering" w:customStyle="1" w:styleId="ODICoverBullets">
    <w:name w:val="ODI Cover Bullets"/>
    <w:basedOn w:val="NoList"/>
    <w:uiPriority w:val="99"/>
    <w:rsid w:val="00F3387B"/>
    <w:pPr>
      <w:numPr>
        <w:numId w:val="5"/>
      </w:numPr>
    </w:pPr>
  </w:style>
  <w:style w:type="paragraph" w:styleId="Quote">
    <w:name w:val="Quote"/>
    <w:basedOn w:val="Normal"/>
    <w:next w:val="Normal"/>
    <w:link w:val="QuoteChar"/>
    <w:uiPriority w:val="29"/>
    <w:rsid w:val="00F3387B"/>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F3387B"/>
    <w:rPr>
      <w:rFonts w:ascii="Times New Roman" w:hAnsi="Times New Roman"/>
      <w:i/>
      <w:iCs/>
      <w:szCs w:val="22"/>
      <w:lang w:eastAsia="en-US"/>
    </w:rPr>
  </w:style>
  <w:style w:type="paragraph" w:customStyle="1" w:styleId="BodyTextNoSpacing">
    <w:name w:val="Body Text No Spacing"/>
    <w:basedOn w:val="BodyText"/>
    <w:qFormat/>
    <w:rsid w:val="00F3387B"/>
    <w:pPr>
      <w:spacing w:after="0"/>
    </w:pPr>
  </w:style>
  <w:style w:type="paragraph" w:customStyle="1" w:styleId="SourceNoSpace">
    <w:name w:val="Source No Space"/>
    <w:basedOn w:val="Source"/>
    <w:next w:val="Normal"/>
    <w:qFormat/>
    <w:rsid w:val="00F3387B"/>
    <w:pPr>
      <w:spacing w:after="0"/>
    </w:pPr>
  </w:style>
  <w:style w:type="paragraph" w:customStyle="1" w:styleId="AbbreviationDescription">
    <w:name w:val="Abbreviation Description"/>
    <w:basedOn w:val="Normal"/>
    <w:qFormat/>
    <w:rsid w:val="00F3387B"/>
    <w:pPr>
      <w:spacing w:line="480" w:lineRule="exact"/>
    </w:pPr>
  </w:style>
  <w:style w:type="paragraph" w:styleId="Caption">
    <w:name w:val="caption"/>
    <w:basedOn w:val="Normal"/>
    <w:next w:val="Normal"/>
    <w:uiPriority w:val="35"/>
    <w:qFormat/>
    <w:rsid w:val="00F3387B"/>
    <w:pPr>
      <w:spacing w:after="40"/>
    </w:pPr>
    <w:rPr>
      <w:rFonts w:ascii="Arial" w:hAnsi="Arial"/>
      <w:b/>
      <w:iCs/>
      <w:color w:val="006C67" w:themeColor="accent1"/>
      <w:sz w:val="24"/>
      <w:szCs w:val="18"/>
    </w:rPr>
  </w:style>
  <w:style w:type="paragraph" w:customStyle="1" w:styleId="font5">
    <w:name w:val="font5"/>
    <w:basedOn w:val="Normal"/>
    <w:rsid w:val="00F3387B"/>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F3387B"/>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F3387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F3387B"/>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F3387B"/>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F338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F338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F338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F3387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F3387B"/>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F3387B"/>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F3387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F338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F338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F3387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F3387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F3387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F3387B"/>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F3387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F3387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F3387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F3387B"/>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F3387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F3387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F3387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F3387B"/>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F3387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F3387B"/>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F3387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F3387B"/>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F3387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F3387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F3387B"/>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F3387B"/>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F3387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F3387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F3387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F3387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F3387B"/>
    <w:rPr>
      <w:sz w:val="16"/>
      <w:szCs w:val="16"/>
    </w:rPr>
  </w:style>
  <w:style w:type="paragraph" w:styleId="CommentText">
    <w:name w:val="annotation text"/>
    <w:basedOn w:val="Normal"/>
    <w:link w:val="CommentTextChar"/>
    <w:uiPriority w:val="99"/>
    <w:semiHidden/>
    <w:unhideWhenUsed/>
    <w:rsid w:val="00F3387B"/>
    <w:rPr>
      <w:szCs w:val="20"/>
    </w:rPr>
  </w:style>
  <w:style w:type="character" w:customStyle="1" w:styleId="CommentTextChar">
    <w:name w:val="Comment Text Char"/>
    <w:basedOn w:val="DefaultParagraphFont"/>
    <w:link w:val="CommentText"/>
    <w:uiPriority w:val="99"/>
    <w:semiHidden/>
    <w:rsid w:val="00F3387B"/>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F3387B"/>
    <w:rPr>
      <w:b/>
      <w:bCs/>
    </w:rPr>
  </w:style>
  <w:style w:type="character" w:customStyle="1" w:styleId="CommentSubjectChar">
    <w:name w:val="Comment Subject Char"/>
    <w:basedOn w:val="CommentTextChar"/>
    <w:link w:val="CommentSubject"/>
    <w:uiPriority w:val="99"/>
    <w:semiHidden/>
    <w:rsid w:val="00F3387B"/>
    <w:rPr>
      <w:rFonts w:ascii="Times New Roman" w:hAnsi="Times New Roman"/>
      <w:b/>
      <w:bCs/>
      <w:lang w:eastAsia="en-US"/>
    </w:rPr>
  </w:style>
  <w:style w:type="paragraph" w:styleId="TableofFigures">
    <w:name w:val="table of figures"/>
    <w:basedOn w:val="Normal"/>
    <w:next w:val="Normal"/>
    <w:uiPriority w:val="99"/>
    <w:unhideWhenUsed/>
    <w:rsid w:val="00F3387B"/>
    <w:pPr>
      <w:spacing w:after="60"/>
    </w:pPr>
    <w:rPr>
      <w:rFonts w:ascii="Arial" w:hAnsi="Arial"/>
    </w:rPr>
  </w:style>
  <w:style w:type="paragraph" w:styleId="TOC2">
    <w:name w:val="toc 2"/>
    <w:basedOn w:val="Normal"/>
    <w:next w:val="Normal"/>
    <w:autoRedefine/>
    <w:uiPriority w:val="39"/>
    <w:unhideWhenUsed/>
    <w:rsid w:val="00F3387B"/>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F3387B"/>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F3387B"/>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3387B"/>
    <w:rPr>
      <w:rFonts w:ascii="Times New Roman" w:hAnsi="Times New Roman"/>
      <w:szCs w:val="22"/>
      <w:lang w:eastAsia="en-US"/>
    </w:rPr>
  </w:style>
  <w:style w:type="paragraph" w:styleId="Heading1">
    <w:name w:val="heading 1"/>
    <w:basedOn w:val="Normal"/>
    <w:next w:val="BodyText"/>
    <w:link w:val="Heading1Char"/>
    <w:uiPriority w:val="9"/>
    <w:qFormat/>
    <w:rsid w:val="00F3387B"/>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F3387B"/>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F3387B"/>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F3387B"/>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F3387B"/>
    <w:pPr>
      <w:outlineLvl w:val="4"/>
    </w:pPr>
    <w:rPr>
      <w:b w:val="0"/>
      <w:i w:val="0"/>
    </w:rPr>
  </w:style>
  <w:style w:type="paragraph" w:styleId="Heading6">
    <w:name w:val="heading 6"/>
    <w:basedOn w:val="Normal"/>
    <w:next w:val="BodyText"/>
    <w:link w:val="Heading6Char"/>
    <w:uiPriority w:val="9"/>
    <w:semiHidden/>
    <w:qFormat/>
    <w:rsid w:val="00F3387B"/>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F3387B"/>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3387B"/>
    <w:pPr>
      <w:spacing w:after="190" w:line="250" w:lineRule="atLeast"/>
      <w:jc w:val="both"/>
    </w:pPr>
  </w:style>
  <w:style w:type="character" w:customStyle="1" w:styleId="BodyTextChar">
    <w:name w:val="Body Text Char"/>
    <w:link w:val="BodyText"/>
    <w:rsid w:val="00F3387B"/>
    <w:rPr>
      <w:rFonts w:ascii="Times New Roman" w:hAnsi="Times New Roman"/>
      <w:szCs w:val="22"/>
      <w:lang w:eastAsia="en-US"/>
    </w:rPr>
  </w:style>
  <w:style w:type="character" w:customStyle="1" w:styleId="Heading1Char">
    <w:name w:val="Heading 1 Char"/>
    <w:link w:val="Heading1"/>
    <w:uiPriority w:val="9"/>
    <w:rsid w:val="00F3387B"/>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F3387B"/>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F3387B"/>
    <w:rPr>
      <w:rFonts w:ascii="Arial" w:eastAsia="Times New Roman" w:hAnsi="Arial"/>
      <w:b/>
      <w:bCs/>
      <w:szCs w:val="26"/>
      <w:lang w:eastAsia="en-US"/>
    </w:rPr>
  </w:style>
  <w:style w:type="character" w:customStyle="1" w:styleId="Heading4Char">
    <w:name w:val="Heading 4 Char"/>
    <w:link w:val="Heading4"/>
    <w:uiPriority w:val="9"/>
    <w:rsid w:val="00F3387B"/>
    <w:rPr>
      <w:rFonts w:ascii="Arial" w:eastAsia="Times New Roman" w:hAnsi="Arial"/>
      <w:b/>
      <w:i/>
      <w:iCs/>
      <w:sz w:val="18"/>
      <w:szCs w:val="26"/>
      <w:lang w:eastAsia="en-US"/>
    </w:rPr>
  </w:style>
  <w:style w:type="character" w:customStyle="1" w:styleId="Heading5Char">
    <w:name w:val="Heading 5 Char"/>
    <w:link w:val="Heading5"/>
    <w:uiPriority w:val="9"/>
    <w:semiHidden/>
    <w:rsid w:val="00F3387B"/>
    <w:rPr>
      <w:rFonts w:ascii="Arial" w:eastAsia="Times New Roman" w:hAnsi="Arial"/>
      <w:iCs/>
      <w:sz w:val="18"/>
      <w:szCs w:val="26"/>
      <w:lang w:eastAsia="en-US"/>
    </w:rPr>
  </w:style>
  <w:style w:type="character" w:customStyle="1" w:styleId="Heading6Char">
    <w:name w:val="Heading 6 Char"/>
    <w:link w:val="Heading6"/>
    <w:uiPriority w:val="9"/>
    <w:semiHidden/>
    <w:rsid w:val="00F3387B"/>
    <w:rPr>
      <w:rFonts w:ascii="Times New Roman" w:eastAsia="Times New Roman" w:hAnsi="Times New Roman"/>
      <w:i/>
      <w:iCs/>
      <w:szCs w:val="22"/>
      <w:lang w:eastAsia="en-US"/>
    </w:rPr>
  </w:style>
  <w:style w:type="paragraph" w:styleId="ListNumber">
    <w:name w:val="List Number"/>
    <w:basedOn w:val="Normal"/>
    <w:uiPriority w:val="99"/>
    <w:unhideWhenUsed/>
    <w:qFormat/>
    <w:rsid w:val="00F3387B"/>
    <w:pPr>
      <w:numPr>
        <w:numId w:val="9"/>
      </w:numPr>
      <w:spacing w:line="250" w:lineRule="atLeast"/>
      <w:jc w:val="both"/>
    </w:pPr>
  </w:style>
  <w:style w:type="paragraph" w:styleId="ListNumber2">
    <w:name w:val="List Number 2"/>
    <w:basedOn w:val="ListNumber"/>
    <w:uiPriority w:val="99"/>
    <w:unhideWhenUsed/>
    <w:qFormat/>
    <w:rsid w:val="00F3387B"/>
    <w:pPr>
      <w:numPr>
        <w:ilvl w:val="1"/>
      </w:numPr>
    </w:pPr>
  </w:style>
  <w:style w:type="paragraph" w:styleId="ListNumber3">
    <w:name w:val="List Number 3"/>
    <w:basedOn w:val="ListNumber2"/>
    <w:uiPriority w:val="99"/>
    <w:unhideWhenUsed/>
    <w:qFormat/>
    <w:rsid w:val="00F3387B"/>
    <w:pPr>
      <w:numPr>
        <w:ilvl w:val="2"/>
      </w:numPr>
    </w:pPr>
  </w:style>
  <w:style w:type="paragraph" w:styleId="ListContinue">
    <w:name w:val="List Continue"/>
    <w:basedOn w:val="Normal"/>
    <w:uiPriority w:val="99"/>
    <w:unhideWhenUsed/>
    <w:qFormat/>
    <w:rsid w:val="00F3387B"/>
    <w:pPr>
      <w:spacing w:line="250" w:lineRule="atLeast"/>
      <w:ind w:left="567" w:right="567"/>
      <w:jc w:val="both"/>
    </w:pPr>
  </w:style>
  <w:style w:type="paragraph" w:styleId="ListContinue2">
    <w:name w:val="List Continue 2"/>
    <w:basedOn w:val="Normal"/>
    <w:uiPriority w:val="99"/>
    <w:unhideWhenUsed/>
    <w:qFormat/>
    <w:rsid w:val="00F3387B"/>
    <w:pPr>
      <w:spacing w:line="250" w:lineRule="atLeast"/>
      <w:ind w:left="851" w:right="567"/>
      <w:jc w:val="both"/>
    </w:pPr>
  </w:style>
  <w:style w:type="paragraph" w:styleId="ListContinue3">
    <w:name w:val="List Continue 3"/>
    <w:basedOn w:val="Normal"/>
    <w:uiPriority w:val="99"/>
    <w:unhideWhenUsed/>
    <w:qFormat/>
    <w:rsid w:val="00F3387B"/>
    <w:pPr>
      <w:spacing w:line="250" w:lineRule="atLeast"/>
      <w:ind w:left="1134" w:right="567"/>
      <w:jc w:val="both"/>
    </w:pPr>
  </w:style>
  <w:style w:type="paragraph" w:styleId="ListBullet">
    <w:name w:val="List Bullet"/>
    <w:basedOn w:val="Normal"/>
    <w:uiPriority w:val="99"/>
    <w:unhideWhenUsed/>
    <w:qFormat/>
    <w:rsid w:val="00F3387B"/>
    <w:pPr>
      <w:numPr>
        <w:numId w:val="4"/>
      </w:numPr>
      <w:spacing w:line="250" w:lineRule="atLeast"/>
      <w:ind w:right="567"/>
      <w:jc w:val="both"/>
    </w:pPr>
  </w:style>
  <w:style w:type="paragraph" w:styleId="ListBullet2">
    <w:name w:val="List Bullet 2"/>
    <w:basedOn w:val="ListBullet"/>
    <w:uiPriority w:val="99"/>
    <w:unhideWhenUsed/>
    <w:qFormat/>
    <w:rsid w:val="00F3387B"/>
    <w:pPr>
      <w:numPr>
        <w:ilvl w:val="1"/>
      </w:numPr>
    </w:pPr>
  </w:style>
  <w:style w:type="character" w:customStyle="1" w:styleId="Heading7Char">
    <w:name w:val="Heading 7 Char"/>
    <w:link w:val="Heading7"/>
    <w:uiPriority w:val="9"/>
    <w:semiHidden/>
    <w:rsid w:val="00F3387B"/>
    <w:rPr>
      <w:rFonts w:eastAsia="Times New Roman"/>
      <w:i/>
      <w:iCs/>
      <w:color w:val="404040"/>
      <w:szCs w:val="22"/>
      <w:lang w:eastAsia="en-US"/>
    </w:rPr>
  </w:style>
  <w:style w:type="paragraph" w:styleId="Footer">
    <w:name w:val="footer"/>
    <w:basedOn w:val="Normal"/>
    <w:link w:val="FooterChar"/>
    <w:uiPriority w:val="99"/>
    <w:unhideWhenUsed/>
    <w:rsid w:val="00F3387B"/>
    <w:pPr>
      <w:ind w:right="-2835"/>
      <w:jc w:val="right"/>
    </w:pPr>
    <w:rPr>
      <w:rFonts w:ascii="Arial" w:hAnsi="Arial"/>
      <w:sz w:val="15"/>
    </w:rPr>
  </w:style>
  <w:style w:type="character" w:customStyle="1" w:styleId="FooterChar">
    <w:name w:val="Footer Char"/>
    <w:link w:val="Footer"/>
    <w:uiPriority w:val="99"/>
    <w:rsid w:val="00F3387B"/>
    <w:rPr>
      <w:rFonts w:ascii="Arial" w:hAnsi="Arial"/>
      <w:sz w:val="15"/>
      <w:szCs w:val="22"/>
      <w:lang w:eastAsia="en-US"/>
    </w:rPr>
  </w:style>
  <w:style w:type="paragraph" w:styleId="Header">
    <w:name w:val="header"/>
    <w:basedOn w:val="Normal"/>
    <w:link w:val="HeaderChar"/>
    <w:uiPriority w:val="99"/>
    <w:unhideWhenUsed/>
    <w:rsid w:val="00F3387B"/>
    <w:pPr>
      <w:tabs>
        <w:tab w:val="center" w:pos="4680"/>
        <w:tab w:val="right" w:pos="9360"/>
      </w:tabs>
      <w:jc w:val="right"/>
    </w:pPr>
    <w:rPr>
      <w:rFonts w:ascii="Arial" w:hAnsi="Arial"/>
      <w:sz w:val="16"/>
    </w:rPr>
  </w:style>
  <w:style w:type="character" w:customStyle="1" w:styleId="HeaderChar">
    <w:name w:val="Header Char"/>
    <w:link w:val="Header"/>
    <w:uiPriority w:val="99"/>
    <w:rsid w:val="00F3387B"/>
    <w:rPr>
      <w:rFonts w:ascii="Arial" w:hAnsi="Arial"/>
      <w:sz w:val="16"/>
      <w:szCs w:val="22"/>
      <w:lang w:eastAsia="en-US"/>
    </w:rPr>
  </w:style>
  <w:style w:type="character" w:styleId="PageNumber">
    <w:name w:val="page number"/>
    <w:uiPriority w:val="99"/>
    <w:semiHidden/>
    <w:unhideWhenUsed/>
    <w:rsid w:val="00F3387B"/>
    <w:rPr>
      <w:rFonts w:ascii="Arial" w:hAnsi="Arial"/>
      <w:sz w:val="20"/>
    </w:rPr>
  </w:style>
  <w:style w:type="table" w:customStyle="1" w:styleId="Blank">
    <w:name w:val="Blank"/>
    <w:basedOn w:val="TableNormal"/>
    <w:uiPriority w:val="99"/>
    <w:rsid w:val="00F3387B"/>
    <w:tblPr>
      <w:tblCellMar>
        <w:left w:w="0" w:type="dxa"/>
        <w:right w:w="0" w:type="dxa"/>
      </w:tblCellMar>
    </w:tblPr>
  </w:style>
  <w:style w:type="paragraph" w:styleId="BalloonText">
    <w:name w:val="Balloon Text"/>
    <w:basedOn w:val="Normal"/>
    <w:link w:val="BalloonTextChar"/>
    <w:uiPriority w:val="99"/>
    <w:semiHidden/>
    <w:unhideWhenUsed/>
    <w:rsid w:val="00F3387B"/>
    <w:rPr>
      <w:rFonts w:ascii="Tahoma" w:hAnsi="Tahoma" w:cs="Tahoma"/>
      <w:sz w:val="16"/>
      <w:szCs w:val="16"/>
    </w:rPr>
  </w:style>
  <w:style w:type="character" w:customStyle="1" w:styleId="BalloonTextChar">
    <w:name w:val="Balloon Text Char"/>
    <w:basedOn w:val="DefaultParagraphFont"/>
    <w:link w:val="BalloonText"/>
    <w:uiPriority w:val="99"/>
    <w:semiHidden/>
    <w:rsid w:val="00F3387B"/>
    <w:rPr>
      <w:rFonts w:ascii="Tahoma" w:hAnsi="Tahoma" w:cs="Tahoma"/>
      <w:sz w:val="16"/>
      <w:szCs w:val="16"/>
      <w:lang w:eastAsia="en-US"/>
    </w:rPr>
  </w:style>
  <w:style w:type="table" w:styleId="TableGrid">
    <w:name w:val="Table Grid"/>
    <w:basedOn w:val="TableNormal"/>
    <w:uiPriority w:val="59"/>
    <w:rsid w:val="00F33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387B"/>
    <w:rPr>
      <w:color w:val="0000FF"/>
      <w:u w:val="single"/>
    </w:rPr>
  </w:style>
  <w:style w:type="character" w:styleId="FollowedHyperlink">
    <w:name w:val="FollowedHyperlink"/>
    <w:basedOn w:val="DefaultParagraphFont"/>
    <w:uiPriority w:val="99"/>
    <w:semiHidden/>
    <w:unhideWhenUsed/>
    <w:rsid w:val="00F3387B"/>
    <w:rPr>
      <w:color w:val="800080"/>
      <w:u w:val="single"/>
    </w:rPr>
  </w:style>
  <w:style w:type="numbering" w:customStyle="1" w:styleId="ODIHeadings">
    <w:name w:val="ODI Headings"/>
    <w:basedOn w:val="NoList"/>
    <w:uiPriority w:val="99"/>
    <w:rsid w:val="00F3387B"/>
    <w:pPr>
      <w:numPr>
        <w:numId w:val="7"/>
      </w:numPr>
    </w:pPr>
  </w:style>
  <w:style w:type="paragraph" w:customStyle="1" w:styleId="Strapline">
    <w:name w:val="Strapline"/>
    <w:basedOn w:val="Normal"/>
    <w:rsid w:val="00F3387B"/>
    <w:pPr>
      <w:spacing w:before="100" w:after="100"/>
    </w:pPr>
    <w:rPr>
      <w:rFonts w:ascii="Arial" w:hAnsi="Arial"/>
      <w:color w:val="006C67" w:themeColor="accent1"/>
      <w:sz w:val="24"/>
    </w:rPr>
  </w:style>
  <w:style w:type="paragraph" w:customStyle="1" w:styleId="TableHeading">
    <w:name w:val="Table Heading"/>
    <w:basedOn w:val="Normal"/>
    <w:next w:val="BodyText"/>
    <w:qFormat/>
    <w:rsid w:val="00F409DF"/>
    <w:pPr>
      <w:numPr>
        <w:numId w:val="16"/>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F3387B"/>
    <w:pPr>
      <w:numPr>
        <w:numId w:val="11"/>
      </w:numPr>
    </w:pPr>
  </w:style>
  <w:style w:type="paragraph" w:customStyle="1" w:styleId="FigureHeading">
    <w:name w:val="Figure Heading"/>
    <w:basedOn w:val="Normal"/>
    <w:next w:val="BodyText"/>
    <w:qFormat/>
    <w:rsid w:val="00F409DF"/>
    <w:pPr>
      <w:numPr>
        <w:numId w:val="15"/>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F3387B"/>
    <w:pPr>
      <w:numPr>
        <w:numId w:val="6"/>
      </w:numPr>
    </w:pPr>
  </w:style>
  <w:style w:type="paragraph" w:customStyle="1" w:styleId="BoxHeading">
    <w:name w:val="Box Heading"/>
    <w:basedOn w:val="Normal"/>
    <w:next w:val="BoxText"/>
    <w:qFormat/>
    <w:rsid w:val="00F3387B"/>
    <w:pPr>
      <w:spacing w:after="113"/>
    </w:pPr>
    <w:rPr>
      <w:rFonts w:ascii="Arial" w:hAnsi="Arial"/>
      <w:b/>
      <w:color w:val="006C67" w:themeColor="accent1"/>
      <w:sz w:val="22"/>
    </w:rPr>
  </w:style>
  <w:style w:type="numbering" w:customStyle="1" w:styleId="ODIBoxHeadings">
    <w:name w:val="ODI Box Headings"/>
    <w:basedOn w:val="NoList"/>
    <w:uiPriority w:val="99"/>
    <w:rsid w:val="00F3387B"/>
    <w:pPr>
      <w:numPr>
        <w:numId w:val="3"/>
      </w:numPr>
    </w:pPr>
  </w:style>
  <w:style w:type="paragraph" w:customStyle="1" w:styleId="Abbreviation">
    <w:name w:val="Abbreviation"/>
    <w:basedOn w:val="Normal"/>
    <w:qFormat/>
    <w:rsid w:val="00F3387B"/>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F3387B"/>
    <w:rPr>
      <w:sz w:val="16"/>
      <w:szCs w:val="20"/>
    </w:rPr>
  </w:style>
  <w:style w:type="character" w:customStyle="1" w:styleId="FootnoteTextChar">
    <w:name w:val="Footnote Text Char"/>
    <w:basedOn w:val="DefaultParagraphFont"/>
    <w:link w:val="FootnoteText"/>
    <w:uiPriority w:val="99"/>
    <w:rsid w:val="00F3387B"/>
    <w:rPr>
      <w:rFonts w:ascii="Times New Roman" w:hAnsi="Times New Roman"/>
      <w:sz w:val="16"/>
      <w:lang w:eastAsia="en-US"/>
    </w:rPr>
  </w:style>
  <w:style w:type="character" w:styleId="FootnoteReference">
    <w:name w:val="footnote reference"/>
    <w:basedOn w:val="DefaultParagraphFont"/>
    <w:uiPriority w:val="99"/>
    <w:qFormat/>
    <w:rsid w:val="00F3387B"/>
    <w:rPr>
      <w:rFonts w:asciiTheme="minorHAnsi" w:hAnsiTheme="minorHAnsi"/>
      <w:sz w:val="19"/>
      <w:vertAlign w:val="superscript"/>
    </w:rPr>
  </w:style>
  <w:style w:type="numbering" w:customStyle="1" w:styleId="ODIBullets">
    <w:name w:val="ODI Bullets"/>
    <w:basedOn w:val="NoList"/>
    <w:uiPriority w:val="99"/>
    <w:rsid w:val="00F3387B"/>
    <w:pPr>
      <w:numPr>
        <w:numId w:val="4"/>
      </w:numPr>
    </w:pPr>
  </w:style>
  <w:style w:type="paragraph" w:customStyle="1" w:styleId="LastBullet">
    <w:name w:val="Last Bullet"/>
    <w:basedOn w:val="ListBullet"/>
    <w:next w:val="BodyText"/>
    <w:qFormat/>
    <w:rsid w:val="00F3387B"/>
    <w:pPr>
      <w:numPr>
        <w:numId w:val="8"/>
      </w:numPr>
      <w:spacing w:after="190"/>
    </w:pPr>
  </w:style>
  <w:style w:type="numbering" w:customStyle="1" w:styleId="ODILastBullet">
    <w:name w:val="ODI Last Bullet"/>
    <w:basedOn w:val="ODIBullets"/>
    <w:uiPriority w:val="99"/>
    <w:rsid w:val="00F3387B"/>
    <w:pPr>
      <w:numPr>
        <w:numId w:val="8"/>
      </w:numPr>
    </w:pPr>
  </w:style>
  <w:style w:type="table" w:customStyle="1" w:styleId="ODITable">
    <w:name w:val="ODI Table"/>
    <w:basedOn w:val="TableNormal"/>
    <w:uiPriority w:val="99"/>
    <w:rsid w:val="00F3387B"/>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F3387B"/>
    <w:pPr>
      <w:spacing w:line="220" w:lineRule="atLeast"/>
    </w:pPr>
    <w:rPr>
      <w:rFonts w:ascii="Arial" w:hAnsi="Arial"/>
      <w:sz w:val="17"/>
    </w:rPr>
  </w:style>
  <w:style w:type="paragraph" w:customStyle="1" w:styleId="ColumnHeading">
    <w:name w:val="Column Heading"/>
    <w:basedOn w:val="Normal"/>
    <w:next w:val="TableText"/>
    <w:qFormat/>
    <w:rsid w:val="00F3387B"/>
    <w:rPr>
      <w:rFonts w:ascii="Arial" w:hAnsi="Arial"/>
      <w:b/>
      <w:sz w:val="17"/>
    </w:rPr>
  </w:style>
  <w:style w:type="paragraph" w:customStyle="1" w:styleId="TableBullet">
    <w:name w:val="Table Bullet"/>
    <w:basedOn w:val="TableText"/>
    <w:qFormat/>
    <w:rsid w:val="00F3387B"/>
    <w:pPr>
      <w:numPr>
        <w:numId w:val="12"/>
      </w:numPr>
    </w:pPr>
  </w:style>
  <w:style w:type="numbering" w:customStyle="1" w:styleId="ODITableBullet">
    <w:name w:val="ODI Table Bullet"/>
    <w:basedOn w:val="NoList"/>
    <w:uiPriority w:val="99"/>
    <w:rsid w:val="00F3387B"/>
    <w:pPr>
      <w:numPr>
        <w:numId w:val="10"/>
      </w:numPr>
    </w:pPr>
  </w:style>
  <w:style w:type="paragraph" w:customStyle="1" w:styleId="Source">
    <w:name w:val="Source"/>
    <w:basedOn w:val="Normal"/>
    <w:qFormat/>
    <w:rsid w:val="00F3387B"/>
    <w:pPr>
      <w:spacing w:before="39" w:after="250"/>
    </w:pPr>
    <w:rPr>
      <w:rFonts w:ascii="Arial" w:hAnsi="Arial"/>
      <w:i/>
      <w:sz w:val="16"/>
    </w:rPr>
  </w:style>
  <w:style w:type="paragraph" w:customStyle="1" w:styleId="BoxText">
    <w:name w:val="Box Text"/>
    <w:basedOn w:val="Normal"/>
    <w:qFormat/>
    <w:rsid w:val="00F3387B"/>
    <w:pPr>
      <w:spacing w:after="135"/>
      <w:jc w:val="both"/>
    </w:pPr>
    <w:rPr>
      <w:rFonts w:ascii="Arial" w:hAnsi="Arial"/>
      <w:sz w:val="18"/>
    </w:rPr>
  </w:style>
  <w:style w:type="table" w:customStyle="1" w:styleId="ODIBox">
    <w:name w:val="ODI Box"/>
    <w:basedOn w:val="TableNormal"/>
    <w:uiPriority w:val="99"/>
    <w:rsid w:val="00F3387B"/>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F3387B"/>
    <w:pPr>
      <w:numPr>
        <w:numId w:val="2"/>
      </w:numPr>
      <w:spacing w:after="0"/>
      <w:ind w:right="284"/>
    </w:pPr>
  </w:style>
  <w:style w:type="numbering" w:customStyle="1" w:styleId="ODIBoxBullet">
    <w:name w:val="ODI Box Bullet"/>
    <w:basedOn w:val="NoList"/>
    <w:uiPriority w:val="99"/>
    <w:rsid w:val="00F3387B"/>
    <w:pPr>
      <w:numPr>
        <w:numId w:val="2"/>
      </w:numPr>
    </w:pPr>
  </w:style>
  <w:style w:type="numbering" w:customStyle="1" w:styleId="ODINumberedList">
    <w:name w:val="ODI Numbered List"/>
    <w:basedOn w:val="NoList"/>
    <w:uiPriority w:val="99"/>
    <w:rsid w:val="00F3387B"/>
    <w:pPr>
      <w:numPr>
        <w:numId w:val="9"/>
      </w:numPr>
    </w:pPr>
  </w:style>
  <w:style w:type="numbering" w:customStyle="1" w:styleId="ODICoverBullets">
    <w:name w:val="ODI Cover Bullets"/>
    <w:basedOn w:val="NoList"/>
    <w:uiPriority w:val="99"/>
    <w:rsid w:val="00F3387B"/>
    <w:pPr>
      <w:numPr>
        <w:numId w:val="5"/>
      </w:numPr>
    </w:pPr>
  </w:style>
  <w:style w:type="paragraph" w:styleId="Quote">
    <w:name w:val="Quote"/>
    <w:basedOn w:val="Normal"/>
    <w:next w:val="Normal"/>
    <w:link w:val="QuoteChar"/>
    <w:uiPriority w:val="29"/>
    <w:rsid w:val="00F3387B"/>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F3387B"/>
    <w:rPr>
      <w:rFonts w:ascii="Times New Roman" w:hAnsi="Times New Roman"/>
      <w:i/>
      <w:iCs/>
      <w:szCs w:val="22"/>
      <w:lang w:eastAsia="en-US"/>
    </w:rPr>
  </w:style>
  <w:style w:type="paragraph" w:customStyle="1" w:styleId="BodyTextNoSpacing">
    <w:name w:val="Body Text No Spacing"/>
    <w:basedOn w:val="BodyText"/>
    <w:qFormat/>
    <w:rsid w:val="00F3387B"/>
    <w:pPr>
      <w:spacing w:after="0"/>
    </w:pPr>
  </w:style>
  <w:style w:type="paragraph" w:customStyle="1" w:styleId="SourceNoSpace">
    <w:name w:val="Source No Space"/>
    <w:basedOn w:val="Source"/>
    <w:next w:val="Normal"/>
    <w:qFormat/>
    <w:rsid w:val="00F3387B"/>
    <w:pPr>
      <w:spacing w:after="0"/>
    </w:pPr>
  </w:style>
  <w:style w:type="paragraph" w:customStyle="1" w:styleId="AbbreviationDescription">
    <w:name w:val="Abbreviation Description"/>
    <w:basedOn w:val="Normal"/>
    <w:qFormat/>
    <w:rsid w:val="00F3387B"/>
    <w:pPr>
      <w:spacing w:line="480" w:lineRule="exact"/>
    </w:pPr>
  </w:style>
  <w:style w:type="paragraph" w:styleId="Caption">
    <w:name w:val="caption"/>
    <w:basedOn w:val="Normal"/>
    <w:next w:val="Normal"/>
    <w:uiPriority w:val="35"/>
    <w:qFormat/>
    <w:rsid w:val="00F3387B"/>
    <w:pPr>
      <w:spacing w:after="40"/>
    </w:pPr>
    <w:rPr>
      <w:rFonts w:ascii="Arial" w:hAnsi="Arial"/>
      <w:b/>
      <w:iCs/>
      <w:color w:val="006C67" w:themeColor="accent1"/>
      <w:sz w:val="24"/>
      <w:szCs w:val="18"/>
    </w:rPr>
  </w:style>
  <w:style w:type="paragraph" w:customStyle="1" w:styleId="font5">
    <w:name w:val="font5"/>
    <w:basedOn w:val="Normal"/>
    <w:rsid w:val="00F3387B"/>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F3387B"/>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F3387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F3387B"/>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F3387B"/>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F338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F338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F338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F3387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F3387B"/>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F3387B"/>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F3387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F338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F338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F3387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F3387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F3387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F3387B"/>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F3387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F3387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F3387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F3387B"/>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F3387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F3387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F3387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F3387B"/>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F3387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F3387B"/>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F3387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F3387B"/>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F3387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F3387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F338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F3387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F3387B"/>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F3387B"/>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F3387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F3387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F3387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F3387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F3387B"/>
    <w:rPr>
      <w:sz w:val="16"/>
      <w:szCs w:val="16"/>
    </w:rPr>
  </w:style>
  <w:style w:type="paragraph" w:styleId="CommentText">
    <w:name w:val="annotation text"/>
    <w:basedOn w:val="Normal"/>
    <w:link w:val="CommentTextChar"/>
    <w:uiPriority w:val="99"/>
    <w:semiHidden/>
    <w:unhideWhenUsed/>
    <w:rsid w:val="00F3387B"/>
    <w:rPr>
      <w:szCs w:val="20"/>
    </w:rPr>
  </w:style>
  <w:style w:type="character" w:customStyle="1" w:styleId="CommentTextChar">
    <w:name w:val="Comment Text Char"/>
    <w:basedOn w:val="DefaultParagraphFont"/>
    <w:link w:val="CommentText"/>
    <w:uiPriority w:val="99"/>
    <w:semiHidden/>
    <w:rsid w:val="00F3387B"/>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F3387B"/>
    <w:rPr>
      <w:b/>
      <w:bCs/>
    </w:rPr>
  </w:style>
  <w:style w:type="character" w:customStyle="1" w:styleId="CommentSubjectChar">
    <w:name w:val="Comment Subject Char"/>
    <w:basedOn w:val="CommentTextChar"/>
    <w:link w:val="CommentSubject"/>
    <w:uiPriority w:val="99"/>
    <w:semiHidden/>
    <w:rsid w:val="00F3387B"/>
    <w:rPr>
      <w:rFonts w:ascii="Times New Roman" w:hAnsi="Times New Roman"/>
      <w:b/>
      <w:bCs/>
      <w:lang w:eastAsia="en-US"/>
    </w:rPr>
  </w:style>
  <w:style w:type="paragraph" w:styleId="TableofFigures">
    <w:name w:val="table of figures"/>
    <w:basedOn w:val="Normal"/>
    <w:next w:val="Normal"/>
    <w:uiPriority w:val="99"/>
    <w:unhideWhenUsed/>
    <w:rsid w:val="00F3387B"/>
    <w:pPr>
      <w:spacing w:after="60"/>
    </w:pPr>
    <w:rPr>
      <w:rFonts w:ascii="Arial" w:hAnsi="Arial"/>
    </w:rPr>
  </w:style>
  <w:style w:type="paragraph" w:styleId="TOC2">
    <w:name w:val="toc 2"/>
    <w:basedOn w:val="Normal"/>
    <w:next w:val="Normal"/>
    <w:autoRedefine/>
    <w:uiPriority w:val="39"/>
    <w:unhideWhenUsed/>
    <w:rsid w:val="00F3387B"/>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F3387B"/>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F3387B"/>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3048">
      <w:bodyDiv w:val="1"/>
      <w:marLeft w:val="0"/>
      <w:marRight w:val="0"/>
      <w:marTop w:val="0"/>
      <w:marBottom w:val="0"/>
      <w:divBdr>
        <w:top w:val="none" w:sz="0" w:space="0" w:color="auto"/>
        <w:left w:val="none" w:sz="0" w:space="0" w:color="auto"/>
        <w:bottom w:val="none" w:sz="0" w:space="0" w:color="auto"/>
        <w:right w:val="none" w:sz="0" w:space="0" w:color="auto"/>
      </w:divBdr>
    </w:div>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237403600">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67845214">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1499933">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3445230">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040280852">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705596416">
      <w:bodyDiv w:val="1"/>
      <w:marLeft w:val="0"/>
      <w:marRight w:val="0"/>
      <w:marTop w:val="0"/>
      <w:marBottom w:val="0"/>
      <w:divBdr>
        <w:top w:val="none" w:sz="0" w:space="0" w:color="auto"/>
        <w:left w:val="none" w:sz="0" w:space="0" w:color="auto"/>
        <w:bottom w:val="none" w:sz="0" w:space="0" w:color="auto"/>
        <w:right w:val="none" w:sz="0" w:space="0" w:color="auto"/>
      </w:divBdr>
    </w:div>
    <w:div w:id="1730766280">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1949237368">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image" Target="media/image3.png"/><Relationship Id="rId21" Type="http://schemas.openxmlformats.org/officeDocument/2006/relationships/hyperlink" Target="http://www.ilo.org/global/research/global-reports/weso/2015/lang--en/index.htm" TargetMode="External"/><Relationship Id="rId34" Type="http://schemas.openxmlformats.org/officeDocument/2006/relationships/hyperlink" Target="https://data.un.org/search.aspx?q=gross+value+added+datamart%5bsnaama%5d" TargetMode="External"/><Relationship Id="rId42" Type="http://schemas.openxmlformats.org/officeDocument/2006/relationships/chart" Target="charts/chart10.xml"/><Relationship Id="rId47" Type="http://schemas.openxmlformats.org/officeDocument/2006/relationships/hyperlink" Target="http://www.ilo.org/global/research/global-reports/global-employment-trends/2014/WCMS_234879/lang--en/index.htm" TargetMode="External"/><Relationship Id="rId50" Type="http://schemas.openxmlformats.org/officeDocument/2006/relationships/image" Target="media/image7.png"/><Relationship Id="rId55" Type="http://schemas.openxmlformats.org/officeDocument/2006/relationships/chart" Target="charts/chart16.xml"/><Relationship Id="rId63" Type="http://schemas.openxmlformats.org/officeDocument/2006/relationships/chart" Target="charts/chart19.xml"/><Relationship Id="rId68" Type="http://schemas.openxmlformats.org/officeDocument/2006/relationships/image" Target="media/image15.png"/><Relationship Id="rId76" Type="http://schemas.openxmlformats.org/officeDocument/2006/relationships/chart" Target="charts/chart25.xml"/><Relationship Id="rId84" Type="http://schemas.openxmlformats.org/officeDocument/2006/relationships/chart" Target="charts/chart33.xml"/><Relationship Id="rId89" Type="http://schemas.openxmlformats.org/officeDocument/2006/relationships/image" Target="media/image17.emf"/><Relationship Id="rId7" Type="http://schemas.openxmlformats.org/officeDocument/2006/relationships/styles" Target="styles.xml"/><Relationship Id="rId71" Type="http://schemas.openxmlformats.org/officeDocument/2006/relationships/hyperlink" Target="http://www.imf.org/external/np/res/dfidimf/diversification.htm" TargetMode="External"/><Relationship Id="rId92" Type="http://schemas.openxmlformats.org/officeDocument/2006/relationships/hyperlink" Target="http://www.enterprisesurveys.org/" TargetMode="Externa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www.ilo.org/global/research/global-reports/weso/2015/lang--en/index.htm" TargetMode="External"/><Relationship Id="rId11" Type="http://schemas.openxmlformats.org/officeDocument/2006/relationships/footnotes" Target="footnotes.xml"/><Relationship Id="rId24" Type="http://schemas.openxmlformats.org/officeDocument/2006/relationships/chart" Target="charts/chart1.xml"/><Relationship Id="rId32" Type="http://schemas.openxmlformats.org/officeDocument/2006/relationships/hyperlink" Target="http://www.ilo.org/global/research/global-reports/weso/2015/lang--en/index.htm" TargetMode="External"/><Relationship Id="rId37" Type="http://schemas.openxmlformats.org/officeDocument/2006/relationships/chart" Target="charts/chart8.xml"/><Relationship Id="rId40" Type="http://schemas.openxmlformats.org/officeDocument/2006/relationships/hyperlink" Target="http://www.ilo.org/global/research/global-reports/global-employment-trends/2014/WCMS_234879/lang--en/index.htm" TargetMode="External"/><Relationship Id="rId45" Type="http://schemas.openxmlformats.org/officeDocument/2006/relationships/image" Target="media/image5.png"/><Relationship Id="rId53" Type="http://schemas.openxmlformats.org/officeDocument/2006/relationships/chart" Target="charts/chart14.xml"/><Relationship Id="rId58" Type="http://schemas.openxmlformats.org/officeDocument/2006/relationships/image" Target="media/image10.png"/><Relationship Id="rId66" Type="http://schemas.openxmlformats.org/officeDocument/2006/relationships/image" Target="media/image14.png"/><Relationship Id="rId74" Type="http://schemas.openxmlformats.org/officeDocument/2006/relationships/chart" Target="charts/chart23.xml"/><Relationship Id="rId79" Type="http://schemas.openxmlformats.org/officeDocument/2006/relationships/chart" Target="charts/chart28.xml"/><Relationship Id="rId87" Type="http://schemas.openxmlformats.org/officeDocument/2006/relationships/chart" Target="charts/chart36.xml"/><Relationship Id="rId5" Type="http://schemas.openxmlformats.org/officeDocument/2006/relationships/customXml" Target="../customXml/item4.xml"/><Relationship Id="rId61" Type="http://schemas.openxmlformats.org/officeDocument/2006/relationships/image" Target="media/image12.png"/><Relationship Id="rId82" Type="http://schemas.openxmlformats.org/officeDocument/2006/relationships/chart" Target="charts/chart31.xml"/><Relationship Id="rId90" Type="http://schemas.openxmlformats.org/officeDocument/2006/relationships/hyperlink" Target="http://www.enterprisesurveys.org/" TargetMode="Externa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s://data.un.org/search.aspx?q=gross+value+added+datamart%5bsnaama%5d" TargetMode="External"/><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hyperlink" Target="http://www.ilo.org/global/research/global-reports/weso/2015/lang--en/index.htm" TargetMode="External"/><Relationship Id="rId43" Type="http://schemas.openxmlformats.org/officeDocument/2006/relationships/chart" Target="charts/chart11.xml"/><Relationship Id="rId48" Type="http://schemas.openxmlformats.org/officeDocument/2006/relationships/chart" Target="charts/chart12.xml"/><Relationship Id="rId56" Type="http://schemas.openxmlformats.org/officeDocument/2006/relationships/chart" Target="charts/chart17.xml"/><Relationship Id="rId64" Type="http://schemas.openxmlformats.org/officeDocument/2006/relationships/chart" Target="charts/chart20.xml"/><Relationship Id="rId69" Type="http://schemas.openxmlformats.org/officeDocument/2006/relationships/image" Target="media/image16.png"/><Relationship Id="rId77" Type="http://schemas.openxmlformats.org/officeDocument/2006/relationships/chart" Target="charts/chart26.xml"/><Relationship Id="rId8" Type="http://schemas.microsoft.com/office/2007/relationships/stylesWithEffects" Target="stylesWithEffects.xml"/><Relationship Id="rId51" Type="http://schemas.openxmlformats.org/officeDocument/2006/relationships/image" Target="media/image8.png"/><Relationship Id="rId72" Type="http://schemas.openxmlformats.org/officeDocument/2006/relationships/chart" Target="charts/chart22.xml"/><Relationship Id="rId80" Type="http://schemas.openxmlformats.org/officeDocument/2006/relationships/chart" Target="charts/chart29.xml"/><Relationship Id="rId85" Type="http://schemas.openxmlformats.org/officeDocument/2006/relationships/chart" Target="charts/chart34.xml"/><Relationship Id="rId93"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image" Target="media/image2.png"/><Relationship Id="rId46" Type="http://schemas.openxmlformats.org/officeDocument/2006/relationships/image" Target="media/image6.png"/><Relationship Id="rId59" Type="http://schemas.openxmlformats.org/officeDocument/2006/relationships/hyperlink" Target="http://www.atlas.cid.harvard.edu" TargetMode="External"/><Relationship Id="rId67" Type="http://schemas.openxmlformats.org/officeDocument/2006/relationships/hyperlink" Target="http://www.atlas.cid.harvard.edu" TargetMode="External"/><Relationship Id="rId20" Type="http://schemas.openxmlformats.org/officeDocument/2006/relationships/hyperlink" Target="https://data.un.org/search.aspx?q=gross+value+added+datamart%5bsnaama%5d" TargetMode="External"/><Relationship Id="rId41" Type="http://schemas.openxmlformats.org/officeDocument/2006/relationships/chart" Target="charts/chart9.xml"/><Relationship Id="rId54" Type="http://schemas.openxmlformats.org/officeDocument/2006/relationships/chart" Target="charts/chart15.xml"/><Relationship Id="rId62" Type="http://schemas.openxmlformats.org/officeDocument/2006/relationships/chart" Target="charts/chart18.xml"/><Relationship Id="rId70" Type="http://schemas.openxmlformats.org/officeDocument/2006/relationships/chart" Target="charts/chart21.xml"/><Relationship Id="rId75" Type="http://schemas.openxmlformats.org/officeDocument/2006/relationships/chart" Target="charts/chart24.xml"/><Relationship Id="rId83" Type="http://schemas.openxmlformats.org/officeDocument/2006/relationships/chart" Target="charts/chart32.xml"/><Relationship Id="rId88" Type="http://schemas.openxmlformats.org/officeDocument/2006/relationships/chart" Target="charts/chart37.xml"/><Relationship Id="rId91" Type="http://schemas.openxmlformats.org/officeDocument/2006/relationships/image" Target="media/image18.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ilo.org/global/research/global-reports/weso/2015/lang--en/index.htm" TargetMode="External"/><Relationship Id="rId28" Type="http://schemas.openxmlformats.org/officeDocument/2006/relationships/hyperlink" Target="https://data.un.org/search.aspx?q=gross+value+added+datamart%5bsnaama%5d" TargetMode="External"/><Relationship Id="rId36" Type="http://schemas.openxmlformats.org/officeDocument/2006/relationships/chart" Target="charts/chart7.xml"/><Relationship Id="rId49" Type="http://schemas.openxmlformats.org/officeDocument/2006/relationships/chart" Target="charts/chart13.xml"/><Relationship Id="rId57" Type="http://schemas.openxmlformats.org/officeDocument/2006/relationships/image" Target="media/image9.png"/><Relationship Id="rId10" Type="http://schemas.openxmlformats.org/officeDocument/2006/relationships/webSettings" Target="webSettings.xml"/><Relationship Id="rId31" Type="http://schemas.openxmlformats.org/officeDocument/2006/relationships/hyperlink" Target="https://data.un.org/search.aspx?q=gross+value+added+datamart%5bsnaama%5d" TargetMode="External"/><Relationship Id="rId44" Type="http://schemas.openxmlformats.org/officeDocument/2006/relationships/image" Target="media/image4.png"/><Relationship Id="rId52" Type="http://schemas.openxmlformats.org/officeDocument/2006/relationships/hyperlink" Target="http://www.ilo.org/global/research/global-reports/weso/2015/lang--en/index.htm" TargetMode="External"/><Relationship Id="rId60" Type="http://schemas.openxmlformats.org/officeDocument/2006/relationships/image" Target="media/image11.png"/><Relationship Id="rId65" Type="http://schemas.openxmlformats.org/officeDocument/2006/relationships/image" Target="media/image13.png"/><Relationship Id="rId73" Type="http://schemas.openxmlformats.org/officeDocument/2006/relationships/hyperlink" Target="http://www.imf.org/external/np/res/dfidimf/diversification.htm" TargetMode="External"/><Relationship Id="rId78" Type="http://schemas.openxmlformats.org/officeDocument/2006/relationships/chart" Target="charts/chart27.xml"/><Relationship Id="rId81" Type="http://schemas.openxmlformats.org/officeDocument/2006/relationships/chart" Target="charts/chart30.xml"/><Relationship Id="rId86" Type="http://schemas.openxmlformats.org/officeDocument/2006/relationships/chart" Target="charts/chart35.xml"/><Relationship Id="rId9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Yemen%20labour%20productivi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Yemen%20-%20economic%20struct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Yemen%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Yemen%20labour%20productivit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Yemen%20labour%20productivi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Yemen%20-%20Trad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Yemen%20-%20Trad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Yemen%20-%20Trad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Yemen%20-%20Trad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Yemen%20-%20Trad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Yemen%20-%20Tr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Yemen%20labour%20produc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Yemen%20-%20Trad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Yeme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Yeme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Yemen%20-%20Tra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Yemen%20-%20Trad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Yemen%20-%20Trad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Yemen%20-%20Tra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Yemen%20labour%20productivit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Yemen%20-%20Trade.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Yemen%20labour%20productiv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Yemen%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Yemen%20labour%20productiv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Yemen%20-%20economic%20structu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Yemen%20-%20economic%20struct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Yemen%20-%20economic%20struct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6"/>
          <c:order val="0"/>
          <c:tx>
            <c:v>Other</c:v>
          </c:tx>
          <c:spPr>
            <a:solidFill>
              <a:srgbClr val="FF00FF"/>
            </a:solidFill>
            <a:ln w="25400">
              <a:noFill/>
            </a:ln>
          </c:spPr>
          <c:invertIfNegative val="0"/>
          <c:xVal>
            <c:numRef>
              <c:f>'Rel. prod. cf employment'!$B$12</c:f>
              <c:numCache>
                <c:formatCode>#,##0.0_ ;\-#,##0.0\ </c:formatCode>
                <c:ptCount val="1"/>
                <c:pt idx="0">
                  <c:v>2.4888041715635545</c:v>
                </c:pt>
              </c:numCache>
            </c:numRef>
          </c:xVal>
          <c:yVal>
            <c:numRef>
              <c:f>'Rel. prod. cf employment'!$C$12</c:f>
              <c:numCache>
                <c:formatCode>#,##0.0_ ;\-#,##0.0\ </c:formatCode>
                <c:ptCount val="1"/>
                <c:pt idx="0">
                  <c:v>0.67674755606845527</c:v>
                </c:pt>
              </c:numCache>
            </c:numRef>
          </c:yVal>
          <c:bubbleSize>
            <c:numRef>
              <c:f>'Rel. prod. cf employment'!$E$12</c:f>
              <c:numCache>
                <c:formatCode>#,##0_ ;\-#,##0\ </c:formatCode>
                <c:ptCount val="1"/>
                <c:pt idx="0">
                  <c:v>885</c:v>
                </c:pt>
              </c:numCache>
            </c:numRef>
          </c:bubbleSize>
          <c:bubble3D val="1"/>
        </c:ser>
        <c:ser>
          <c:idx val="0"/>
          <c:order val="1"/>
          <c:tx>
            <c:v>Agriculture</c:v>
          </c:tx>
          <c:spPr>
            <a:solidFill>
              <a:srgbClr val="13CF44"/>
            </a:solidFill>
          </c:spPr>
          <c:invertIfNegative val="0"/>
          <c:xVal>
            <c:numRef>
              <c:f>'Rel. prod. cf employment'!$B$6</c:f>
              <c:numCache>
                <c:formatCode>#,##0.0_ ;\-#,##0.0\ </c:formatCode>
                <c:ptCount val="1"/>
                <c:pt idx="0">
                  <c:v>-8.3961668735142609</c:v>
                </c:pt>
              </c:numCache>
            </c:numRef>
          </c:xVal>
          <c:yVal>
            <c:numRef>
              <c:f>'Rel. prod. cf employment'!$C$6</c:f>
              <c:numCache>
                <c:formatCode>#,##0.0_ ;\-#,##0.0\ </c:formatCode>
                <c:ptCount val="1"/>
                <c:pt idx="0">
                  <c:v>0.23342670331042101</c:v>
                </c:pt>
              </c:numCache>
            </c:numRef>
          </c:yVal>
          <c:bubbleSize>
            <c:numRef>
              <c:f>'Rel. prod. cf employment'!$E$6</c:f>
              <c:numCache>
                <c:formatCode>#,##0_ ;\-#,##0\ </c:formatCode>
                <c:ptCount val="1"/>
                <c:pt idx="0">
                  <c:v>1441</c:v>
                </c:pt>
              </c:numCache>
            </c:numRef>
          </c:bubbleSize>
          <c:bubble3D val="1"/>
        </c:ser>
        <c:ser>
          <c:idx val="1"/>
          <c:order val="2"/>
          <c:tx>
            <c:v>Mining &amp; utilities</c:v>
          </c:tx>
          <c:spPr>
            <a:solidFill>
              <a:srgbClr val="000000"/>
            </a:solidFill>
            <a:ln w="25400">
              <a:noFill/>
            </a:ln>
          </c:spPr>
          <c:invertIfNegative val="0"/>
          <c:xVal>
            <c:numRef>
              <c:f>'Rel. prod. cf employment'!$B$7</c:f>
              <c:numCache>
                <c:formatCode>#,##0.0_ ;\-#,##0.0\ </c:formatCode>
                <c:ptCount val="1"/>
                <c:pt idx="0">
                  <c:v>0.19789541616263928</c:v>
                </c:pt>
              </c:numCache>
            </c:numRef>
          </c:xVal>
          <c:yVal>
            <c:numRef>
              <c:f>'Rel. prod. cf employment'!$C$7</c:f>
              <c:numCache>
                <c:formatCode>#,##0.0_ ;\-#,##0.0\ </c:formatCode>
                <c:ptCount val="1"/>
                <c:pt idx="0">
                  <c:v>40.859779706301737</c:v>
                </c:pt>
              </c:numCache>
            </c:numRef>
          </c:yVal>
          <c:bubbleSize>
            <c:numRef>
              <c:f>'Rel. prod. cf employment'!$E$7</c:f>
              <c:numCache>
                <c:formatCode>#,##0_ ;\-#,##0\ </c:formatCode>
                <c:ptCount val="1"/>
                <c:pt idx="0">
                  <c:v>38</c:v>
                </c:pt>
              </c:numCache>
            </c:numRef>
          </c:bubbleSize>
          <c:bubble3D val="1"/>
        </c:ser>
        <c:ser>
          <c:idx val="2"/>
          <c:order val="3"/>
          <c:tx>
            <c:v>Manufacturing</c:v>
          </c:tx>
          <c:spPr>
            <a:solidFill>
              <a:srgbClr val="CC6600"/>
            </a:solidFill>
            <a:ln w="25400">
              <a:noFill/>
            </a:ln>
          </c:spPr>
          <c:invertIfNegative val="0"/>
          <c:xVal>
            <c:numRef>
              <c:f>'Rel. prod. cf employment'!$B$8</c:f>
              <c:numCache>
                <c:formatCode>#,##0.0_ ;\-#,##0.0\ </c:formatCode>
                <c:ptCount val="1"/>
                <c:pt idx="0">
                  <c:v>1.2012496137972204</c:v>
                </c:pt>
              </c:numCache>
            </c:numRef>
          </c:xVal>
          <c:yVal>
            <c:numRef>
              <c:f>'Rel. prod. cf employment'!$C$8</c:f>
              <c:numCache>
                <c:formatCode>#,##0.0_ ;\-#,##0.0\ </c:formatCode>
                <c:ptCount val="1"/>
                <c:pt idx="0">
                  <c:v>1.2245143566153527</c:v>
                </c:pt>
              </c:numCache>
            </c:numRef>
          </c:yVal>
          <c:bubbleSize>
            <c:numRef>
              <c:f>'Rel. prod. cf employment'!$E$8</c:f>
              <c:numCache>
                <c:formatCode>#,##0_ ;\-#,##0\ </c:formatCode>
                <c:ptCount val="1"/>
                <c:pt idx="0">
                  <c:v>168</c:v>
                </c:pt>
              </c:numCache>
            </c:numRef>
          </c:bubbleSize>
          <c:bubble3D val="1"/>
        </c:ser>
        <c:ser>
          <c:idx val="5"/>
          <c:order val="4"/>
          <c:tx>
            <c:v>Transport, storage, comms</c:v>
          </c:tx>
          <c:spPr>
            <a:solidFill>
              <a:srgbClr val="66FFFF"/>
            </a:solidFill>
            <a:ln w="25400">
              <a:noFill/>
            </a:ln>
          </c:spPr>
          <c:invertIfNegative val="0"/>
          <c:xVal>
            <c:numRef>
              <c:f>'Rel. prod. cf employment'!$B$11</c:f>
              <c:numCache>
                <c:formatCode>#,##0.0_ ;\-#,##0.0\ </c:formatCode>
                <c:ptCount val="1"/>
                <c:pt idx="0">
                  <c:v>-0.11917114337717383</c:v>
                </c:pt>
              </c:numCache>
            </c:numRef>
          </c:xVal>
          <c:yVal>
            <c:numRef>
              <c:f>'Rel. prod. cf employment'!$C$11</c:f>
              <c:numCache>
                <c:formatCode>#,##0.0_ ;\-#,##0.0\ </c:formatCode>
                <c:ptCount val="1"/>
                <c:pt idx="0">
                  <c:v>1.9615357763546766</c:v>
                </c:pt>
              </c:numCache>
            </c:numRef>
          </c:yVal>
          <c:bubbleSize>
            <c:numRef>
              <c:f>'Rel. prod. cf employment'!$E$11</c:f>
              <c:numCache>
                <c:formatCode>#,##0_ ;\-#,##0\ </c:formatCode>
                <c:ptCount val="1"/>
                <c:pt idx="0">
                  <c:v>154</c:v>
                </c:pt>
              </c:numCache>
            </c:numRef>
          </c:bubbleSize>
          <c:bubble3D val="1"/>
        </c:ser>
        <c:ser>
          <c:idx val="3"/>
          <c:order val="5"/>
          <c:tx>
            <c:v>Construction</c:v>
          </c:tx>
          <c:spPr>
            <a:solidFill>
              <a:srgbClr val="FFFF00"/>
            </a:solidFill>
            <a:ln w="25400">
              <a:noFill/>
            </a:ln>
          </c:spPr>
          <c:invertIfNegative val="0"/>
          <c:xVal>
            <c:numRef>
              <c:f>'Rel. prod. cf employment'!$B$9</c:f>
              <c:numCache>
                <c:formatCode>#,##0.0_ ;\-#,##0.0\ </c:formatCode>
                <c:ptCount val="1"/>
                <c:pt idx="0">
                  <c:v>2.0090274821773191</c:v>
                </c:pt>
              </c:numCache>
            </c:numRef>
          </c:xVal>
          <c:yVal>
            <c:numRef>
              <c:f>'Rel. prod. cf employment'!$C$9</c:f>
              <c:numCache>
                <c:formatCode>#,##0.0_ ;\-#,##0.0\ </c:formatCode>
                <c:ptCount val="1"/>
                <c:pt idx="0">
                  <c:v>0.37701788218257959</c:v>
                </c:pt>
              </c:numCache>
            </c:numRef>
          </c:yVal>
          <c:bubbleSize>
            <c:numRef>
              <c:f>'Rel. prod. cf employment'!$E$9</c:f>
              <c:numCache>
                <c:formatCode>#,##0_ ;\-#,##0\ </c:formatCode>
                <c:ptCount val="1"/>
                <c:pt idx="0">
                  <c:v>288</c:v>
                </c:pt>
              </c:numCache>
            </c:numRef>
          </c:bubbleSize>
          <c:bubble3D val="1"/>
        </c:ser>
        <c:ser>
          <c:idx val="4"/>
          <c:order val="6"/>
          <c:tx>
            <c:v>Wholesale, retail, hotels</c:v>
          </c:tx>
          <c:spPr>
            <a:solidFill>
              <a:srgbClr val="6666FF"/>
            </a:solidFill>
            <a:ln w="25400">
              <a:noFill/>
            </a:ln>
          </c:spPr>
          <c:invertIfNegative val="0"/>
          <c:xVal>
            <c:numRef>
              <c:f>'Rel. prod. cf employment'!$B$10</c:f>
              <c:numCache>
                <c:formatCode>#,##0.0_ ;\-#,##0.0\ </c:formatCode>
                <c:ptCount val="1"/>
                <c:pt idx="0">
                  <c:v>2.6183613331906965</c:v>
                </c:pt>
              </c:numCache>
            </c:numRef>
          </c:xVal>
          <c:yVal>
            <c:numRef>
              <c:f>'Rel. prod. cf employment'!$C$10</c:f>
              <c:numCache>
                <c:formatCode>#,##0.0_ ;\-#,##0.0\ </c:formatCode>
                <c:ptCount val="1"/>
                <c:pt idx="0">
                  <c:v>0.76430892049014842</c:v>
                </c:pt>
              </c:numCache>
            </c:numRef>
          </c:yVal>
          <c:bubbleSize>
            <c:numRef>
              <c:f>'Rel. prod. cf employment'!$E$10</c:f>
              <c:numCache>
                <c:formatCode>#,##0_ ;\-#,##0\ </c:formatCode>
                <c:ptCount val="1"/>
                <c:pt idx="0">
                  <c:v>553</c:v>
                </c:pt>
              </c:numCache>
            </c:numRef>
          </c:bubbleSize>
          <c:bubble3D val="1"/>
        </c:ser>
        <c:dLbls>
          <c:showLegendKey val="0"/>
          <c:showVal val="0"/>
          <c:showCatName val="0"/>
          <c:showSerName val="0"/>
          <c:showPercent val="0"/>
          <c:showBubbleSize val="0"/>
        </c:dLbls>
        <c:bubbleScale val="100"/>
        <c:showNegBubbles val="0"/>
        <c:axId val="93419008"/>
        <c:axId val="93420928"/>
      </c:bubbleChart>
      <c:valAx>
        <c:axId val="93419008"/>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93420928"/>
        <c:crosses val="autoZero"/>
        <c:crossBetween val="midCat"/>
      </c:valAx>
      <c:valAx>
        <c:axId val="93420928"/>
        <c:scaling>
          <c:orientation val="minMax"/>
          <c:min val="0"/>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9341900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0.97634088284891563</c:v>
                </c:pt>
                <c:pt idx="1">
                  <c:v>0.97051480890372921</c:v>
                </c:pt>
                <c:pt idx="2">
                  <c:v>0.97867906071913346</c:v>
                </c:pt>
                <c:pt idx="3">
                  <c:v>0.98227805287561609</c:v>
                </c:pt>
                <c:pt idx="4">
                  <c:v>0.98275733531191733</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2.3659320076868287E-2</c:v>
                </c:pt>
                <c:pt idx="1">
                  <c:v>2.9485145128727509E-2</c:v>
                </c:pt>
                <c:pt idx="2">
                  <c:v>2.1320939280866522E-2</c:v>
                </c:pt>
                <c:pt idx="3">
                  <c:v>1.7722029888232939E-2</c:v>
                </c:pt>
                <c:pt idx="4">
                  <c:v>1.7242550578018191E-2</c:v>
                </c:pt>
              </c:numCache>
            </c:numRef>
          </c:val>
        </c:ser>
        <c:dLbls>
          <c:showLegendKey val="0"/>
          <c:showVal val="0"/>
          <c:showCatName val="0"/>
          <c:showSerName val="0"/>
          <c:showPercent val="0"/>
          <c:showBubbleSize val="0"/>
        </c:dLbls>
        <c:gapWidth val="150"/>
        <c:axId val="103695872"/>
        <c:axId val="103697408"/>
      </c:barChart>
      <c:catAx>
        <c:axId val="103695872"/>
        <c:scaling>
          <c:orientation val="minMax"/>
        </c:scaling>
        <c:delete val="0"/>
        <c:axPos val="b"/>
        <c:numFmt formatCode="General" sourceLinked="1"/>
        <c:majorTickMark val="out"/>
        <c:minorTickMark val="none"/>
        <c:tickLblPos val="nextTo"/>
        <c:crossAx val="103697408"/>
        <c:crosses val="autoZero"/>
        <c:auto val="1"/>
        <c:lblAlgn val="ctr"/>
        <c:lblOffset val="100"/>
        <c:noMultiLvlLbl val="0"/>
      </c:catAx>
      <c:valAx>
        <c:axId val="103697408"/>
        <c:scaling>
          <c:orientation val="minMax"/>
          <c:max val="1"/>
        </c:scaling>
        <c:delete val="1"/>
        <c:axPos val="l"/>
        <c:majorGridlines/>
        <c:numFmt formatCode="0%" sourceLinked="1"/>
        <c:majorTickMark val="out"/>
        <c:minorTickMark val="none"/>
        <c:tickLblPos val="nextTo"/>
        <c:crossAx val="10369587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0.94833777491762961</c:v>
                </c:pt>
                <c:pt idx="1">
                  <c:v>0.9588437694982539</c:v>
                </c:pt>
                <c:pt idx="2">
                  <c:v>0.95817210024319743</c:v>
                </c:pt>
                <c:pt idx="3">
                  <c:v>0.95962675655093699</c:v>
                </c:pt>
                <c:pt idx="4">
                  <c:v>0.95878360235294413</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5.1662200669118405E-2</c:v>
                </c:pt>
                <c:pt idx="1">
                  <c:v>4.1156150228232193E-2</c:v>
                </c:pt>
                <c:pt idx="2">
                  <c:v>4.1827431959778588E-2</c:v>
                </c:pt>
                <c:pt idx="3">
                  <c:v>4.0373298766242509E-2</c:v>
                </c:pt>
                <c:pt idx="4">
                  <c:v>4.1216406131025576E-2</c:v>
                </c:pt>
              </c:numCache>
            </c:numRef>
          </c:val>
        </c:ser>
        <c:dLbls>
          <c:showLegendKey val="0"/>
          <c:showVal val="0"/>
          <c:showCatName val="0"/>
          <c:showSerName val="0"/>
          <c:showPercent val="0"/>
          <c:showBubbleSize val="0"/>
        </c:dLbls>
        <c:gapWidth val="150"/>
        <c:axId val="103731200"/>
        <c:axId val="103732736"/>
      </c:barChart>
      <c:catAx>
        <c:axId val="103731200"/>
        <c:scaling>
          <c:orientation val="minMax"/>
        </c:scaling>
        <c:delete val="0"/>
        <c:axPos val="b"/>
        <c:numFmt formatCode="General" sourceLinked="1"/>
        <c:majorTickMark val="out"/>
        <c:minorTickMark val="none"/>
        <c:tickLblPos val="nextTo"/>
        <c:crossAx val="103732736"/>
        <c:crosses val="autoZero"/>
        <c:auto val="1"/>
        <c:lblAlgn val="ctr"/>
        <c:lblOffset val="100"/>
        <c:noMultiLvlLbl val="0"/>
      </c:catAx>
      <c:valAx>
        <c:axId val="103732736"/>
        <c:scaling>
          <c:orientation val="minMax"/>
          <c:max val="1"/>
        </c:scaling>
        <c:delete val="1"/>
        <c:axPos val="l"/>
        <c:majorGridlines/>
        <c:numFmt formatCode="0%" sourceLinked="1"/>
        <c:majorTickMark val="out"/>
        <c:minorTickMark val="none"/>
        <c:tickLblPos val="nextTo"/>
        <c:crossAx val="10373120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46</c:v>
                </c:pt>
                <c:pt idx="1">
                  <c:v>40</c:v>
                </c:pt>
                <c:pt idx="2">
                  <c:v>30.400000000000002</c:v>
                </c:pt>
                <c:pt idx="3">
                  <c:v>23.200000000000003</c:v>
                </c:pt>
                <c:pt idx="4">
                  <c:v>25.5</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0.9</c:v>
                </c:pt>
                <c:pt idx="1">
                  <c:v>1.2000000000000002</c:v>
                </c:pt>
                <c:pt idx="2">
                  <c:v>1.5</c:v>
                </c:pt>
                <c:pt idx="3">
                  <c:v>2</c:v>
                </c:pt>
                <c:pt idx="4">
                  <c:v>2</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3.9000000000000004</c:v>
                </c:pt>
                <c:pt idx="1">
                  <c:v>3.4000000000000004</c:v>
                </c:pt>
                <c:pt idx="2">
                  <c:v>4</c:v>
                </c:pt>
                <c:pt idx="3">
                  <c:v>4.9000000000000004</c:v>
                </c:pt>
                <c:pt idx="4">
                  <c:v>5.2</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7.1000000000000005</c:v>
                </c:pt>
                <c:pt idx="1">
                  <c:v>9.7000000000000011</c:v>
                </c:pt>
                <c:pt idx="2">
                  <c:v>11.8</c:v>
                </c:pt>
                <c:pt idx="3">
                  <c:v>13.100000000000001</c:v>
                </c:pt>
                <c:pt idx="4">
                  <c:v>11.9</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14.500000000000002</c:v>
                </c:pt>
                <c:pt idx="1">
                  <c:v>17.600000000000001</c:v>
                </c:pt>
                <c:pt idx="2">
                  <c:v>21.400000000000002</c:v>
                </c:pt>
                <c:pt idx="3">
                  <c:v>24.700000000000003</c:v>
                </c:pt>
                <c:pt idx="4">
                  <c:v>24.500000000000004</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5.1000000000000005</c:v>
                </c:pt>
                <c:pt idx="1">
                  <c:v>5.1000000000000005</c:v>
                </c:pt>
                <c:pt idx="2">
                  <c:v>6.4</c:v>
                </c:pt>
                <c:pt idx="3">
                  <c:v>7.8000000000000007</c:v>
                </c:pt>
                <c:pt idx="4">
                  <c:v>7.4</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22.3</c:v>
                </c:pt>
                <c:pt idx="1">
                  <c:v>22.9</c:v>
                </c:pt>
                <c:pt idx="2">
                  <c:v>24.299999999999997</c:v>
                </c:pt>
                <c:pt idx="3">
                  <c:v>24.200000000000003</c:v>
                </c:pt>
                <c:pt idx="4">
                  <c:v>23.500000000000004</c:v>
                </c:pt>
              </c:numCache>
            </c:numRef>
          </c:val>
        </c:ser>
        <c:dLbls>
          <c:showLegendKey val="0"/>
          <c:showVal val="0"/>
          <c:showCatName val="0"/>
          <c:showSerName val="0"/>
          <c:showPercent val="0"/>
          <c:showBubbleSize val="0"/>
        </c:dLbls>
        <c:gapWidth val="150"/>
        <c:overlap val="100"/>
        <c:axId val="103795328"/>
        <c:axId val="103801216"/>
      </c:barChart>
      <c:catAx>
        <c:axId val="103795328"/>
        <c:scaling>
          <c:orientation val="minMax"/>
        </c:scaling>
        <c:delete val="0"/>
        <c:axPos val="b"/>
        <c:numFmt formatCode="General" sourceLinked="1"/>
        <c:majorTickMark val="out"/>
        <c:minorTickMark val="none"/>
        <c:tickLblPos val="nextTo"/>
        <c:crossAx val="103801216"/>
        <c:crosses val="autoZero"/>
        <c:auto val="1"/>
        <c:lblAlgn val="ctr"/>
        <c:lblOffset val="100"/>
        <c:noMultiLvlLbl val="0"/>
      </c:catAx>
      <c:valAx>
        <c:axId val="103801216"/>
        <c:scaling>
          <c:orientation val="minMax"/>
          <c:max val="1"/>
          <c:min val="0"/>
        </c:scaling>
        <c:delete val="0"/>
        <c:axPos val="l"/>
        <c:majorGridlines/>
        <c:numFmt formatCode="0%" sourceLinked="1"/>
        <c:majorTickMark val="out"/>
        <c:minorTickMark val="none"/>
        <c:tickLblPos val="nextTo"/>
        <c:crossAx val="10379532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69.8</c:v>
                </c:pt>
                <c:pt idx="1">
                  <c:v>45.2</c:v>
                </c:pt>
                <c:pt idx="2">
                  <c:v>38.800000000000004</c:v>
                </c:pt>
                <c:pt idx="3">
                  <c:v>28</c:v>
                </c:pt>
                <c:pt idx="4">
                  <c:v>29.200000000000003</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0.30000000000000004</c:v>
                </c:pt>
                <c:pt idx="1">
                  <c:v>0.7</c:v>
                </c:pt>
                <c:pt idx="2">
                  <c:v>0.5</c:v>
                </c:pt>
                <c:pt idx="3">
                  <c:v>0.2</c:v>
                </c:pt>
                <c:pt idx="4">
                  <c:v>0.2</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1.4000000000000001</c:v>
                </c:pt>
                <c:pt idx="1">
                  <c:v>11.100000000000001</c:v>
                </c:pt>
                <c:pt idx="2">
                  <c:v>11.4</c:v>
                </c:pt>
                <c:pt idx="3">
                  <c:v>14</c:v>
                </c:pt>
                <c:pt idx="4">
                  <c:v>14.9</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0.2</c:v>
                </c:pt>
                <c:pt idx="1">
                  <c:v>0.5</c:v>
                </c:pt>
                <c:pt idx="2">
                  <c:v>0.4</c:v>
                </c:pt>
                <c:pt idx="3">
                  <c:v>0.30000000000000004</c:v>
                </c:pt>
                <c:pt idx="4">
                  <c:v>0.30000000000000004</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4.3</c:v>
                </c:pt>
                <c:pt idx="1">
                  <c:v>6.3000000000000007</c:v>
                </c:pt>
                <c:pt idx="2">
                  <c:v>8.6999999999999993</c:v>
                </c:pt>
                <c:pt idx="3">
                  <c:v>11.000000000000002</c:v>
                </c:pt>
                <c:pt idx="4">
                  <c:v>10.8</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0.4</c:v>
                </c:pt>
                <c:pt idx="1">
                  <c:v>0.70000000000000007</c:v>
                </c:pt>
                <c:pt idx="2">
                  <c:v>0.9</c:v>
                </c:pt>
                <c:pt idx="3">
                  <c:v>1</c:v>
                </c:pt>
                <c:pt idx="4">
                  <c:v>1</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23.700000000000003</c:v>
                </c:pt>
                <c:pt idx="1">
                  <c:v>35.6</c:v>
                </c:pt>
                <c:pt idx="2">
                  <c:v>39.600000000000009</c:v>
                </c:pt>
                <c:pt idx="3">
                  <c:v>45.4</c:v>
                </c:pt>
                <c:pt idx="4">
                  <c:v>43.599999999999994</c:v>
                </c:pt>
              </c:numCache>
            </c:numRef>
          </c:val>
        </c:ser>
        <c:dLbls>
          <c:showLegendKey val="0"/>
          <c:showVal val="0"/>
          <c:showCatName val="0"/>
          <c:showSerName val="0"/>
          <c:showPercent val="0"/>
          <c:showBubbleSize val="0"/>
        </c:dLbls>
        <c:gapWidth val="150"/>
        <c:overlap val="100"/>
        <c:axId val="105161856"/>
        <c:axId val="105163392"/>
      </c:barChart>
      <c:catAx>
        <c:axId val="105161856"/>
        <c:scaling>
          <c:orientation val="minMax"/>
        </c:scaling>
        <c:delete val="0"/>
        <c:axPos val="b"/>
        <c:numFmt formatCode="General" sourceLinked="1"/>
        <c:majorTickMark val="out"/>
        <c:minorTickMark val="none"/>
        <c:tickLblPos val="nextTo"/>
        <c:crossAx val="105163392"/>
        <c:crosses val="autoZero"/>
        <c:auto val="1"/>
        <c:lblAlgn val="ctr"/>
        <c:lblOffset val="100"/>
        <c:noMultiLvlLbl val="0"/>
      </c:catAx>
      <c:valAx>
        <c:axId val="105163392"/>
        <c:scaling>
          <c:orientation val="minMax"/>
          <c:max val="1"/>
          <c:min val="0"/>
        </c:scaling>
        <c:delete val="1"/>
        <c:axPos val="l"/>
        <c:majorGridlines/>
        <c:numFmt formatCode="0%" sourceLinked="1"/>
        <c:majorTickMark val="out"/>
        <c:minorTickMark val="none"/>
        <c:tickLblPos val="nextTo"/>
        <c:crossAx val="10516185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graphs'!$A$4:$A$11</c:f>
              <c:numCache>
                <c:formatCode>General</c:formatCode>
                <c:ptCount val="8"/>
                <c:pt idx="0">
                  <c:v>2006</c:v>
                </c:pt>
                <c:pt idx="1">
                  <c:v>2007</c:v>
                </c:pt>
                <c:pt idx="2">
                  <c:v>2008</c:v>
                </c:pt>
                <c:pt idx="3">
                  <c:v>2009</c:v>
                </c:pt>
                <c:pt idx="4">
                  <c:v>2010</c:v>
                </c:pt>
                <c:pt idx="5">
                  <c:v>2011</c:v>
                </c:pt>
                <c:pt idx="6">
                  <c:v>2012</c:v>
                </c:pt>
                <c:pt idx="7">
                  <c:v>2013</c:v>
                </c:pt>
              </c:numCache>
            </c:numRef>
          </c:cat>
          <c:val>
            <c:numRef>
              <c:f>'X graphs'!$B$4:$B$11</c:f>
              <c:numCache>
                <c:formatCode>_-* #,##0_-;\-* #,##0_-;_-* "-"??_-;_-@_-</c:formatCode>
                <c:ptCount val="8"/>
                <c:pt idx="0">
                  <c:v>6448311.9230000004</c:v>
                </c:pt>
                <c:pt idx="1">
                  <c:v>6104267.9589999998</c:v>
                </c:pt>
                <c:pt idx="2">
                  <c:v>7179988.7659999998</c:v>
                </c:pt>
                <c:pt idx="3">
                  <c:v>6040706.4680000003</c:v>
                </c:pt>
                <c:pt idx="4">
                  <c:v>6199526.8770000003</c:v>
                </c:pt>
                <c:pt idx="5">
                  <c:v>6751943.3370000003</c:v>
                </c:pt>
                <c:pt idx="6">
                  <c:v>6864728.9570000004</c:v>
                </c:pt>
                <c:pt idx="7">
                  <c:v>7022397.4529999997</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graphs'!$A$4:$A$11</c:f>
              <c:numCache>
                <c:formatCode>General</c:formatCode>
                <c:ptCount val="8"/>
                <c:pt idx="0">
                  <c:v>2006</c:v>
                </c:pt>
                <c:pt idx="1">
                  <c:v>2007</c:v>
                </c:pt>
                <c:pt idx="2">
                  <c:v>2008</c:v>
                </c:pt>
                <c:pt idx="3">
                  <c:v>2009</c:v>
                </c:pt>
                <c:pt idx="4">
                  <c:v>2010</c:v>
                </c:pt>
                <c:pt idx="5">
                  <c:v>2011</c:v>
                </c:pt>
                <c:pt idx="6">
                  <c:v>2012</c:v>
                </c:pt>
                <c:pt idx="7">
                  <c:v>2013</c:v>
                </c:pt>
              </c:numCache>
            </c:numRef>
          </c:cat>
          <c:val>
            <c:numRef>
              <c:f>'X graphs'!$C$4:$C$11</c:f>
              <c:numCache>
                <c:formatCode>_-* #,##0_-;\-* #,##0_-;_-* "-"??_-;_-@_-</c:formatCode>
                <c:ptCount val="8"/>
                <c:pt idx="0">
                  <c:v>6080883.2620000001</c:v>
                </c:pt>
                <c:pt idx="1">
                  <c:v>8510708.2990000006</c:v>
                </c:pt>
                <c:pt idx="2">
                  <c:v>10546160.169</c:v>
                </c:pt>
                <c:pt idx="3">
                  <c:v>9184846.7339999992</c:v>
                </c:pt>
                <c:pt idx="4">
                  <c:v>9255368.3489999995</c:v>
                </c:pt>
                <c:pt idx="5">
                  <c:v>10033590.105</c:v>
                </c:pt>
                <c:pt idx="6">
                  <c:v>11214508.088</c:v>
                </c:pt>
                <c:pt idx="7">
                  <c:v>13272928.404999999</c:v>
                </c:pt>
              </c:numCache>
            </c:numRef>
          </c:val>
          <c:smooth val="0"/>
        </c:ser>
        <c:dLbls>
          <c:showLegendKey val="0"/>
          <c:showVal val="0"/>
          <c:showCatName val="0"/>
          <c:showSerName val="0"/>
          <c:showPercent val="0"/>
          <c:showBubbleSize val="0"/>
        </c:dLbls>
        <c:marker val="1"/>
        <c:smooth val="0"/>
        <c:axId val="105172352"/>
        <c:axId val="105288832"/>
      </c:lineChart>
      <c:catAx>
        <c:axId val="105172352"/>
        <c:scaling>
          <c:orientation val="minMax"/>
        </c:scaling>
        <c:delete val="0"/>
        <c:axPos val="b"/>
        <c:numFmt formatCode="General" sourceLinked="1"/>
        <c:majorTickMark val="out"/>
        <c:minorTickMark val="none"/>
        <c:tickLblPos val="nextTo"/>
        <c:crossAx val="105288832"/>
        <c:crosses val="autoZero"/>
        <c:auto val="1"/>
        <c:lblAlgn val="ctr"/>
        <c:lblOffset val="100"/>
        <c:noMultiLvlLbl val="0"/>
      </c:catAx>
      <c:valAx>
        <c:axId val="105288832"/>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105172352"/>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2006-8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2.715283345578463E-2</c:v>
                </c:pt>
                <c:pt idx="1">
                  <c:v>1.1377087535745954E-2</c:v>
                </c:pt>
                <c:pt idx="2">
                  <c:v>1.0969745950520943E-3</c:v>
                </c:pt>
                <c:pt idx="3">
                  <c:v>1.0069268583923621E-2</c:v>
                </c:pt>
                <c:pt idx="4">
                  <c:v>0.94056094232691811</c:v>
                </c:pt>
                <c:pt idx="5">
                  <c:v>3.1716101238796019E-3</c:v>
                </c:pt>
                <c:pt idx="6">
                  <c:v>9.7437008805165983E-4</c:v>
                </c:pt>
                <c:pt idx="7">
                  <c:v>2.3958165868919056E-3</c:v>
                </c:pt>
                <c:pt idx="8">
                  <c:v>6.8664128120717872E-6</c:v>
                </c:pt>
                <c:pt idx="9">
                  <c:v>3.8587292523902807E-4</c:v>
                </c:pt>
                <c:pt idx="10">
                  <c:v>5.1538997224429809E-4</c:v>
                </c:pt>
                <c:pt idx="11">
                  <c:v>1.3384874523035615E-4</c:v>
                </c:pt>
                <c:pt idx="12">
                  <c:v>1.3167650927573801E-4</c:v>
                </c:pt>
                <c:pt idx="13">
                  <c:v>3.6116846802527471E-4</c:v>
                </c:pt>
                <c:pt idx="14">
                  <c:v>1.3501123665968424E-3</c:v>
                </c:pt>
                <c:pt idx="15">
                  <c:v>1.1992477054696807E-4</c:v>
                </c:pt>
                <c:pt idx="16">
                  <c:v>2.1681453343367476E-5</c:v>
                </c:pt>
                <c:pt idx="17">
                  <c:v>3.1077055617137723E-6</c:v>
                </c:pt>
                <c:pt idx="18">
                  <c:v>1.6020835763676699E-6</c:v>
                </c:pt>
                <c:pt idx="19">
                  <c:v>1.6896583328448864E-4</c:v>
                </c:pt>
                <c:pt idx="20">
                  <c:v>8.7945801588239823E-7</c:v>
                </c:pt>
              </c:numCache>
            </c:numRef>
          </c:yVal>
          <c:bubbleSize>
            <c:numRef>
              <c:f>'X graphs'!$C$27:$C$47</c:f>
              <c:numCache>
                <c:formatCode>General</c:formatCode>
                <c:ptCount val="21"/>
                <c:pt idx="0">
                  <c:v>94</c:v>
                </c:pt>
                <c:pt idx="1">
                  <c:v>172</c:v>
                </c:pt>
                <c:pt idx="2">
                  <c:v>19</c:v>
                </c:pt>
                <c:pt idx="3">
                  <c:v>100</c:v>
                </c:pt>
                <c:pt idx="4">
                  <c:v>47</c:v>
                </c:pt>
                <c:pt idx="5">
                  <c:v>85</c:v>
                </c:pt>
                <c:pt idx="6">
                  <c:v>51</c:v>
                </c:pt>
                <c:pt idx="7">
                  <c:v>40</c:v>
                </c:pt>
                <c:pt idx="8">
                  <c:v>26</c:v>
                </c:pt>
                <c:pt idx="9">
                  <c:v>64</c:v>
                </c:pt>
                <c:pt idx="10">
                  <c:v>112</c:v>
                </c:pt>
                <c:pt idx="11">
                  <c:v>19</c:v>
                </c:pt>
                <c:pt idx="12">
                  <c:v>53</c:v>
                </c:pt>
                <c:pt idx="13">
                  <c:v>16</c:v>
                </c:pt>
                <c:pt idx="14">
                  <c:v>99</c:v>
                </c:pt>
                <c:pt idx="15">
                  <c:v>54</c:v>
                </c:pt>
                <c:pt idx="16">
                  <c:v>14</c:v>
                </c:pt>
                <c:pt idx="17">
                  <c:v>3</c:v>
                </c:pt>
                <c:pt idx="18">
                  <c:v>2</c:v>
                </c:pt>
                <c:pt idx="19">
                  <c:v>42</c:v>
                </c:pt>
                <c:pt idx="20">
                  <c:v>5</c:v>
                </c:pt>
              </c:numCache>
            </c:numRef>
          </c:bubbleSize>
          <c:bubble3D val="1"/>
        </c:ser>
        <c:dLbls>
          <c:showLegendKey val="0"/>
          <c:showVal val="1"/>
          <c:showCatName val="0"/>
          <c:showSerName val="0"/>
          <c:showPercent val="0"/>
          <c:showBubbleSize val="0"/>
        </c:dLbls>
        <c:bubbleScale val="100"/>
        <c:showNegBubbles val="0"/>
        <c:axId val="103942016"/>
        <c:axId val="103949440"/>
      </c:bubbleChart>
      <c:valAx>
        <c:axId val="10394201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3949440"/>
        <c:crosses val="autoZero"/>
        <c:crossBetween val="midCat"/>
        <c:majorUnit val="1"/>
      </c:valAx>
      <c:valAx>
        <c:axId val="103949440"/>
        <c:scaling>
          <c:orientation val="minMax"/>
          <c:max val="1"/>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3942016"/>
        <c:crosses val="autoZero"/>
        <c:crossBetween val="midCat"/>
        <c:majorUnit val="0.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3.5723382002979087E-2</c:v>
                </c:pt>
                <c:pt idx="1">
                  <c:v>1.8998966324366651E-2</c:v>
                </c:pt>
                <c:pt idx="2">
                  <c:v>1.1150301958724456E-3</c:v>
                </c:pt>
                <c:pt idx="3">
                  <c:v>1.063771793695442E-2</c:v>
                </c:pt>
                <c:pt idx="4">
                  <c:v>0.91656488200113329</c:v>
                </c:pt>
                <c:pt idx="5">
                  <c:v>4.4620596292324569E-3</c:v>
                </c:pt>
                <c:pt idx="6">
                  <c:v>1.3957773561320361E-3</c:v>
                </c:pt>
                <c:pt idx="7">
                  <c:v>2.6470235741451469E-3</c:v>
                </c:pt>
                <c:pt idx="8">
                  <c:v>1.258411430255886E-5</c:v>
                </c:pt>
                <c:pt idx="9">
                  <c:v>5.259661229601734E-4</c:v>
                </c:pt>
                <c:pt idx="10">
                  <c:v>3.4149266956302865E-4</c:v>
                </c:pt>
                <c:pt idx="11">
                  <c:v>1.7408205888613533E-4</c:v>
                </c:pt>
                <c:pt idx="12">
                  <c:v>1.7621081624708259E-4</c:v>
                </c:pt>
                <c:pt idx="13">
                  <c:v>2.1761513920003236E-3</c:v>
                </c:pt>
                <c:pt idx="14">
                  <c:v>4.6929773395019882E-3</c:v>
                </c:pt>
                <c:pt idx="15">
                  <c:v>2.261377533779908E-4</c:v>
                </c:pt>
                <c:pt idx="16">
                  <c:v>1.9806775427258967E-5</c:v>
                </c:pt>
                <c:pt idx="17">
                  <c:v>6.3745106513459921E-6</c:v>
                </c:pt>
                <c:pt idx="18">
                  <c:v>4.5576318793813062E-7</c:v>
                </c:pt>
                <c:pt idx="19">
                  <c:v>1.0226425771078585E-4</c:v>
                </c:pt>
                <c:pt idx="20">
                  <c:v>6.5740536780888855E-7</c:v>
                </c:pt>
              </c:numCache>
            </c:numRef>
          </c:yVal>
          <c:bubbleSize>
            <c:numRef>
              <c:f>'X graphs'!$C$51:$C$71</c:f>
              <c:numCache>
                <c:formatCode>General</c:formatCode>
                <c:ptCount val="21"/>
                <c:pt idx="0">
                  <c:v>108</c:v>
                </c:pt>
                <c:pt idx="1">
                  <c:v>167</c:v>
                </c:pt>
                <c:pt idx="2">
                  <c:v>25</c:v>
                </c:pt>
                <c:pt idx="3">
                  <c:v>107</c:v>
                </c:pt>
                <c:pt idx="4">
                  <c:v>52</c:v>
                </c:pt>
                <c:pt idx="5">
                  <c:v>86</c:v>
                </c:pt>
                <c:pt idx="6">
                  <c:v>61</c:v>
                </c:pt>
                <c:pt idx="7">
                  <c:v>39</c:v>
                </c:pt>
                <c:pt idx="8">
                  <c:v>28</c:v>
                </c:pt>
                <c:pt idx="9">
                  <c:v>50</c:v>
                </c:pt>
                <c:pt idx="10">
                  <c:v>139</c:v>
                </c:pt>
                <c:pt idx="11">
                  <c:v>19</c:v>
                </c:pt>
                <c:pt idx="12">
                  <c:v>56</c:v>
                </c:pt>
                <c:pt idx="13">
                  <c:v>23</c:v>
                </c:pt>
                <c:pt idx="14">
                  <c:v>145</c:v>
                </c:pt>
                <c:pt idx="15">
                  <c:v>74</c:v>
                </c:pt>
                <c:pt idx="16">
                  <c:v>18</c:v>
                </c:pt>
                <c:pt idx="17">
                  <c:v>11</c:v>
                </c:pt>
                <c:pt idx="18">
                  <c:v>2</c:v>
                </c:pt>
                <c:pt idx="19">
                  <c:v>36</c:v>
                </c:pt>
                <c:pt idx="20">
                  <c:v>4</c:v>
                </c:pt>
              </c:numCache>
            </c:numRef>
          </c:bubbleSize>
          <c:bubble3D val="1"/>
        </c:ser>
        <c:dLbls>
          <c:showLegendKey val="0"/>
          <c:showVal val="1"/>
          <c:showCatName val="0"/>
          <c:showSerName val="0"/>
          <c:showPercent val="0"/>
          <c:showBubbleSize val="0"/>
        </c:dLbls>
        <c:bubbleScale val="100"/>
        <c:showNegBubbles val="0"/>
        <c:axId val="103973632"/>
        <c:axId val="103981056"/>
      </c:bubbleChart>
      <c:valAx>
        <c:axId val="10397363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3981056"/>
        <c:crosses val="autoZero"/>
        <c:crossBetween val="midCat"/>
        <c:majorUnit val="1"/>
      </c:valAx>
      <c:valAx>
        <c:axId val="103981056"/>
        <c:scaling>
          <c:orientation val="minMax"/>
          <c:max val="1"/>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3973632"/>
        <c:crosses val="autoZero"/>
        <c:crossBetween val="midCat"/>
        <c:majorUnit val="0.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0.85705485471944576</c:v>
                </c:pt>
                <c:pt idx="1">
                  <c:v>0.76218787886206973</c:v>
                </c:pt>
                <c:pt idx="2">
                  <c:v>1.8055600820351264E-3</c:v>
                </c:pt>
                <c:pt idx="3">
                  <c:v>5.6844935303079942E-2</c:v>
                </c:pt>
                <c:pt idx="4">
                  <c:v>-2.3996060325784829</c:v>
                </c:pt>
                <c:pt idx="5">
                  <c:v>0.1290449505352855</c:v>
                </c:pt>
                <c:pt idx="6">
                  <c:v>4.2140726808037633E-2</c:v>
                </c:pt>
                <c:pt idx="7">
                  <c:v>2.5120698725324131E-2</c:v>
                </c:pt>
                <c:pt idx="8">
                  <c:v>5.7177014904870728E-4</c:v>
                </c:pt>
                <c:pt idx="9">
                  <c:v>1.4009319772114533E-2</c:v>
                </c:pt>
                <c:pt idx="10">
                  <c:v>-1.7389730268126943E-2</c:v>
                </c:pt>
                <c:pt idx="11">
                  <c:v>4.0233313655779167E-3</c:v>
                </c:pt>
                <c:pt idx="12">
                  <c:v>4.4534306971344573E-3</c:v>
                </c:pt>
                <c:pt idx="13">
                  <c:v>0.1814982923975049</c:v>
                </c:pt>
                <c:pt idx="14">
                  <c:v>0.33428649729051457</c:v>
                </c:pt>
                <c:pt idx="15">
                  <c:v>1.0621298283102274E-2</c:v>
                </c:pt>
                <c:pt idx="16">
                  <c:v>-1.874677916108509E-4</c:v>
                </c:pt>
                <c:pt idx="17">
                  <c:v>3.2668050896322197E-4</c:v>
                </c:pt>
                <c:pt idx="18">
                  <c:v>-1.1463203884295393E-4</c:v>
                </c:pt>
                <c:pt idx="19">
                  <c:v>-6.6701575573702787E-3</c:v>
                </c:pt>
                <c:pt idx="20">
                  <c:v>-2.2205264807350969E-5</c:v>
                </c:pt>
              </c:numCache>
            </c:numRef>
          </c:val>
        </c:ser>
        <c:dLbls>
          <c:showLegendKey val="0"/>
          <c:showVal val="0"/>
          <c:showCatName val="0"/>
          <c:showSerName val="0"/>
          <c:showPercent val="0"/>
          <c:showBubbleSize val="0"/>
        </c:dLbls>
        <c:gapWidth val="49"/>
        <c:axId val="103987840"/>
        <c:axId val="103998208"/>
      </c:barChart>
      <c:catAx>
        <c:axId val="103987840"/>
        <c:scaling>
          <c:orientation val="minMax"/>
        </c:scaling>
        <c:delete val="0"/>
        <c:axPos val="b"/>
        <c:title>
          <c:tx>
            <c:rich>
              <a:bodyPr/>
              <a:lstStyle/>
              <a:p>
                <a:pPr>
                  <a:defRPr b="0"/>
                </a:pPr>
                <a:r>
                  <a:rPr lang="en-US" b="0"/>
                  <a:t>HS Section</a:t>
                </a:r>
              </a:p>
            </c:rich>
          </c:tx>
          <c:overlay val="0"/>
        </c:title>
        <c:majorTickMark val="out"/>
        <c:minorTickMark val="none"/>
        <c:tickLblPos val="low"/>
        <c:crossAx val="103998208"/>
        <c:crosses val="autoZero"/>
        <c:auto val="1"/>
        <c:lblAlgn val="ctr"/>
        <c:lblOffset val="100"/>
        <c:noMultiLvlLbl val="0"/>
      </c:catAx>
      <c:valAx>
        <c:axId val="103998208"/>
        <c:scaling>
          <c:orientation val="minMax"/>
          <c:max val="1"/>
          <c:min val="-3"/>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3987840"/>
        <c:crosses val="autoZero"/>
        <c:crossBetween val="between"/>
        <c:majorUnit val="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2006-8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4.7668259308234685E-2</c:v>
                </c:pt>
                <c:pt idx="1">
                  <c:v>0.12319508145210854</c:v>
                </c:pt>
                <c:pt idx="2">
                  <c:v>1.5815003096156705E-2</c:v>
                </c:pt>
                <c:pt idx="3">
                  <c:v>6.2445753620475011E-2</c:v>
                </c:pt>
                <c:pt idx="4">
                  <c:v>0.25904904278309659</c:v>
                </c:pt>
                <c:pt idx="5">
                  <c:v>5.0424494619583253E-2</c:v>
                </c:pt>
                <c:pt idx="6">
                  <c:v>3.3079551891806336E-2</c:v>
                </c:pt>
                <c:pt idx="7">
                  <c:v>5.174044599770423E-4</c:v>
                </c:pt>
                <c:pt idx="8">
                  <c:v>1.2988860452174684E-2</c:v>
                </c:pt>
                <c:pt idx="9">
                  <c:v>2.4783442782409803E-2</c:v>
                </c:pt>
                <c:pt idx="10">
                  <c:v>1.5443341210834896E-2</c:v>
                </c:pt>
                <c:pt idx="11">
                  <c:v>3.7980264733762136E-3</c:v>
                </c:pt>
                <c:pt idx="12">
                  <c:v>7.7784704151918332E-3</c:v>
                </c:pt>
                <c:pt idx="13">
                  <c:v>2.2009073983901535E-3</c:v>
                </c:pt>
                <c:pt idx="14">
                  <c:v>8.7070278312158342E-2</c:v>
                </c:pt>
                <c:pt idx="15">
                  <c:v>0.1450307202769566</c:v>
                </c:pt>
                <c:pt idx="16">
                  <c:v>8.6390671625609441E-2</c:v>
                </c:pt>
                <c:pt idx="17">
                  <c:v>1.2363241809260152E-2</c:v>
                </c:pt>
                <c:pt idx="18">
                  <c:v>1.6838398790152409E-3</c:v>
                </c:pt>
                <c:pt idx="19">
                  <c:v>8.2656938904754566E-3</c:v>
                </c:pt>
                <c:pt idx="20">
                  <c:v>7.9142427088326062E-6</c:v>
                </c:pt>
              </c:numCache>
            </c:numRef>
          </c:yVal>
          <c:bubbleSize>
            <c:numRef>
              <c:f>'M graphs'!$C$28:$C$48</c:f>
              <c:numCache>
                <c:formatCode>#,##0</c:formatCode>
                <c:ptCount val="21"/>
                <c:pt idx="0">
                  <c:v>129</c:v>
                </c:pt>
                <c:pt idx="1">
                  <c:v>233</c:v>
                </c:pt>
                <c:pt idx="2">
                  <c:v>37</c:v>
                </c:pt>
                <c:pt idx="3">
                  <c:v>164</c:v>
                </c:pt>
                <c:pt idx="4">
                  <c:v>103</c:v>
                </c:pt>
                <c:pt idx="5">
                  <c:v>629</c:v>
                </c:pt>
                <c:pt idx="6">
                  <c:v>202</c:v>
                </c:pt>
                <c:pt idx="7">
                  <c:v>41</c:v>
                </c:pt>
                <c:pt idx="8">
                  <c:v>77</c:v>
                </c:pt>
                <c:pt idx="9">
                  <c:v>138</c:v>
                </c:pt>
                <c:pt idx="10">
                  <c:v>644</c:v>
                </c:pt>
                <c:pt idx="11">
                  <c:v>50</c:v>
                </c:pt>
                <c:pt idx="12">
                  <c:v>139</c:v>
                </c:pt>
                <c:pt idx="13">
                  <c:v>23</c:v>
                </c:pt>
                <c:pt idx="14">
                  <c:v>510</c:v>
                </c:pt>
                <c:pt idx="15">
                  <c:v>777</c:v>
                </c:pt>
                <c:pt idx="16">
                  <c:v>115</c:v>
                </c:pt>
                <c:pt idx="17">
                  <c:v>224</c:v>
                </c:pt>
                <c:pt idx="18">
                  <c:v>10</c:v>
                </c:pt>
                <c:pt idx="19">
                  <c:v>127</c:v>
                </c:pt>
                <c:pt idx="20">
                  <c:v>6</c:v>
                </c:pt>
              </c:numCache>
            </c:numRef>
          </c:bubbleSize>
          <c:bubble3D val="1"/>
        </c:ser>
        <c:dLbls>
          <c:showLegendKey val="0"/>
          <c:showVal val="1"/>
          <c:showCatName val="0"/>
          <c:showSerName val="0"/>
          <c:showPercent val="0"/>
          <c:showBubbleSize val="0"/>
        </c:dLbls>
        <c:bubbleScale val="100"/>
        <c:showNegBubbles val="0"/>
        <c:axId val="105337984"/>
        <c:axId val="105349504"/>
      </c:bubbleChart>
      <c:valAx>
        <c:axId val="10533798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5349504"/>
        <c:crosses val="autoZero"/>
        <c:crossBetween val="midCat"/>
        <c:majorUnit val="1"/>
      </c:valAx>
      <c:valAx>
        <c:axId val="105349504"/>
        <c:scaling>
          <c:orientation val="minMax"/>
          <c:max val="0.300000000000000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5337984"/>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5.2994432609482778E-2</c:v>
                </c:pt>
                <c:pt idx="1">
                  <c:v>0.15450029610288415</c:v>
                </c:pt>
                <c:pt idx="2">
                  <c:v>2.3144898753532393E-2</c:v>
                </c:pt>
                <c:pt idx="3">
                  <c:v>0.10110987558448527</c:v>
                </c:pt>
                <c:pt idx="4">
                  <c:v>0.21768004884881642</c:v>
                </c:pt>
                <c:pt idx="5">
                  <c:v>5.8421252249156327E-2</c:v>
                </c:pt>
                <c:pt idx="6">
                  <c:v>3.7324688522674329E-2</c:v>
                </c:pt>
                <c:pt idx="7">
                  <c:v>6.0563287051448032E-4</c:v>
                </c:pt>
                <c:pt idx="8">
                  <c:v>1.4655230517814016E-2</c:v>
                </c:pt>
                <c:pt idx="9">
                  <c:v>3.2428387390391236E-2</c:v>
                </c:pt>
                <c:pt idx="10">
                  <c:v>1.6746258860984405E-2</c:v>
                </c:pt>
                <c:pt idx="11">
                  <c:v>3.7195546682969199E-3</c:v>
                </c:pt>
                <c:pt idx="12">
                  <c:v>9.3871974290024029E-3</c:v>
                </c:pt>
                <c:pt idx="13">
                  <c:v>1.6124945668990144E-3</c:v>
                </c:pt>
                <c:pt idx="14">
                  <c:v>6.9135966824221601E-2</c:v>
                </c:pt>
                <c:pt idx="15">
                  <c:v>9.4934806104855676E-2</c:v>
                </c:pt>
                <c:pt idx="16">
                  <c:v>0.10013906262662817</c:v>
                </c:pt>
                <c:pt idx="17">
                  <c:v>6.8886712051246975E-3</c:v>
                </c:pt>
                <c:pt idx="18">
                  <c:v>5.1212925370239582E-6</c:v>
                </c:pt>
                <c:pt idx="19">
                  <c:v>4.5576651887100196E-3</c:v>
                </c:pt>
                <c:pt idx="20">
                  <c:v>8.4577829887709781E-6</c:v>
                </c:pt>
              </c:numCache>
            </c:numRef>
          </c:yVal>
          <c:bubbleSize>
            <c:numRef>
              <c:f>'M graphs'!$C$52:$C$72</c:f>
              <c:numCache>
                <c:formatCode>General</c:formatCode>
                <c:ptCount val="21"/>
                <c:pt idx="0">
                  <c:v>131</c:v>
                </c:pt>
                <c:pt idx="1">
                  <c:v>212</c:v>
                </c:pt>
                <c:pt idx="2">
                  <c:v>39</c:v>
                </c:pt>
                <c:pt idx="3">
                  <c:v>173</c:v>
                </c:pt>
                <c:pt idx="4">
                  <c:v>109</c:v>
                </c:pt>
                <c:pt idx="5">
                  <c:v>625</c:v>
                </c:pt>
                <c:pt idx="6">
                  <c:v>203</c:v>
                </c:pt>
                <c:pt idx="7">
                  <c:v>40</c:v>
                </c:pt>
                <c:pt idx="8">
                  <c:v>68</c:v>
                </c:pt>
                <c:pt idx="9">
                  <c:v>132</c:v>
                </c:pt>
                <c:pt idx="10">
                  <c:v>636</c:v>
                </c:pt>
                <c:pt idx="11">
                  <c:v>47</c:v>
                </c:pt>
                <c:pt idx="12">
                  <c:v>134</c:v>
                </c:pt>
                <c:pt idx="13">
                  <c:v>30</c:v>
                </c:pt>
                <c:pt idx="14">
                  <c:v>478</c:v>
                </c:pt>
                <c:pt idx="15">
                  <c:v>724</c:v>
                </c:pt>
                <c:pt idx="16">
                  <c:v>111</c:v>
                </c:pt>
                <c:pt idx="17">
                  <c:v>204</c:v>
                </c:pt>
                <c:pt idx="18">
                  <c:v>9</c:v>
                </c:pt>
                <c:pt idx="19">
                  <c:v>111</c:v>
                </c:pt>
                <c:pt idx="20">
                  <c:v>4</c:v>
                </c:pt>
              </c:numCache>
            </c:numRef>
          </c:bubbleSize>
          <c:bubble3D val="1"/>
        </c:ser>
        <c:dLbls>
          <c:showLegendKey val="0"/>
          <c:showVal val="1"/>
          <c:showCatName val="0"/>
          <c:showSerName val="0"/>
          <c:showPercent val="0"/>
          <c:showBubbleSize val="0"/>
        </c:dLbls>
        <c:bubbleScale val="100"/>
        <c:showNegBubbles val="0"/>
        <c:axId val="105374464"/>
        <c:axId val="105390080"/>
      </c:bubbleChart>
      <c:valAx>
        <c:axId val="10537446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5390080"/>
        <c:crosses val="autoZero"/>
        <c:crossBetween val="midCat"/>
        <c:majorUnit val="1"/>
      </c:valAx>
      <c:valAx>
        <c:axId val="105390080"/>
        <c:scaling>
          <c:orientation val="minMax"/>
          <c:max val="0.300000000000000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5374464"/>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6"/>
          <c:order val="0"/>
          <c:tx>
            <c:v>Other</c:v>
          </c:tx>
          <c:spPr>
            <a:solidFill>
              <a:srgbClr val="FF00FF"/>
            </a:solidFill>
            <a:ln w="25400">
              <a:noFill/>
            </a:ln>
          </c:spPr>
          <c:invertIfNegative val="0"/>
          <c:xVal>
            <c:numRef>
              <c:f>'Rel. prod. cf employment'!$B$29</c:f>
              <c:numCache>
                <c:formatCode>#,##0.0_ ;\-#,##0.0\ </c:formatCode>
                <c:ptCount val="1"/>
                <c:pt idx="0">
                  <c:v>2.0780125763811057</c:v>
                </c:pt>
              </c:numCache>
            </c:numRef>
          </c:xVal>
          <c:yVal>
            <c:numRef>
              <c:f>'Rel. prod. cf employment'!$C$29</c:f>
              <c:numCache>
                <c:formatCode>#,##0.0_ ;\-#,##0.0\ </c:formatCode>
                <c:ptCount val="1"/>
                <c:pt idx="0">
                  <c:v>0.66081622102917048</c:v>
                </c:pt>
              </c:numCache>
            </c:numRef>
          </c:yVal>
          <c:bubbleSize>
            <c:numRef>
              <c:f>'Rel. prod. cf employment'!$E$29</c:f>
              <c:numCache>
                <c:formatCode>#,##0_ ;\-#,##0\ </c:formatCode>
                <c:ptCount val="1"/>
                <c:pt idx="0">
                  <c:v>1180</c:v>
                </c:pt>
              </c:numCache>
            </c:numRef>
          </c:bubbleSize>
          <c:bubble3D val="1"/>
        </c:ser>
        <c:ser>
          <c:idx val="0"/>
          <c:order val="1"/>
          <c:tx>
            <c:v>Agriculture</c:v>
          </c:tx>
          <c:spPr>
            <a:solidFill>
              <a:srgbClr val="13CF44"/>
            </a:solidFill>
          </c:spPr>
          <c:invertIfNegative val="0"/>
          <c:xVal>
            <c:numRef>
              <c:f>'Rel. prod. cf employment'!$B$23</c:f>
              <c:numCache>
                <c:formatCode>#,##0.0_ ;\-#,##0.0\ </c:formatCode>
                <c:ptCount val="1"/>
                <c:pt idx="0">
                  <c:v>-8.9428278715146376</c:v>
                </c:pt>
              </c:numCache>
            </c:numRef>
          </c:xVal>
          <c:yVal>
            <c:numRef>
              <c:f>'Rel. prod. cf employment'!$C$23</c:f>
              <c:numCache>
                <c:formatCode>#,##0.0_ ;\-#,##0.0\ </c:formatCode>
                <c:ptCount val="1"/>
                <c:pt idx="0">
                  <c:v>0.30177729279629456</c:v>
                </c:pt>
              </c:numCache>
            </c:numRef>
          </c:yVal>
          <c:bubbleSize>
            <c:numRef>
              <c:f>'Rel. prod. cf employment'!$E$23</c:f>
              <c:numCache>
                <c:formatCode>#,##0_ ;\-#,##0\ </c:formatCode>
                <c:ptCount val="1"/>
                <c:pt idx="0">
                  <c:v>1386</c:v>
                </c:pt>
              </c:numCache>
            </c:numRef>
          </c:bubbleSize>
          <c:bubble3D val="1"/>
        </c:ser>
        <c:ser>
          <c:idx val="1"/>
          <c:order val="2"/>
          <c:tx>
            <c:v>Mining &amp; utilities</c:v>
          </c:tx>
          <c:spPr>
            <a:solidFill>
              <a:srgbClr val="000000"/>
            </a:solidFill>
            <a:ln w="25400">
              <a:noFill/>
            </a:ln>
          </c:spPr>
          <c:invertIfNegative val="0"/>
          <c:xVal>
            <c:numRef>
              <c:f>'Rel. prod. cf employment'!$B$24</c:f>
              <c:numCache>
                <c:formatCode>#,##0.0_ ;\-#,##0.0\ </c:formatCode>
                <c:ptCount val="1"/>
                <c:pt idx="0">
                  <c:v>0.25807949347166326</c:v>
                </c:pt>
              </c:numCache>
            </c:numRef>
          </c:xVal>
          <c:yVal>
            <c:numRef>
              <c:f>'Rel. prod. cf employment'!$C$24</c:f>
              <c:numCache>
                <c:formatCode>#,##0.0_ ;\-#,##0.0\ </c:formatCode>
                <c:ptCount val="1"/>
                <c:pt idx="0">
                  <c:v>25.084426264977825</c:v>
                </c:pt>
              </c:numCache>
            </c:numRef>
          </c:yVal>
          <c:bubbleSize>
            <c:numRef>
              <c:f>'Rel. prod. cf employment'!$E$24</c:f>
              <c:numCache>
                <c:formatCode>#,##0_ ;\-#,##0\ </c:formatCode>
                <c:ptCount val="1"/>
                <c:pt idx="0">
                  <c:v>58</c:v>
                </c:pt>
              </c:numCache>
            </c:numRef>
          </c:bubbleSize>
          <c:bubble3D val="1"/>
        </c:ser>
        <c:ser>
          <c:idx val="2"/>
          <c:order val="3"/>
          <c:tx>
            <c:v>Manufacturing</c:v>
          </c:tx>
          <c:spPr>
            <a:solidFill>
              <a:srgbClr val="CC6600"/>
            </a:solidFill>
            <a:ln w="25400">
              <a:noFill/>
            </a:ln>
          </c:spPr>
          <c:invertIfNegative val="0"/>
          <c:xVal>
            <c:numRef>
              <c:f>'Rel. prod. cf employment'!$B$25</c:f>
              <c:numCache>
                <c:formatCode>#,##0.0_ ;\-#,##0.0\ </c:formatCode>
                <c:ptCount val="1"/>
                <c:pt idx="0">
                  <c:v>0.60170020931910351</c:v>
                </c:pt>
              </c:numCache>
            </c:numRef>
          </c:xVal>
          <c:yVal>
            <c:numRef>
              <c:f>'Rel. prod. cf employment'!$C$25</c:f>
              <c:numCache>
                <c:formatCode>#,##0.0_ ;\-#,##0.0\ </c:formatCode>
                <c:ptCount val="1"/>
                <c:pt idx="0">
                  <c:v>1.0747664833989719</c:v>
                </c:pt>
              </c:numCache>
            </c:numRef>
          </c:yVal>
          <c:bubbleSize>
            <c:numRef>
              <c:f>'Rel. prod. cf employment'!$E$25</c:f>
              <c:numCache>
                <c:formatCode>#,##0_ ;\-#,##0\ </c:formatCode>
                <c:ptCount val="1"/>
                <c:pt idx="0">
                  <c:v>233</c:v>
                </c:pt>
              </c:numCache>
            </c:numRef>
          </c:bubbleSize>
          <c:bubble3D val="1"/>
        </c:ser>
        <c:ser>
          <c:idx val="3"/>
          <c:order val="4"/>
          <c:tx>
            <c:v>Construction</c:v>
          </c:tx>
          <c:spPr>
            <a:solidFill>
              <a:srgbClr val="FFFF00"/>
            </a:solidFill>
            <a:ln w="25400">
              <a:noFill/>
            </a:ln>
          </c:spPr>
          <c:invertIfNegative val="0"/>
          <c:xVal>
            <c:numRef>
              <c:f>'Rel. prod. cf employment'!$B$26</c:f>
              <c:numCache>
                <c:formatCode>#,##0.0_ ;\-#,##0.0\ </c:formatCode>
                <c:ptCount val="1"/>
                <c:pt idx="0">
                  <c:v>1.5512058191794473</c:v>
                </c:pt>
              </c:numCache>
            </c:numRef>
          </c:xVal>
          <c:yVal>
            <c:numRef>
              <c:f>'Rel. prod. cf employment'!$C$26</c:f>
              <c:numCache>
                <c:formatCode>#,##0.0_ ;\-#,##0.0\ </c:formatCode>
                <c:ptCount val="1"/>
                <c:pt idx="0">
                  <c:v>0.46748064986138055</c:v>
                </c:pt>
              </c:numCache>
            </c:numRef>
          </c:yVal>
          <c:bubbleSize>
            <c:numRef>
              <c:f>'Rel. prod. cf employment'!$E$26</c:f>
              <c:numCache>
                <c:formatCode>#,##0_ ;\-#,##0\ </c:formatCode>
                <c:ptCount val="1"/>
                <c:pt idx="0">
                  <c:v>422</c:v>
                </c:pt>
              </c:numCache>
            </c:numRef>
          </c:bubbleSize>
          <c:bubble3D val="1"/>
        </c:ser>
        <c:ser>
          <c:idx val="4"/>
          <c:order val="5"/>
          <c:tx>
            <c:v>Wholesale, retail, hotels</c:v>
          </c:tx>
          <c:spPr>
            <a:solidFill>
              <a:srgbClr val="6666FF"/>
            </a:solidFill>
            <a:ln w="25400">
              <a:noFill/>
            </a:ln>
          </c:spPr>
          <c:invertIfNegative val="0"/>
          <c:xVal>
            <c:numRef>
              <c:f>'Rel. prod. cf employment'!$B$27</c:f>
              <c:numCache>
                <c:formatCode>#,##0.0_ ;\-#,##0.0\ </c:formatCode>
                <c:ptCount val="1"/>
                <c:pt idx="0">
                  <c:v>3.4321660979042541</c:v>
                </c:pt>
              </c:numCache>
            </c:numRef>
          </c:xVal>
          <c:yVal>
            <c:numRef>
              <c:f>'Rel. prod. cf employment'!$C$27</c:f>
              <c:numCache>
                <c:formatCode>#,##0.0_ ;\-#,##0.0\ </c:formatCode>
                <c:ptCount val="1"/>
                <c:pt idx="0">
                  <c:v>0.92143076880988439</c:v>
                </c:pt>
              </c:numCache>
            </c:numRef>
          </c:yVal>
          <c:bubbleSize>
            <c:numRef>
              <c:f>'Rel. prod. cf employment'!$E$27</c:f>
              <c:numCache>
                <c:formatCode>#,##0_ ;\-#,##0\ </c:formatCode>
                <c:ptCount val="1"/>
                <c:pt idx="0">
                  <c:v>830</c:v>
                </c:pt>
              </c:numCache>
            </c:numRef>
          </c:bubbleSize>
          <c:bubble3D val="1"/>
        </c:ser>
        <c:ser>
          <c:idx val="5"/>
          <c:order val="6"/>
          <c:tx>
            <c:v>Transport, storage, comms</c:v>
          </c:tx>
          <c:spPr>
            <a:solidFill>
              <a:srgbClr val="66FFFF"/>
            </a:solidFill>
            <a:ln w="25400">
              <a:noFill/>
            </a:ln>
          </c:spPr>
          <c:invertIfNegative val="0"/>
          <c:xVal>
            <c:numRef>
              <c:f>'Rel. prod. cf employment'!$B$28</c:f>
              <c:numCache>
                <c:formatCode>#,##0.0_ ;\-#,##0.0\ </c:formatCode>
                <c:ptCount val="1"/>
                <c:pt idx="0">
                  <c:v>1.0216636752590667</c:v>
                </c:pt>
              </c:numCache>
            </c:numRef>
          </c:xVal>
          <c:yVal>
            <c:numRef>
              <c:f>'Rel. prod. cf employment'!$C$28</c:f>
              <c:numCache>
                <c:formatCode>#,##0.0_ ;\-#,##0.0\ </c:formatCode>
                <c:ptCount val="1"/>
                <c:pt idx="0">
                  <c:v>2.0409907906646714</c:v>
                </c:pt>
              </c:numCache>
            </c:numRef>
          </c:yVal>
          <c:bubbleSize>
            <c:numRef>
              <c:f>'Rel. prod. cf employment'!$E$28</c:f>
              <c:numCache>
                <c:formatCode>#,##0_ ;\-#,##0\ </c:formatCode>
                <c:ptCount val="1"/>
                <c:pt idx="0">
                  <c:v>234</c:v>
                </c:pt>
              </c:numCache>
            </c:numRef>
          </c:bubbleSize>
          <c:bubble3D val="1"/>
        </c:ser>
        <c:dLbls>
          <c:showLegendKey val="0"/>
          <c:showVal val="0"/>
          <c:showCatName val="0"/>
          <c:showSerName val="0"/>
          <c:showPercent val="0"/>
          <c:showBubbleSize val="0"/>
        </c:dLbls>
        <c:bubbleScale val="100"/>
        <c:showNegBubbles val="0"/>
        <c:axId val="97801344"/>
        <c:axId val="97803264"/>
      </c:bubbleChart>
      <c:valAx>
        <c:axId val="97801344"/>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97803264"/>
        <c:crosses val="autoZero"/>
        <c:crossBetween val="midCat"/>
      </c:valAx>
      <c:valAx>
        <c:axId val="97803264"/>
        <c:scaling>
          <c:orientation val="minMax"/>
          <c:min val="0"/>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9780134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0.53261733012480927</c:v>
                </c:pt>
                <c:pt idx="1">
                  <c:v>3.1305214650775612</c:v>
                </c:pt>
                <c:pt idx="2">
                  <c:v>0.73298956573756879</c:v>
                </c:pt>
                <c:pt idx="3">
                  <c:v>3.8664121964010256</c:v>
                </c:pt>
                <c:pt idx="4">
                  <c:v>-4.1368993934280169</c:v>
                </c:pt>
                <c:pt idx="5">
                  <c:v>0.79967576295730747</c:v>
                </c:pt>
                <c:pt idx="6">
                  <c:v>0.42451366308679933</c:v>
                </c:pt>
                <c:pt idx="7">
                  <c:v>8.8228410537438007E-3</c:v>
                </c:pt>
                <c:pt idx="8">
                  <c:v>0.1666370065639331</c:v>
                </c:pt>
                <c:pt idx="9">
                  <c:v>0.76449446079814332</c:v>
                </c:pt>
                <c:pt idx="10">
                  <c:v>0.13029176501495096</c:v>
                </c:pt>
                <c:pt idx="11">
                  <c:v>-7.8471805079293692E-3</c:v>
                </c:pt>
                <c:pt idx="12">
                  <c:v>0.16087270138105697</c:v>
                </c:pt>
                <c:pt idx="13">
                  <c:v>-5.8841283149113917E-2</c:v>
                </c:pt>
                <c:pt idx="14">
                  <c:v>-1.793431148793674</c:v>
                </c:pt>
                <c:pt idx="15">
                  <c:v>-5.0095914172100926</c:v>
                </c:pt>
                <c:pt idx="16">
                  <c:v>1.3748391001018725</c:v>
                </c:pt>
                <c:pt idx="17">
                  <c:v>-0.54745706041354547</c:v>
                </c:pt>
                <c:pt idx="18">
                  <c:v>-0.1678718586478217</c:v>
                </c:pt>
                <c:pt idx="19">
                  <c:v>-0.37080287017654368</c:v>
                </c:pt>
                <c:pt idx="20">
                  <c:v>5.4354027993837197E-5</c:v>
                </c:pt>
              </c:numCache>
            </c:numRef>
          </c:val>
        </c:ser>
        <c:dLbls>
          <c:showLegendKey val="0"/>
          <c:showVal val="0"/>
          <c:showCatName val="0"/>
          <c:showSerName val="0"/>
          <c:showPercent val="0"/>
          <c:showBubbleSize val="0"/>
        </c:dLbls>
        <c:gapWidth val="49"/>
        <c:axId val="105401344"/>
        <c:axId val="105415808"/>
      </c:barChart>
      <c:catAx>
        <c:axId val="105401344"/>
        <c:scaling>
          <c:orientation val="minMax"/>
        </c:scaling>
        <c:delete val="0"/>
        <c:axPos val="b"/>
        <c:title>
          <c:tx>
            <c:rich>
              <a:bodyPr/>
              <a:lstStyle/>
              <a:p>
                <a:pPr>
                  <a:defRPr b="0"/>
                </a:pPr>
                <a:r>
                  <a:rPr lang="en-US" b="0"/>
                  <a:t>HS Section</a:t>
                </a:r>
              </a:p>
            </c:rich>
          </c:tx>
          <c:overlay val="0"/>
        </c:title>
        <c:majorTickMark val="out"/>
        <c:minorTickMark val="none"/>
        <c:tickLblPos val="low"/>
        <c:crossAx val="105415808"/>
        <c:crosses val="autoZero"/>
        <c:auto val="1"/>
        <c:lblAlgn val="ctr"/>
        <c:lblOffset val="100"/>
        <c:noMultiLvlLbl val="0"/>
      </c:catAx>
      <c:valAx>
        <c:axId val="105415808"/>
        <c:scaling>
          <c:orientation val="minMax"/>
          <c:max val="4"/>
          <c:min val="-6"/>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5401344"/>
        <c:crosses val="autoZero"/>
        <c:crossBetween val="between"/>
        <c:majorUnit val="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2.7866599999999999</c:v>
                </c:pt>
                <c:pt idx="1">
                  <c:v>1.73461</c:v>
                </c:pt>
                <c:pt idx="2">
                  <c:v>-2.8639999999999998E-3</c:v>
                </c:pt>
                <c:pt idx="3">
                  <c:v>3.4710999999999999E-2</c:v>
                </c:pt>
                <c:pt idx="4">
                  <c:v>4.6190000000000002E-2</c:v>
                </c:pt>
                <c:pt idx="5">
                  <c:v>2.7983000000000001E-2</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2.1865600000000001</c:v>
                </c:pt>
                <c:pt idx="1">
                  <c:v>1.75244</c:v>
                </c:pt>
                <c:pt idx="2">
                  <c:v>5.5945299999999998</c:v>
                </c:pt>
                <c:pt idx="3">
                  <c:v>5.7861599999999997</c:v>
                </c:pt>
                <c:pt idx="4">
                  <c:v>5.7493299999999996</c:v>
                </c:pt>
                <c:pt idx="5">
                  <c:v>5.4653799999999997</c:v>
                </c:pt>
              </c:numCache>
            </c:numRef>
          </c:val>
        </c:ser>
        <c:dLbls>
          <c:showLegendKey val="0"/>
          <c:showVal val="0"/>
          <c:showCatName val="0"/>
          <c:showSerName val="0"/>
          <c:showPercent val="0"/>
          <c:showBubbleSize val="0"/>
        </c:dLbls>
        <c:gapWidth val="150"/>
        <c:overlap val="100"/>
        <c:axId val="105747584"/>
        <c:axId val="105749120"/>
      </c:barChart>
      <c:catAx>
        <c:axId val="105747584"/>
        <c:scaling>
          <c:orientation val="minMax"/>
        </c:scaling>
        <c:delete val="0"/>
        <c:axPos val="b"/>
        <c:numFmt formatCode="General" sourceLinked="1"/>
        <c:majorTickMark val="out"/>
        <c:minorTickMark val="none"/>
        <c:tickLblPos val="low"/>
        <c:crossAx val="105749120"/>
        <c:crosses val="autoZero"/>
        <c:auto val="1"/>
        <c:lblAlgn val="ctr"/>
        <c:lblOffset val="100"/>
        <c:noMultiLvlLbl val="0"/>
      </c:catAx>
      <c:valAx>
        <c:axId val="105749120"/>
        <c:scaling>
          <c:orientation val="minMax"/>
          <c:max val="6"/>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10574758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quality'!$V$6:$Y$6</c:f>
              <c:numCache>
                <c:formatCode>General</c:formatCode>
                <c:ptCount val="4"/>
                <c:pt idx="0">
                  <c:v>1990</c:v>
                </c:pt>
                <c:pt idx="1">
                  <c:v>2000</c:v>
                </c:pt>
                <c:pt idx="2">
                  <c:v>2005</c:v>
                </c:pt>
                <c:pt idx="3">
                  <c:v>2010</c:v>
                </c:pt>
              </c:numCache>
            </c:numRef>
          </c:cat>
          <c:val>
            <c:numRef>
              <c:f>'Diversification &amp; quality'!$V$7:$Y$7</c:f>
              <c:numCache>
                <c:formatCode>General</c:formatCode>
                <c:ptCount val="4"/>
                <c:pt idx="0">
                  <c:v>0.70037669999999996</c:v>
                </c:pt>
                <c:pt idx="1">
                  <c:v>0.45096799999999998</c:v>
                </c:pt>
                <c:pt idx="2">
                  <c:v>0.48897839999999998</c:v>
                </c:pt>
                <c:pt idx="3">
                  <c:v>0.51617500000000005</c:v>
                </c:pt>
              </c:numCache>
            </c:numRef>
          </c:val>
        </c:ser>
        <c:dLbls>
          <c:showLegendKey val="0"/>
          <c:showVal val="0"/>
          <c:showCatName val="0"/>
          <c:showSerName val="0"/>
          <c:showPercent val="0"/>
          <c:showBubbleSize val="0"/>
        </c:dLbls>
        <c:gapWidth val="150"/>
        <c:axId val="105568896"/>
        <c:axId val="105575168"/>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quality'!$V$8:$Y$8</c:f>
              <c:numCache>
                <c:formatCode>General</c:formatCode>
                <c:ptCount val="4"/>
                <c:pt idx="0">
                  <c:v>0.64637540000000004</c:v>
                </c:pt>
                <c:pt idx="1">
                  <c:v>0.65324570000000004</c:v>
                </c:pt>
                <c:pt idx="2">
                  <c:v>0.64627190000000001</c:v>
                </c:pt>
                <c:pt idx="3">
                  <c:v>0.67220239999999998</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quality'!$V$9:$Y$9</c:f>
              <c:numCache>
                <c:formatCode>General</c:formatCode>
                <c:ptCount val="4"/>
                <c:pt idx="0">
                  <c:v>0.63484370000000001</c:v>
                </c:pt>
                <c:pt idx="1">
                  <c:v>0.62886839999999999</c:v>
                </c:pt>
                <c:pt idx="2">
                  <c:v>0.63390590000000002</c:v>
                </c:pt>
                <c:pt idx="3">
                  <c:v>0.64968099999999995</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quality'!$V$10:$Y$10</c:f>
              <c:numCache>
                <c:formatCode>General</c:formatCode>
                <c:ptCount val="4"/>
                <c:pt idx="0">
                  <c:v>0.80765500000000001</c:v>
                </c:pt>
                <c:pt idx="1">
                  <c:v>0.66388119999999995</c:v>
                </c:pt>
                <c:pt idx="2">
                  <c:v>0.75714309999999996</c:v>
                </c:pt>
                <c:pt idx="3">
                  <c:v>0.63388</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quality'!$V$11:$Y$11</c:f>
              <c:numCache>
                <c:formatCode>General</c:formatCode>
                <c:ptCount val="4"/>
                <c:pt idx="0">
                  <c:v>0.68864110000000001</c:v>
                </c:pt>
                <c:pt idx="1">
                  <c:v>0.43670740000000002</c:v>
                </c:pt>
                <c:pt idx="2">
                  <c:v>0.47195490000000001</c:v>
                </c:pt>
                <c:pt idx="3">
                  <c:v>0.49553429999999998</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quality'!$V$12:$Y$12</c:f>
              <c:numCache>
                <c:formatCode>General</c:formatCode>
                <c:ptCount val="4"/>
                <c:pt idx="1">
                  <c:v>0.67583059999999995</c:v>
                </c:pt>
                <c:pt idx="2">
                  <c:v>0.68005640000000001</c:v>
                </c:pt>
                <c:pt idx="3">
                  <c:v>0.68889429999999996</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quality'!$V$13:$Y$13</c:f>
              <c:numCache>
                <c:formatCode>General</c:formatCode>
                <c:ptCount val="4"/>
                <c:pt idx="0">
                  <c:v>0.74402020000000002</c:v>
                </c:pt>
                <c:pt idx="1">
                  <c:v>0.79039530000000002</c:v>
                </c:pt>
                <c:pt idx="2">
                  <c:v>0.77146910000000002</c:v>
                </c:pt>
                <c:pt idx="3">
                  <c:v>0.78063970000000005</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quality'!$V$14:$Y$14</c:f>
              <c:numCache>
                <c:formatCode>General</c:formatCode>
                <c:ptCount val="4"/>
                <c:pt idx="0">
                  <c:v>0.97039299999999995</c:v>
                </c:pt>
                <c:pt idx="1">
                  <c:v>0.7582487</c:v>
                </c:pt>
                <c:pt idx="2">
                  <c:v>0.76712349999999996</c:v>
                </c:pt>
                <c:pt idx="3">
                  <c:v>0.5869259</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quality'!$V$15:$Y$15</c:f>
              <c:numCache>
                <c:formatCode>General</c:formatCode>
                <c:ptCount val="4"/>
                <c:pt idx="0">
                  <c:v>0.83333420000000002</c:v>
                </c:pt>
                <c:pt idx="1">
                  <c:v>0.88848579999999999</c:v>
                </c:pt>
                <c:pt idx="2">
                  <c:v>0.79177739999999996</c:v>
                </c:pt>
                <c:pt idx="3">
                  <c:v>0.8252642</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quality'!$V$16:$Y$16</c:f>
              <c:numCache>
                <c:formatCode>General</c:formatCode>
                <c:ptCount val="4"/>
                <c:pt idx="0">
                  <c:v>0.76452739999999997</c:v>
                </c:pt>
                <c:pt idx="1">
                  <c:v>0.75734749999999995</c:v>
                </c:pt>
                <c:pt idx="2">
                  <c:v>0.78075890000000003</c:v>
                </c:pt>
                <c:pt idx="3">
                  <c:v>0.8072587</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quality'!$V$17:$Y$17</c:f>
              <c:numCache>
                <c:formatCode>General</c:formatCode>
                <c:ptCount val="4"/>
                <c:pt idx="0">
                  <c:v>0.63221559999999999</c:v>
                </c:pt>
                <c:pt idx="3">
                  <c:v>0.45256239999999998</c:v>
                </c:pt>
              </c:numCache>
            </c:numRef>
          </c:val>
          <c:smooth val="0"/>
        </c:ser>
        <c:dLbls>
          <c:showLegendKey val="0"/>
          <c:showVal val="0"/>
          <c:showCatName val="0"/>
          <c:showSerName val="0"/>
          <c:showPercent val="0"/>
          <c:showBubbleSize val="0"/>
        </c:dLbls>
        <c:marker val="1"/>
        <c:smooth val="0"/>
        <c:axId val="105568896"/>
        <c:axId val="105575168"/>
      </c:lineChart>
      <c:catAx>
        <c:axId val="105568896"/>
        <c:scaling>
          <c:orientation val="minMax"/>
        </c:scaling>
        <c:delete val="0"/>
        <c:axPos val="b"/>
        <c:numFmt formatCode="General" sourceLinked="1"/>
        <c:majorTickMark val="out"/>
        <c:minorTickMark val="none"/>
        <c:tickLblPos val="nextTo"/>
        <c:crossAx val="105575168"/>
        <c:crosses val="autoZero"/>
        <c:auto val="1"/>
        <c:lblAlgn val="ctr"/>
        <c:lblOffset val="100"/>
        <c:noMultiLvlLbl val="0"/>
      </c:catAx>
      <c:valAx>
        <c:axId val="105575168"/>
        <c:scaling>
          <c:orientation val="minMax"/>
          <c:max val="1"/>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105568896"/>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graphs'!$E$73:$L$74</c:f>
              <c:strCache>
                <c:ptCount val="8"/>
                <c:pt idx="0">
                  <c:v>2006</c:v>
                </c:pt>
                <c:pt idx="1">
                  <c:v>2007</c:v>
                </c:pt>
                <c:pt idx="2">
                  <c:v>2008</c:v>
                </c:pt>
                <c:pt idx="3">
                  <c:v>2009</c:v>
                </c:pt>
                <c:pt idx="4">
                  <c:v>2010</c:v>
                </c:pt>
                <c:pt idx="5">
                  <c:v>2011</c:v>
                </c:pt>
                <c:pt idx="6">
                  <c:v>2012</c:v>
                </c:pt>
                <c:pt idx="7">
                  <c:v>2013</c:v>
                </c:pt>
              </c:strCache>
            </c:strRef>
          </c:cat>
          <c:val>
            <c:numRef>
              <c:f>'X graphs'!$E$75:$L$75</c:f>
              <c:numCache>
                <c:formatCode>_(* #,##0_);_(* \(#,##0\);_(* "-"_);_(@_)</c:formatCode>
                <c:ptCount val="8"/>
                <c:pt idx="0">
                  <c:v>637</c:v>
                </c:pt>
                <c:pt idx="1">
                  <c:v>688</c:v>
                </c:pt>
                <c:pt idx="2">
                  <c:v>725</c:v>
                </c:pt>
                <c:pt idx="3">
                  <c:v>745</c:v>
                </c:pt>
                <c:pt idx="4">
                  <c:v>688</c:v>
                </c:pt>
                <c:pt idx="5">
                  <c:v>600</c:v>
                </c:pt>
                <c:pt idx="6">
                  <c:v>609</c:v>
                </c:pt>
                <c:pt idx="7">
                  <c:v>369</c:v>
                </c:pt>
              </c:numCache>
            </c:numRef>
          </c:val>
          <c:smooth val="0"/>
        </c:ser>
        <c:dLbls>
          <c:showLegendKey val="0"/>
          <c:showVal val="0"/>
          <c:showCatName val="0"/>
          <c:showSerName val="0"/>
          <c:showPercent val="0"/>
          <c:showBubbleSize val="0"/>
        </c:dLbls>
        <c:marker val="1"/>
        <c:smooth val="0"/>
        <c:axId val="105589376"/>
        <c:axId val="105595264"/>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graphs'!$E$76:$L$76</c:f>
              <c:numCache>
                <c:formatCode>General</c:formatCode>
                <c:ptCount val="8"/>
                <c:pt idx="0">
                  <c:v>79</c:v>
                </c:pt>
                <c:pt idx="1">
                  <c:v>84</c:v>
                </c:pt>
                <c:pt idx="2">
                  <c:v>109</c:v>
                </c:pt>
                <c:pt idx="3">
                  <c:v>97</c:v>
                </c:pt>
                <c:pt idx="4">
                  <c:v>114</c:v>
                </c:pt>
                <c:pt idx="5">
                  <c:v>88</c:v>
                </c:pt>
                <c:pt idx="6">
                  <c:v>98</c:v>
                </c:pt>
                <c:pt idx="7">
                  <c:v>90</c:v>
                </c:pt>
              </c:numCache>
            </c:numRef>
          </c:val>
          <c:smooth val="0"/>
        </c:ser>
        <c:dLbls>
          <c:showLegendKey val="0"/>
          <c:showVal val="0"/>
          <c:showCatName val="0"/>
          <c:showSerName val="0"/>
          <c:showPercent val="0"/>
          <c:showBubbleSize val="0"/>
        </c:dLbls>
        <c:marker val="1"/>
        <c:smooth val="0"/>
        <c:axId val="105598336"/>
        <c:axId val="105596800"/>
      </c:lineChart>
      <c:catAx>
        <c:axId val="105589376"/>
        <c:scaling>
          <c:orientation val="minMax"/>
        </c:scaling>
        <c:delete val="0"/>
        <c:axPos val="b"/>
        <c:majorTickMark val="out"/>
        <c:minorTickMark val="none"/>
        <c:tickLblPos val="nextTo"/>
        <c:crossAx val="105595264"/>
        <c:crosses val="autoZero"/>
        <c:auto val="1"/>
        <c:lblAlgn val="ctr"/>
        <c:lblOffset val="100"/>
        <c:noMultiLvlLbl val="0"/>
      </c:catAx>
      <c:valAx>
        <c:axId val="105595264"/>
        <c:scaling>
          <c:orientation val="minMax"/>
        </c:scaling>
        <c:delete val="0"/>
        <c:axPos val="l"/>
        <c:majorGridlines/>
        <c:numFmt formatCode="_(* #,##0_);_(* \(#,##0\);_(* &quot;-&quot;_);_(@_)" sourceLinked="1"/>
        <c:majorTickMark val="out"/>
        <c:minorTickMark val="none"/>
        <c:tickLblPos val="nextTo"/>
        <c:crossAx val="105589376"/>
        <c:crosses val="autoZero"/>
        <c:crossBetween val="between"/>
      </c:valAx>
      <c:valAx>
        <c:axId val="105596800"/>
        <c:scaling>
          <c:orientation val="minMax"/>
          <c:max val="120"/>
          <c:min val="70"/>
        </c:scaling>
        <c:delete val="0"/>
        <c:axPos val="r"/>
        <c:numFmt formatCode="General" sourceLinked="1"/>
        <c:majorTickMark val="out"/>
        <c:minorTickMark val="none"/>
        <c:tickLblPos val="nextTo"/>
        <c:crossAx val="105598336"/>
        <c:crosses val="max"/>
        <c:crossBetween val="between"/>
        <c:majorUnit val="5"/>
      </c:valAx>
      <c:catAx>
        <c:axId val="105598336"/>
        <c:scaling>
          <c:orientation val="minMax"/>
        </c:scaling>
        <c:delete val="1"/>
        <c:axPos val="b"/>
        <c:majorTickMark val="out"/>
        <c:minorTickMark val="none"/>
        <c:tickLblPos val="nextTo"/>
        <c:crossAx val="10559680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graphs'!$E$74:$L$75</c:f>
              <c:strCache>
                <c:ptCount val="8"/>
                <c:pt idx="0">
                  <c:v>2006</c:v>
                </c:pt>
                <c:pt idx="1">
                  <c:v>2007</c:v>
                </c:pt>
                <c:pt idx="2">
                  <c:v>2008</c:v>
                </c:pt>
                <c:pt idx="3">
                  <c:v>2009</c:v>
                </c:pt>
                <c:pt idx="4">
                  <c:v>2010</c:v>
                </c:pt>
                <c:pt idx="5">
                  <c:v>2011</c:v>
                </c:pt>
                <c:pt idx="6">
                  <c:v>2012</c:v>
                </c:pt>
                <c:pt idx="7">
                  <c:v>2013</c:v>
                </c:pt>
              </c:strCache>
            </c:strRef>
          </c:cat>
          <c:val>
            <c:numRef>
              <c:f>'M graphs'!$E$76:$L$76</c:f>
              <c:numCache>
                <c:formatCode>_-* #,##0_-;\-* #,##0_-;_-* "-"??_-;_-@_-</c:formatCode>
                <c:ptCount val="8"/>
                <c:pt idx="0">
                  <c:v>3734</c:v>
                </c:pt>
                <c:pt idx="1">
                  <c:v>3770</c:v>
                </c:pt>
                <c:pt idx="2">
                  <c:v>3746</c:v>
                </c:pt>
                <c:pt idx="3">
                  <c:v>3676</c:v>
                </c:pt>
                <c:pt idx="4">
                  <c:v>3438</c:v>
                </c:pt>
                <c:pt idx="5">
                  <c:v>3181</c:v>
                </c:pt>
                <c:pt idx="6">
                  <c:v>3280</c:v>
                </c:pt>
                <c:pt idx="7">
                  <c:v>2874</c:v>
                </c:pt>
              </c:numCache>
            </c:numRef>
          </c:val>
          <c:smooth val="0"/>
        </c:ser>
        <c:dLbls>
          <c:showLegendKey val="0"/>
          <c:showVal val="0"/>
          <c:showCatName val="0"/>
          <c:showSerName val="0"/>
          <c:showPercent val="0"/>
          <c:showBubbleSize val="0"/>
        </c:dLbls>
        <c:marker val="1"/>
        <c:smooth val="0"/>
        <c:axId val="105256448"/>
        <c:axId val="105257984"/>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graphs'!$E$77:$L$77</c:f>
              <c:numCache>
                <c:formatCode>General</c:formatCode>
                <c:ptCount val="8"/>
                <c:pt idx="0">
                  <c:v>140</c:v>
                </c:pt>
                <c:pt idx="1">
                  <c:v>141</c:v>
                </c:pt>
                <c:pt idx="2">
                  <c:v>147</c:v>
                </c:pt>
                <c:pt idx="3">
                  <c:v>151</c:v>
                </c:pt>
                <c:pt idx="4">
                  <c:v>140</c:v>
                </c:pt>
                <c:pt idx="5">
                  <c:v>124</c:v>
                </c:pt>
                <c:pt idx="6">
                  <c:v>136</c:v>
                </c:pt>
                <c:pt idx="7">
                  <c:v>124</c:v>
                </c:pt>
              </c:numCache>
            </c:numRef>
          </c:val>
          <c:smooth val="0"/>
        </c:ser>
        <c:dLbls>
          <c:showLegendKey val="0"/>
          <c:showVal val="0"/>
          <c:showCatName val="0"/>
          <c:showSerName val="0"/>
          <c:showPercent val="0"/>
          <c:showBubbleSize val="0"/>
        </c:dLbls>
        <c:marker val="1"/>
        <c:smooth val="0"/>
        <c:axId val="105613568"/>
        <c:axId val="105612032"/>
      </c:lineChart>
      <c:catAx>
        <c:axId val="105256448"/>
        <c:scaling>
          <c:orientation val="minMax"/>
        </c:scaling>
        <c:delete val="0"/>
        <c:axPos val="b"/>
        <c:majorTickMark val="out"/>
        <c:minorTickMark val="none"/>
        <c:tickLblPos val="nextTo"/>
        <c:crossAx val="105257984"/>
        <c:crosses val="autoZero"/>
        <c:auto val="1"/>
        <c:lblAlgn val="ctr"/>
        <c:lblOffset val="100"/>
        <c:noMultiLvlLbl val="0"/>
      </c:catAx>
      <c:valAx>
        <c:axId val="105257984"/>
        <c:scaling>
          <c:orientation val="minMax"/>
        </c:scaling>
        <c:delete val="0"/>
        <c:axPos val="l"/>
        <c:majorGridlines/>
        <c:numFmt formatCode="_-* #,##0_-;\-* #,##0_-;_-* &quot;-&quot;??_-;_-@_-" sourceLinked="1"/>
        <c:majorTickMark val="out"/>
        <c:minorTickMark val="none"/>
        <c:tickLblPos val="nextTo"/>
        <c:crossAx val="105256448"/>
        <c:crosses val="autoZero"/>
        <c:crossBetween val="between"/>
      </c:valAx>
      <c:valAx>
        <c:axId val="105612032"/>
        <c:scaling>
          <c:orientation val="minMax"/>
          <c:max val="170"/>
          <c:min val="120"/>
        </c:scaling>
        <c:delete val="0"/>
        <c:axPos val="r"/>
        <c:numFmt formatCode="General" sourceLinked="1"/>
        <c:majorTickMark val="out"/>
        <c:minorTickMark val="none"/>
        <c:tickLblPos val="nextTo"/>
        <c:crossAx val="105613568"/>
        <c:crosses val="max"/>
        <c:crossBetween val="between"/>
      </c:valAx>
      <c:catAx>
        <c:axId val="105613568"/>
        <c:scaling>
          <c:orientation val="minMax"/>
        </c:scaling>
        <c:delete val="1"/>
        <c:axPos val="b"/>
        <c:majorTickMark val="out"/>
        <c:minorTickMark val="none"/>
        <c:tickLblPos val="nextTo"/>
        <c:crossAx val="10561203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Yemen!$B$3</c:f>
              <c:strCache>
                <c:ptCount val="1"/>
                <c:pt idx="0">
                  <c:v>1996-2011</c:v>
                </c:pt>
              </c:strCache>
            </c:strRef>
          </c:tx>
          <c:invertIfNegative val="0"/>
          <c:cat>
            <c:strRef>
              <c:f>Yemen!$A$4:$A$6</c:f>
              <c:strCache>
                <c:ptCount val="3"/>
                <c:pt idx="0">
                  <c:v>DVA</c:v>
                </c:pt>
                <c:pt idx="1">
                  <c:v>FVA</c:v>
                </c:pt>
                <c:pt idx="2">
                  <c:v>Exports</c:v>
                </c:pt>
              </c:strCache>
            </c:strRef>
          </c:cat>
          <c:val>
            <c:numRef>
              <c:f>Yemen!$B$4:$B$6</c:f>
              <c:numCache>
                <c:formatCode>0.0%</c:formatCode>
                <c:ptCount val="3"/>
                <c:pt idx="0">
                  <c:v>0.13861513032459083</c:v>
                </c:pt>
                <c:pt idx="1">
                  <c:v>0.16165859849612807</c:v>
                </c:pt>
                <c:pt idx="2">
                  <c:v>0.13822171455155718</c:v>
                </c:pt>
              </c:numCache>
            </c:numRef>
          </c:val>
        </c:ser>
        <c:ser>
          <c:idx val="1"/>
          <c:order val="1"/>
          <c:tx>
            <c:strRef>
              <c:f>Yemen!$C$3</c:f>
              <c:strCache>
                <c:ptCount val="1"/>
                <c:pt idx="0">
                  <c:v>2006-2011</c:v>
                </c:pt>
              </c:strCache>
            </c:strRef>
          </c:tx>
          <c:spPr>
            <a:solidFill>
              <a:schemeClr val="accent6"/>
            </a:solidFill>
          </c:spPr>
          <c:invertIfNegative val="0"/>
          <c:cat>
            <c:strRef>
              <c:f>Yemen!$A$4:$A$6</c:f>
              <c:strCache>
                <c:ptCount val="3"/>
                <c:pt idx="0">
                  <c:v>DVA</c:v>
                </c:pt>
                <c:pt idx="1">
                  <c:v>FVA</c:v>
                </c:pt>
                <c:pt idx="2">
                  <c:v>Exports</c:v>
                </c:pt>
              </c:strCache>
            </c:strRef>
          </c:cat>
          <c:val>
            <c:numRef>
              <c:f>Yemen!$C$4:$C$6</c:f>
              <c:numCache>
                <c:formatCode>0.0%</c:formatCode>
                <c:ptCount val="3"/>
                <c:pt idx="0">
                  <c:v>0.1176968577469053</c:v>
                </c:pt>
                <c:pt idx="1">
                  <c:v>0.21712974642377936</c:v>
                </c:pt>
                <c:pt idx="2">
                  <c:v>0.12775594885806441</c:v>
                </c:pt>
              </c:numCache>
            </c:numRef>
          </c:val>
        </c:ser>
        <c:dLbls>
          <c:showLegendKey val="0"/>
          <c:showVal val="0"/>
          <c:showCatName val="0"/>
          <c:showSerName val="0"/>
          <c:showPercent val="0"/>
          <c:showBubbleSize val="0"/>
        </c:dLbls>
        <c:gapWidth val="150"/>
        <c:axId val="105630336"/>
        <c:axId val="99172736"/>
      </c:barChart>
      <c:catAx>
        <c:axId val="105630336"/>
        <c:scaling>
          <c:orientation val="minMax"/>
        </c:scaling>
        <c:delete val="0"/>
        <c:axPos val="b"/>
        <c:majorTickMark val="out"/>
        <c:minorTickMark val="none"/>
        <c:tickLblPos val="nextTo"/>
        <c:crossAx val="99172736"/>
        <c:crosses val="autoZero"/>
        <c:auto val="1"/>
        <c:lblAlgn val="ctr"/>
        <c:lblOffset val="100"/>
        <c:noMultiLvlLbl val="0"/>
      </c:catAx>
      <c:valAx>
        <c:axId val="99172736"/>
        <c:scaling>
          <c:orientation val="minMax"/>
        </c:scaling>
        <c:delete val="0"/>
        <c:axPos val="l"/>
        <c:majorGridlines/>
        <c:numFmt formatCode="0%" sourceLinked="0"/>
        <c:majorTickMark val="out"/>
        <c:minorTickMark val="none"/>
        <c:tickLblPos val="nextTo"/>
        <c:crossAx val="105630336"/>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'VA graphs'!$A$28</c:f>
              <c:strCache>
                <c:ptCount val="1"/>
                <c:pt idx="0">
                  <c:v>DVA</c:v>
                </c:pt>
              </c:strCache>
            </c:strRef>
          </c:tx>
          <c:invertIfNegative val="0"/>
          <c:cat>
            <c:numRef>
              <c:f>'VA graphs'!$B$27:$E$27</c:f>
              <c:numCache>
                <c:formatCode>General</c:formatCode>
                <c:ptCount val="4"/>
                <c:pt idx="0">
                  <c:v>1996</c:v>
                </c:pt>
                <c:pt idx="1">
                  <c:v>2000</c:v>
                </c:pt>
                <c:pt idx="2">
                  <c:v>2006</c:v>
                </c:pt>
                <c:pt idx="3">
                  <c:v>2011</c:v>
                </c:pt>
              </c:numCache>
            </c:numRef>
          </c:cat>
          <c:val>
            <c:numRef>
              <c:f>'VA graphs'!$B$28:$E$28</c:f>
              <c:numCache>
                <c:formatCode>0.0%</c:formatCode>
                <c:ptCount val="4"/>
                <c:pt idx="0">
                  <c:v>0.90452447234169886</c:v>
                </c:pt>
                <c:pt idx="1">
                  <c:v>0.90606371527510199</c:v>
                </c:pt>
                <c:pt idx="2">
                  <c:v>0.91483274932356329</c:v>
                </c:pt>
                <c:pt idx="3">
                  <c:v>0.87522819502418958</c:v>
                </c:pt>
              </c:numCache>
            </c:numRef>
          </c:val>
        </c:ser>
        <c:ser>
          <c:idx val="1"/>
          <c:order val="1"/>
          <c:tx>
            <c:strRef>
              <c:f>'VA graphs'!$A$29</c:f>
              <c:strCache>
                <c:ptCount val="1"/>
                <c:pt idx="0">
                  <c:v>FVA</c:v>
                </c:pt>
              </c:strCache>
            </c:strRef>
          </c:tx>
          <c:spPr>
            <a:solidFill>
              <a:schemeClr val="accent6"/>
            </a:solidFill>
          </c:spPr>
          <c:invertIfNegative val="0"/>
          <c:cat>
            <c:numRef>
              <c:f>'VA graphs'!$B$27:$E$27</c:f>
              <c:numCache>
                <c:formatCode>General</c:formatCode>
                <c:ptCount val="4"/>
                <c:pt idx="0">
                  <c:v>1996</c:v>
                </c:pt>
                <c:pt idx="1">
                  <c:v>2000</c:v>
                </c:pt>
                <c:pt idx="2">
                  <c:v>2006</c:v>
                </c:pt>
                <c:pt idx="3">
                  <c:v>2011</c:v>
                </c:pt>
              </c:numCache>
            </c:numRef>
          </c:cat>
          <c:val>
            <c:numRef>
              <c:f>'VA graphs'!$B$29:$E$29</c:f>
              <c:numCache>
                <c:formatCode>0.0%</c:formatCode>
                <c:ptCount val="4"/>
                <c:pt idx="0">
                  <c:v>9.5475527658301113E-2</c:v>
                </c:pt>
                <c:pt idx="1">
                  <c:v>9.3936284724898039E-2</c:v>
                </c:pt>
                <c:pt idx="2">
                  <c:v>8.5167250676436823E-2</c:v>
                </c:pt>
                <c:pt idx="3">
                  <c:v>0.12477180497581039</c:v>
                </c:pt>
              </c:numCache>
            </c:numRef>
          </c:val>
        </c:ser>
        <c:dLbls>
          <c:showLegendKey val="0"/>
          <c:showVal val="0"/>
          <c:showCatName val="0"/>
          <c:showSerName val="0"/>
          <c:showPercent val="0"/>
          <c:showBubbleSize val="0"/>
        </c:dLbls>
        <c:gapWidth val="150"/>
        <c:axId val="99201792"/>
        <c:axId val="99203328"/>
      </c:barChart>
      <c:catAx>
        <c:axId val="99201792"/>
        <c:scaling>
          <c:orientation val="minMax"/>
        </c:scaling>
        <c:delete val="0"/>
        <c:axPos val="b"/>
        <c:numFmt formatCode="General" sourceLinked="1"/>
        <c:majorTickMark val="out"/>
        <c:minorTickMark val="none"/>
        <c:tickLblPos val="nextTo"/>
        <c:crossAx val="99203328"/>
        <c:crosses val="autoZero"/>
        <c:auto val="1"/>
        <c:lblAlgn val="ctr"/>
        <c:lblOffset val="100"/>
        <c:noMultiLvlLbl val="0"/>
      </c:catAx>
      <c:valAx>
        <c:axId val="99203328"/>
        <c:scaling>
          <c:orientation val="minMax"/>
        </c:scaling>
        <c:delete val="0"/>
        <c:axPos val="l"/>
        <c:majorGridlines/>
        <c:numFmt formatCode="0%" sourceLinked="0"/>
        <c:majorTickMark val="out"/>
        <c:minorTickMark val="none"/>
        <c:tickLblPos val="nextTo"/>
        <c:crossAx val="9920179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Yemen!$A$27</c:f>
              <c:strCache>
                <c:ptCount val="1"/>
                <c:pt idx="0">
                  <c:v>DVA</c:v>
                </c:pt>
              </c:strCache>
            </c:strRef>
          </c:tx>
          <c:invertIfNegative val="0"/>
          <c:cat>
            <c:numRef>
              <c:f>Yemen!$B$26:$E$26</c:f>
              <c:numCache>
                <c:formatCode>General</c:formatCode>
                <c:ptCount val="4"/>
                <c:pt idx="0">
                  <c:v>1996</c:v>
                </c:pt>
                <c:pt idx="1">
                  <c:v>2000</c:v>
                </c:pt>
                <c:pt idx="2">
                  <c:v>2006</c:v>
                </c:pt>
                <c:pt idx="3">
                  <c:v>2011</c:v>
                </c:pt>
              </c:numCache>
            </c:numRef>
          </c:cat>
          <c:val>
            <c:numRef>
              <c:f>Yemen!$B$27:$E$27</c:f>
              <c:numCache>
                <c:formatCode>_-* #,##0_-;\-* #,##0_-;_-* "-"??_-;_-@_-</c:formatCode>
                <c:ptCount val="4"/>
                <c:pt idx="0">
                  <c:v>677813.52076699398</c:v>
                </c:pt>
                <c:pt idx="1">
                  <c:v>1223279.3362675</c:v>
                </c:pt>
                <c:pt idx="2">
                  <c:v>2723606.3401231798</c:v>
                </c:pt>
                <c:pt idx="3">
                  <c:v>4750775.2616884802</c:v>
                </c:pt>
              </c:numCache>
            </c:numRef>
          </c:val>
        </c:ser>
        <c:ser>
          <c:idx val="1"/>
          <c:order val="1"/>
          <c:tx>
            <c:strRef>
              <c:f>Yemen!$A$28</c:f>
              <c:strCache>
                <c:ptCount val="1"/>
                <c:pt idx="0">
                  <c:v>FVA</c:v>
                </c:pt>
              </c:strCache>
            </c:strRef>
          </c:tx>
          <c:spPr>
            <a:solidFill>
              <a:schemeClr val="accent6"/>
            </a:solidFill>
          </c:spPr>
          <c:invertIfNegative val="0"/>
          <c:cat>
            <c:numRef>
              <c:f>Yemen!$B$26:$E$26</c:f>
              <c:numCache>
                <c:formatCode>General</c:formatCode>
                <c:ptCount val="4"/>
                <c:pt idx="0">
                  <c:v>1996</c:v>
                </c:pt>
                <c:pt idx="1">
                  <c:v>2000</c:v>
                </c:pt>
                <c:pt idx="2">
                  <c:v>2006</c:v>
                </c:pt>
                <c:pt idx="3">
                  <c:v>2011</c:v>
                </c:pt>
              </c:numCache>
            </c:numRef>
          </c:cat>
          <c:val>
            <c:numRef>
              <c:f>Yemen!$B$28:$E$28</c:f>
              <c:numCache>
                <c:formatCode>_-* #,##0_-;\-* #,##0_-;_-* "-"??_-;_-@_-</c:formatCode>
                <c:ptCount val="4"/>
                <c:pt idx="0">
                  <c:v>71545.442415307698</c:v>
                </c:pt>
                <c:pt idx="1">
                  <c:v>126823.65940988901</c:v>
                </c:pt>
                <c:pt idx="2">
                  <c:v>253556.79940920201</c:v>
                </c:pt>
                <c:pt idx="3">
                  <c:v>677266.57779679599</c:v>
                </c:pt>
              </c:numCache>
            </c:numRef>
          </c:val>
        </c:ser>
        <c:dLbls>
          <c:showLegendKey val="0"/>
          <c:showVal val="0"/>
          <c:showCatName val="0"/>
          <c:showSerName val="0"/>
          <c:showPercent val="0"/>
          <c:showBubbleSize val="0"/>
        </c:dLbls>
        <c:gapWidth val="150"/>
        <c:axId val="105663104"/>
        <c:axId val="105664896"/>
      </c:barChart>
      <c:catAx>
        <c:axId val="105663104"/>
        <c:scaling>
          <c:orientation val="minMax"/>
        </c:scaling>
        <c:delete val="0"/>
        <c:axPos val="b"/>
        <c:numFmt formatCode="General" sourceLinked="1"/>
        <c:majorTickMark val="out"/>
        <c:minorTickMark val="none"/>
        <c:tickLblPos val="nextTo"/>
        <c:crossAx val="105664896"/>
        <c:crosses val="autoZero"/>
        <c:auto val="1"/>
        <c:lblAlgn val="ctr"/>
        <c:lblOffset val="100"/>
        <c:noMultiLvlLbl val="0"/>
      </c:catAx>
      <c:valAx>
        <c:axId val="105664896"/>
        <c:scaling>
          <c:orientation val="minMax"/>
        </c:scaling>
        <c:delete val="0"/>
        <c:axPos val="l"/>
        <c:majorGridlines/>
        <c:numFmt formatCode="_-* #,##0_-;\-* #,##0_-;_-* &quot;-&quot;??_-;_-@_-" sourceLinked="1"/>
        <c:majorTickMark val="out"/>
        <c:minorTickMark val="none"/>
        <c:tickLblPos val="nextTo"/>
        <c:crossAx val="10566310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Yemen!$B$34</c:f>
              <c:strCache>
                <c:ptCount val="1"/>
                <c:pt idx="0">
                  <c:v>1996-2011</c:v>
                </c:pt>
              </c:strCache>
            </c:strRef>
          </c:tx>
          <c:invertIfNegative val="0"/>
          <c:cat>
            <c:strRef>
              <c:f>Yemen!$A$35:$A$49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Yemen!$B$35:$B$49</c:f>
              <c:numCache>
                <c:formatCode>0.0%</c:formatCode>
                <c:ptCount val="15"/>
                <c:pt idx="0">
                  <c:v>0.11687716850078811</c:v>
                </c:pt>
                <c:pt idx="1">
                  <c:v>0.1296684803827548</c:v>
                </c:pt>
                <c:pt idx="2">
                  <c:v>2.1346026262318185E-2</c:v>
                </c:pt>
                <c:pt idx="3">
                  <c:v>0.17396716869525486</c:v>
                </c:pt>
                <c:pt idx="4">
                  <c:v>0.11806153383347673</c:v>
                </c:pt>
                <c:pt idx="5">
                  <c:v>0.11269953054866888</c:v>
                </c:pt>
                <c:pt idx="6">
                  <c:v>0.18811006312840362</c:v>
                </c:pt>
                <c:pt idx="7">
                  <c:v>0.14024424079523179</c:v>
                </c:pt>
                <c:pt idx="8">
                  <c:v>0.11346799106166694</c:v>
                </c:pt>
                <c:pt idx="9">
                  <c:v>0.17598737455393421</c:v>
                </c:pt>
                <c:pt idx="10">
                  <c:v>0.11970821536168419</c:v>
                </c:pt>
                <c:pt idx="11">
                  <c:v>0.12415810892203982</c:v>
                </c:pt>
                <c:pt idx="12">
                  <c:v>0.13094510379877855</c:v>
                </c:pt>
                <c:pt idx="13">
                  <c:v>0.17252436066151478</c:v>
                </c:pt>
                <c:pt idx="14">
                  <c:v>0.14269008244106329</c:v>
                </c:pt>
              </c:numCache>
            </c:numRef>
          </c:val>
        </c:ser>
        <c:ser>
          <c:idx val="1"/>
          <c:order val="1"/>
          <c:tx>
            <c:strRef>
              <c:f>Yemen!$C$34</c:f>
              <c:strCache>
                <c:ptCount val="1"/>
                <c:pt idx="0">
                  <c:v>2006-2011</c:v>
                </c:pt>
              </c:strCache>
            </c:strRef>
          </c:tx>
          <c:spPr>
            <a:solidFill>
              <a:schemeClr val="accent6"/>
            </a:solidFill>
          </c:spPr>
          <c:invertIfNegative val="0"/>
          <c:cat>
            <c:strRef>
              <c:f>Yemen!$A$35:$A$49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Yemen!$C$35:$C$49</c:f>
              <c:numCache>
                <c:formatCode>0.0%</c:formatCode>
                <c:ptCount val="15"/>
                <c:pt idx="0">
                  <c:v>0.10274685916968962</c:v>
                </c:pt>
                <c:pt idx="1">
                  <c:v>0.2056782672038231</c:v>
                </c:pt>
                <c:pt idx="2">
                  <c:v>7.4980508129624424E-2</c:v>
                </c:pt>
                <c:pt idx="3">
                  <c:v>6.509707477034854E-2</c:v>
                </c:pt>
                <c:pt idx="4">
                  <c:v>8.7194172257402336E-2</c:v>
                </c:pt>
                <c:pt idx="5">
                  <c:v>9.1439643478134158E-2</c:v>
                </c:pt>
                <c:pt idx="6">
                  <c:v>0.18546731194404553</c:v>
                </c:pt>
                <c:pt idx="7">
                  <c:v>0.11620718779008832</c:v>
                </c:pt>
                <c:pt idx="8">
                  <c:v>0.16679533425115944</c:v>
                </c:pt>
                <c:pt idx="9">
                  <c:v>0.13053312273185202</c:v>
                </c:pt>
                <c:pt idx="10">
                  <c:v>0.11640261880589575</c:v>
                </c:pt>
                <c:pt idx="11">
                  <c:v>0.10554271504796908</c:v>
                </c:pt>
                <c:pt idx="12">
                  <c:v>0.11369788569454942</c:v>
                </c:pt>
                <c:pt idx="13">
                  <c:v>0.35349334746412953</c:v>
                </c:pt>
                <c:pt idx="14">
                  <c:v>0.1371255763343473</c:v>
                </c:pt>
              </c:numCache>
            </c:numRef>
          </c:val>
        </c:ser>
        <c:dLbls>
          <c:showLegendKey val="0"/>
          <c:showVal val="0"/>
          <c:showCatName val="0"/>
          <c:showSerName val="0"/>
          <c:showPercent val="0"/>
          <c:showBubbleSize val="0"/>
        </c:dLbls>
        <c:gapWidth val="150"/>
        <c:axId val="105706240"/>
        <c:axId val="105707776"/>
      </c:barChart>
      <c:catAx>
        <c:axId val="105706240"/>
        <c:scaling>
          <c:orientation val="minMax"/>
        </c:scaling>
        <c:delete val="0"/>
        <c:axPos val="b"/>
        <c:majorTickMark val="out"/>
        <c:minorTickMark val="none"/>
        <c:tickLblPos val="nextTo"/>
        <c:txPr>
          <a:bodyPr rot="-5400000" vert="horz"/>
          <a:lstStyle/>
          <a:p>
            <a:pPr>
              <a:defRPr sz="700"/>
            </a:pPr>
            <a:endParaRPr lang="en-US"/>
          </a:p>
        </c:txPr>
        <c:crossAx val="105707776"/>
        <c:crosses val="autoZero"/>
        <c:auto val="1"/>
        <c:lblAlgn val="ctr"/>
        <c:lblOffset val="100"/>
        <c:noMultiLvlLbl val="0"/>
      </c:catAx>
      <c:valAx>
        <c:axId val="105707776"/>
        <c:scaling>
          <c:orientation val="minMax"/>
        </c:scaling>
        <c:delete val="0"/>
        <c:axPos val="l"/>
        <c:majorGridlines/>
        <c:numFmt formatCode="0%" sourceLinked="0"/>
        <c:majorTickMark val="out"/>
        <c:minorTickMark val="none"/>
        <c:tickLblPos val="nextTo"/>
        <c:crossAx val="105706240"/>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'VA graphs'!$B$98</c:f>
              <c:strCache>
                <c:ptCount val="1"/>
                <c:pt idx="0">
                  <c:v>2000</c:v>
                </c:pt>
              </c:strCache>
            </c:strRef>
          </c:tx>
          <c:invertIfNegative val="0"/>
          <c:cat>
            <c:strRef>
              <c:f>'VA graphs'!$A$99:$A$113</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'VA graphs'!$B$99:$B$113</c:f>
              <c:numCache>
                <c:formatCode>0.0%</c:formatCode>
                <c:ptCount val="15"/>
                <c:pt idx="0">
                  <c:v>0.95209159630320839</c:v>
                </c:pt>
                <c:pt idx="1">
                  <c:v>0.86657760003545814</c:v>
                </c:pt>
                <c:pt idx="2">
                  <c:v>0.97986484137615748</c:v>
                </c:pt>
                <c:pt idx="3">
                  <c:v>0.88219610700276641</c:v>
                </c:pt>
                <c:pt idx="4">
                  <c:v>0.92650754399778434</c:v>
                </c:pt>
                <c:pt idx="5">
                  <c:v>0.95190582612119445</c:v>
                </c:pt>
                <c:pt idx="6">
                  <c:v>0.89155739908506038</c:v>
                </c:pt>
                <c:pt idx="7">
                  <c:v>0.89301335499202728</c:v>
                </c:pt>
                <c:pt idx="8">
                  <c:v>0.8906957885323864</c:v>
                </c:pt>
                <c:pt idx="9">
                  <c:v>0.89290704415124256</c:v>
                </c:pt>
                <c:pt idx="10">
                  <c:v>0.96560548242917443</c:v>
                </c:pt>
                <c:pt idx="11">
                  <c:v>0.88742122777468768</c:v>
                </c:pt>
                <c:pt idx="12">
                  <c:v>0.92803620885725457</c:v>
                </c:pt>
                <c:pt idx="13">
                  <c:v>0.84275535003984636</c:v>
                </c:pt>
                <c:pt idx="14">
                  <c:v>0.90368357936290411</c:v>
                </c:pt>
              </c:numCache>
            </c:numRef>
          </c:val>
        </c:ser>
        <c:ser>
          <c:idx val="1"/>
          <c:order val="1"/>
          <c:tx>
            <c:strRef>
              <c:f>'VA graphs'!$C$98</c:f>
              <c:strCache>
                <c:ptCount val="1"/>
                <c:pt idx="0">
                  <c:v>2011</c:v>
                </c:pt>
              </c:strCache>
            </c:strRef>
          </c:tx>
          <c:spPr>
            <a:solidFill>
              <a:schemeClr val="accent6"/>
            </a:solidFill>
          </c:spPr>
          <c:invertIfNegative val="0"/>
          <c:cat>
            <c:strRef>
              <c:f>'VA graphs'!$A$99:$A$113</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'VA graphs'!$C$99:$C$113</c:f>
              <c:numCache>
                <c:formatCode>0.0%</c:formatCode>
                <c:ptCount val="15"/>
                <c:pt idx="0">
                  <c:v>0.90247396120968004</c:v>
                </c:pt>
                <c:pt idx="1">
                  <c:v>0.74878233971153219</c:v>
                </c:pt>
                <c:pt idx="2">
                  <c:v>0.95839153416619538</c:v>
                </c:pt>
                <c:pt idx="3">
                  <c:v>0.8110387568571813</c:v>
                </c:pt>
                <c:pt idx="4">
                  <c:v>0.84733993685315878</c:v>
                </c:pt>
                <c:pt idx="5">
                  <c:v>0.90133516517340218</c:v>
                </c:pt>
                <c:pt idx="6">
                  <c:v>0.77862599669314392</c:v>
                </c:pt>
                <c:pt idx="7">
                  <c:v>0.88658897589206087</c:v>
                </c:pt>
                <c:pt idx="8">
                  <c:v>0.7788529746408942</c:v>
                </c:pt>
                <c:pt idx="9">
                  <c:v>0.8041436414055535</c:v>
                </c:pt>
                <c:pt idx="10">
                  <c:v>0.92774890085115147</c:v>
                </c:pt>
                <c:pt idx="11">
                  <c:v>0.78734284689421286</c:v>
                </c:pt>
                <c:pt idx="12">
                  <c:v>0.8681102166925998</c:v>
                </c:pt>
                <c:pt idx="13">
                  <c:v>0.71335227795831802</c:v>
                </c:pt>
                <c:pt idx="14">
                  <c:v>0.81890810573640693</c:v>
                </c:pt>
              </c:numCache>
            </c:numRef>
          </c:val>
        </c:ser>
        <c:dLbls>
          <c:showLegendKey val="0"/>
          <c:showVal val="0"/>
          <c:showCatName val="0"/>
          <c:showSerName val="0"/>
          <c:showPercent val="0"/>
          <c:showBubbleSize val="0"/>
        </c:dLbls>
        <c:gapWidth val="150"/>
        <c:axId val="105917056"/>
        <c:axId val="105918848"/>
      </c:barChart>
      <c:catAx>
        <c:axId val="105917056"/>
        <c:scaling>
          <c:orientation val="minMax"/>
        </c:scaling>
        <c:delete val="0"/>
        <c:axPos val="b"/>
        <c:majorTickMark val="out"/>
        <c:minorTickMark val="none"/>
        <c:tickLblPos val="nextTo"/>
        <c:txPr>
          <a:bodyPr rot="-5400000" vert="horz"/>
          <a:lstStyle/>
          <a:p>
            <a:pPr>
              <a:defRPr sz="700"/>
            </a:pPr>
            <a:endParaRPr lang="en-US"/>
          </a:p>
        </c:txPr>
        <c:crossAx val="105918848"/>
        <c:crosses val="autoZero"/>
        <c:auto val="1"/>
        <c:lblAlgn val="ctr"/>
        <c:lblOffset val="100"/>
        <c:noMultiLvlLbl val="0"/>
      </c:catAx>
      <c:valAx>
        <c:axId val="105918848"/>
        <c:scaling>
          <c:orientation val="minMax"/>
          <c:max val="1"/>
        </c:scaling>
        <c:delete val="0"/>
        <c:axPos val="l"/>
        <c:majorGridlines/>
        <c:numFmt formatCode="0%" sourceLinked="0"/>
        <c:majorTickMark val="out"/>
        <c:minorTickMark val="none"/>
        <c:tickLblPos val="nextTo"/>
        <c:crossAx val="10591705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6"/>
          <c:order val="0"/>
          <c:tx>
            <c:v>Other</c:v>
          </c:tx>
          <c:spPr>
            <a:solidFill>
              <a:srgbClr val="FF00FF"/>
            </a:solidFill>
            <a:ln w="25400">
              <a:noFill/>
            </a:ln>
          </c:spPr>
          <c:invertIfNegative val="0"/>
          <c:xVal>
            <c:numRef>
              <c:f>'Rel. prod. cf employment'!$B$46</c:f>
              <c:numCache>
                <c:formatCode>#,##0.0_ ;\-#,##0.0\ </c:formatCode>
                <c:ptCount val="1"/>
                <c:pt idx="0">
                  <c:v>0.97401290278835262</c:v>
                </c:pt>
              </c:numCache>
            </c:numRef>
          </c:xVal>
          <c:yVal>
            <c:numRef>
              <c:f>'Rel. prod. cf employment'!$C$46</c:f>
              <c:numCache>
                <c:formatCode>#,##0.0_ ;\-#,##0.0\ </c:formatCode>
                <c:ptCount val="1"/>
                <c:pt idx="0">
                  <c:v>0.68494899915412077</c:v>
                </c:pt>
              </c:numCache>
            </c:numRef>
          </c:yVal>
          <c:bubbleSize>
            <c:numRef>
              <c:f>'Rel. prod. cf employment'!$E$46</c:f>
              <c:numCache>
                <c:formatCode>#,##0_ ;\-#,##0\ </c:formatCode>
                <c:ptCount val="1"/>
                <c:pt idx="0">
                  <c:v>1468</c:v>
                </c:pt>
              </c:numCache>
            </c:numRef>
          </c:bubbleSize>
          <c:bubble3D val="1"/>
        </c:ser>
        <c:ser>
          <c:idx val="0"/>
          <c:order val="1"/>
          <c:tx>
            <c:v>Agriculture</c:v>
          </c:tx>
          <c:spPr>
            <a:solidFill>
              <a:srgbClr val="13CF44"/>
            </a:solidFill>
          </c:spPr>
          <c:invertIfNegative val="0"/>
          <c:xVal>
            <c:numRef>
              <c:f>'Rel. prod. cf employment'!$B$40</c:f>
              <c:numCache>
                <c:formatCode>#,##0.0_ ;\-#,##0.0\ </c:formatCode>
                <c:ptCount val="1"/>
                <c:pt idx="0">
                  <c:v>-7.8144975201614884</c:v>
                </c:pt>
              </c:numCache>
            </c:numRef>
          </c:xVal>
          <c:yVal>
            <c:numRef>
              <c:f>'Rel. prod. cf employment'!$C$40</c:f>
              <c:numCache>
                <c:formatCode>#,##0.0_ ;\-#,##0.0\ </c:formatCode>
                <c:ptCount val="1"/>
                <c:pt idx="0">
                  <c:v>0.48544419144107398</c:v>
                </c:pt>
              </c:numCache>
            </c:numRef>
          </c:yVal>
          <c:bubbleSize>
            <c:numRef>
              <c:f>'Rel. prod. cf employment'!$E$40</c:f>
              <c:numCache>
                <c:formatCode>#,##0_ ;\-#,##0\ </c:formatCode>
                <c:ptCount val="1"/>
                <c:pt idx="0">
                  <c:v>1257</c:v>
                </c:pt>
              </c:numCache>
            </c:numRef>
          </c:bubbleSize>
          <c:bubble3D val="1"/>
        </c:ser>
        <c:ser>
          <c:idx val="1"/>
          <c:order val="2"/>
          <c:tx>
            <c:v>Mining &amp; utilities</c:v>
          </c:tx>
          <c:spPr>
            <a:solidFill>
              <a:srgbClr val="000000"/>
            </a:solidFill>
            <a:ln w="25400">
              <a:noFill/>
            </a:ln>
          </c:spPr>
          <c:invertIfNegative val="0"/>
          <c:xVal>
            <c:numRef>
              <c:f>'Rel. prod. cf employment'!$B$41</c:f>
              <c:numCache>
                <c:formatCode>#,##0.0_ ;\-#,##0.0\ </c:formatCode>
                <c:ptCount val="1"/>
                <c:pt idx="0">
                  <c:v>0.35163417896933091</c:v>
                </c:pt>
              </c:numCache>
            </c:numRef>
          </c:xVal>
          <c:yVal>
            <c:numRef>
              <c:f>'Rel. prod. cf employment'!$C$41</c:f>
              <c:numCache>
                <c:formatCode>#,##0.0_ ;\-#,##0.0\ </c:formatCode>
                <c:ptCount val="1"/>
                <c:pt idx="0">
                  <c:v>13.037305379870919</c:v>
                </c:pt>
              </c:numCache>
            </c:numRef>
          </c:yVal>
          <c:bubbleSize>
            <c:numRef>
              <c:f>'Rel. prod. cf employment'!$E$41</c:f>
              <c:numCache>
                <c:formatCode>#,##0_ ;\-#,##0\ </c:formatCode>
                <c:ptCount val="1"/>
                <c:pt idx="0">
                  <c:v>88</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1.0194106869668289</c:v>
                </c:pt>
              </c:numCache>
            </c:numRef>
          </c:xVal>
          <c:yVal>
            <c:numRef>
              <c:f>'Rel. prod. cf employment'!$C$43</c:f>
              <c:numCache>
                <c:formatCode>#,##0.0_ ;\-#,##0.0\ </c:formatCode>
                <c:ptCount val="1"/>
                <c:pt idx="0">
                  <c:v>0.55661003450371882</c:v>
                </c:pt>
              </c:numCache>
            </c:numRef>
          </c:yVal>
          <c:bubbleSize>
            <c:numRef>
              <c:f>'Rel. prod. cf employment'!$E$43</c:f>
              <c:numCache>
                <c:formatCode>#,##0_ ;\-#,##0\ </c:formatCode>
                <c:ptCount val="1"/>
                <c:pt idx="0">
                  <c:v>560</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3.070535019331583</c:v>
                </c:pt>
              </c:numCache>
            </c:numRef>
          </c:xVal>
          <c:yVal>
            <c:numRef>
              <c:f>'Rel. prod. cf employment'!$C$44</c:f>
              <c:numCache>
                <c:formatCode>#,##0.0_ ;\-#,##0.0\ </c:formatCode>
                <c:ptCount val="1"/>
                <c:pt idx="0">
                  <c:v>0.84913605118695634</c:v>
                </c:pt>
              </c:numCache>
            </c:numRef>
          </c:yVal>
          <c:bubbleSize>
            <c:numRef>
              <c:f>'Rel. prod. cf employment'!$E$44</c:f>
              <c:numCache>
                <c:formatCode>#,##0_ ;\-#,##0\ </c:formatCode>
                <c:ptCount val="1"/>
                <c:pt idx="0">
                  <c:v>1157</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1.1495960285855951</c:v>
                </c:pt>
              </c:numCache>
            </c:numRef>
          </c:xVal>
          <c:yVal>
            <c:numRef>
              <c:f>'Rel. prod. cf employment'!$C$45</c:f>
              <c:numCache>
                <c:formatCode>#,##0.0_ ;\-#,##0.0\ </c:formatCode>
                <c:ptCount val="1"/>
                <c:pt idx="0">
                  <c:v>2.3715866544470288</c:v>
                </c:pt>
              </c:numCache>
            </c:numRef>
          </c:yVal>
          <c:bubbleSize>
            <c:numRef>
              <c:f>'Rel. prod. cf employment'!$E$45</c:f>
              <c:numCache>
                <c:formatCode>#,##0_ ;\-#,##0\ </c:formatCode>
                <c:ptCount val="1"/>
                <c:pt idx="0">
                  <c:v>341</c:v>
                </c:pt>
              </c:numCache>
            </c:numRef>
          </c:bubbleSize>
          <c:bubble3D val="1"/>
        </c:ser>
        <c:ser>
          <c:idx val="2"/>
          <c:order val="6"/>
          <c:tx>
            <c:v>Manufacturing</c:v>
          </c:tx>
          <c:spPr>
            <a:solidFill>
              <a:srgbClr val="CC6600"/>
            </a:solidFill>
            <a:ln w="25400">
              <a:noFill/>
            </a:ln>
          </c:spPr>
          <c:invertIfNegative val="0"/>
          <c:xVal>
            <c:numRef>
              <c:f>'Rel. prod. cf employment'!$B$42</c:f>
              <c:numCache>
                <c:formatCode>#,##0.0_ ;\-#,##0.0\ </c:formatCode>
                <c:ptCount val="1"/>
                <c:pt idx="0">
                  <c:v>1.2493087035198034</c:v>
                </c:pt>
              </c:numCache>
            </c:numRef>
          </c:xVal>
          <c:yVal>
            <c:numRef>
              <c:f>'Rel. prod. cf employment'!$C$42</c:f>
              <c:numCache>
                <c:formatCode>#,##0.0_ ;\-#,##0.0\ </c:formatCode>
                <c:ptCount val="1"/>
                <c:pt idx="0">
                  <c:v>1.0149146882894271</c:v>
                </c:pt>
              </c:numCache>
            </c:numRef>
          </c:yVal>
          <c:bubbleSize>
            <c:numRef>
              <c:f>'Rel. prod. cf employment'!$E$42</c:f>
              <c:numCache>
                <c:formatCode>#,##0_ ;\-#,##0\ </c:formatCode>
                <c:ptCount val="1"/>
                <c:pt idx="0">
                  <c:v>345</c:v>
                </c:pt>
              </c:numCache>
            </c:numRef>
          </c:bubbleSize>
          <c:bubble3D val="1"/>
        </c:ser>
        <c:dLbls>
          <c:showLegendKey val="0"/>
          <c:showVal val="0"/>
          <c:showCatName val="0"/>
          <c:showSerName val="0"/>
          <c:showPercent val="0"/>
          <c:showBubbleSize val="0"/>
        </c:dLbls>
        <c:bubbleScale val="100"/>
        <c:showNegBubbles val="0"/>
        <c:axId val="98894592"/>
        <c:axId val="98896512"/>
      </c:bubbleChart>
      <c:valAx>
        <c:axId val="98894592"/>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98896512"/>
        <c:crosses val="autoZero"/>
        <c:crossBetween val="midCat"/>
      </c:valAx>
      <c:valAx>
        <c:axId val="98896512"/>
        <c:scaling>
          <c:orientation val="minMax"/>
          <c:min val="0"/>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9889459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Yemen!$R$4:$R$19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Yemen!$S$4:$S$19</c:f>
              <c:numCache>
                <c:formatCode>0.0%</c:formatCode>
                <c:ptCount val="16"/>
                <c:pt idx="0">
                  <c:v>3.6579471936251197E-2</c:v>
                </c:pt>
                <c:pt idx="1">
                  <c:v>8.3985105956194284E-3</c:v>
                </c:pt>
                <c:pt idx="2">
                  <c:v>1.6717255822306831E-2</c:v>
                </c:pt>
                <c:pt idx="3">
                  <c:v>2.1466687666406525E-2</c:v>
                </c:pt>
                <c:pt idx="4">
                  <c:v>2.8580757811705444E-2</c:v>
                </c:pt>
                <c:pt idx="5">
                  <c:v>3.9323923469136365E-2</c:v>
                </c:pt>
                <c:pt idx="6">
                  <c:v>2.2143618885789454E-3</c:v>
                </c:pt>
                <c:pt idx="7">
                  <c:v>0.46416718594693102</c:v>
                </c:pt>
                <c:pt idx="8">
                  <c:v>1.2340001174570197E-2</c:v>
                </c:pt>
                <c:pt idx="9">
                  <c:v>0.19622130467996951</c:v>
                </c:pt>
                <c:pt idx="10">
                  <c:v>2.1032496192467446E-2</c:v>
                </c:pt>
                <c:pt idx="11">
                  <c:v>4.538723204584919E-3</c:v>
                </c:pt>
                <c:pt idx="12">
                  <c:v>7.2632362166099279E-2</c:v>
                </c:pt>
                <c:pt idx="13">
                  <c:v>2.6858991171816232E-3</c:v>
                </c:pt>
                <c:pt idx="14">
                  <c:v>1.4875025562558536E-3</c:v>
                </c:pt>
                <c:pt idx="15">
                  <c:v>7.16135557719354E-2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9"/>
              <c:layout>
                <c:manualLayout>
                  <c:x val="0.13168607384988928"/>
                  <c:y val="8.6125613374415152E-3"/>
                </c:manualLayout>
              </c:layout>
              <c:tx>
                <c:rich>
                  <a:bodyPr/>
                  <a:lstStyle/>
                  <a:p>
                    <a:r>
                      <a:rPr lang="en-US"/>
                      <a:t>Petrol./Chem. </a:t>
                    </a:r>
                    <a:br>
                      <a:rPr lang="en-US"/>
                    </a:br>
                    <a:r>
                      <a:rPr lang="en-US"/>
                      <a:t>&amp; Non-Metal. </a:t>
                    </a:r>
                    <a:br>
                      <a:rPr lang="en-US"/>
                    </a:br>
                    <a:r>
                      <a:rPr lang="en-US"/>
                      <a:t>Min. Prod
9%</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Yemen!$V$4:$V$19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Yemen!$W$4:$W$19</c:f>
              <c:numCache>
                <c:formatCode>0.0%</c:formatCode>
                <c:ptCount val="16"/>
                <c:pt idx="0">
                  <c:v>3.9513870890289557E-2</c:v>
                </c:pt>
                <c:pt idx="1">
                  <c:v>6.4618859189110086E-3</c:v>
                </c:pt>
                <c:pt idx="2">
                  <c:v>3.44248260482874E-4</c:v>
                </c:pt>
                <c:pt idx="3">
                  <c:v>1.7210159206726961E-2</c:v>
                </c:pt>
                <c:pt idx="4">
                  <c:v>2.4234711745407738E-2</c:v>
                </c:pt>
                <c:pt idx="5">
                  <c:v>3.8023664442040715E-2</c:v>
                </c:pt>
                <c:pt idx="6">
                  <c:v>3.3885811772527748E-3</c:v>
                </c:pt>
                <c:pt idx="7">
                  <c:v>0.57936982759915012</c:v>
                </c:pt>
                <c:pt idx="8">
                  <c:v>1.1523510870043697E-3</c:v>
                </c:pt>
                <c:pt idx="9">
                  <c:v>8.8403646718578463E-2</c:v>
                </c:pt>
                <c:pt idx="10">
                  <c:v>2.2971357577170618E-2</c:v>
                </c:pt>
                <c:pt idx="11">
                  <c:v>1.8738066730810004E-3</c:v>
                </c:pt>
                <c:pt idx="12">
                  <c:v>8.2363696937085826E-2</c:v>
                </c:pt>
                <c:pt idx="13">
                  <c:v>2.9617501887673208E-3</c:v>
                </c:pt>
                <c:pt idx="14">
                  <c:v>1.5084005584137814E-3</c:v>
                </c:pt>
                <c:pt idx="15">
                  <c:v>9.0218041019636819E-2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Yemen!$S$22</c:f>
              <c:strCache>
                <c:ptCount val="1"/>
                <c:pt idx="0">
                  <c:v>1996-2011</c:v>
                </c:pt>
              </c:strCache>
            </c:strRef>
          </c:tx>
          <c:invertIfNegative val="0"/>
          <c:cat>
            <c:strRef>
              <c:f>Yemen!$R$23:$R$37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Yemen!$S$23:$S$37</c:f>
              <c:numCache>
                <c:formatCode>0.0%</c:formatCode>
                <c:ptCount val="15"/>
                <c:pt idx="0">
                  <c:v>0.14178158534053886</c:v>
                </c:pt>
                <c:pt idx="1">
                  <c:v>0.14228962115649368</c:v>
                </c:pt>
                <c:pt idx="2">
                  <c:v>2.6714732264520036E-2</c:v>
                </c:pt>
                <c:pt idx="3">
                  <c:v>0.19049577805215145</c:v>
                </c:pt>
                <c:pt idx="4">
                  <c:v>0.13786202176042894</c:v>
                </c:pt>
                <c:pt idx="5">
                  <c:v>0.12705338974918878</c:v>
                </c:pt>
                <c:pt idx="6">
                  <c:v>0.2125273625342794</c:v>
                </c:pt>
                <c:pt idx="7">
                  <c:v>0.16728159525993735</c:v>
                </c:pt>
                <c:pt idx="8">
                  <c:v>0.12650944432422562</c:v>
                </c:pt>
                <c:pt idx="9">
                  <c:v>0.18171371114608759</c:v>
                </c:pt>
                <c:pt idx="10">
                  <c:v>0.13357069781619746</c:v>
                </c:pt>
                <c:pt idx="11">
                  <c:v>0.1304843431154783</c:v>
                </c:pt>
                <c:pt idx="12">
                  <c:v>0.15129953345414648</c:v>
                </c:pt>
                <c:pt idx="13">
                  <c:v>0.18376693720999393</c:v>
                </c:pt>
                <c:pt idx="14">
                  <c:v>0.15291514715213439</c:v>
                </c:pt>
              </c:numCache>
            </c:numRef>
          </c:val>
        </c:ser>
        <c:ser>
          <c:idx val="1"/>
          <c:order val="1"/>
          <c:tx>
            <c:strRef>
              <c:f>Yemen!$T$22</c:f>
              <c:strCache>
                <c:ptCount val="1"/>
                <c:pt idx="0">
                  <c:v>2006-2011</c:v>
                </c:pt>
              </c:strCache>
            </c:strRef>
          </c:tx>
          <c:spPr>
            <a:solidFill>
              <a:schemeClr val="accent6"/>
            </a:solidFill>
          </c:spPr>
          <c:invertIfNegative val="0"/>
          <c:cat>
            <c:strRef>
              <c:f>Yemen!$R$23:$R$37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Yemen!$T$23:$T$37</c:f>
              <c:numCache>
                <c:formatCode>0.0%</c:formatCode>
                <c:ptCount val="15"/>
                <c:pt idx="0">
                  <c:v>0.20644787391027797</c:v>
                </c:pt>
                <c:pt idx="1">
                  <c:v>0.33490415505575721</c:v>
                </c:pt>
                <c:pt idx="2">
                  <c:v>0.21683231047509355</c:v>
                </c:pt>
                <c:pt idx="3">
                  <c:v>0.17752571134695261</c:v>
                </c:pt>
                <c:pt idx="4">
                  <c:v>0.20050728534777407</c:v>
                </c:pt>
                <c:pt idx="5">
                  <c:v>0.22037614198334543</c:v>
                </c:pt>
                <c:pt idx="6">
                  <c:v>0.32472640643895589</c:v>
                </c:pt>
                <c:pt idx="7">
                  <c:v>0.20016887736015154</c:v>
                </c:pt>
                <c:pt idx="8">
                  <c:v>0.29052622241784576</c:v>
                </c:pt>
                <c:pt idx="9">
                  <c:v>0.24254526828677991</c:v>
                </c:pt>
                <c:pt idx="10">
                  <c:v>0.23762520889924676</c:v>
                </c:pt>
                <c:pt idx="11">
                  <c:v>0.22976757536217485</c:v>
                </c:pt>
                <c:pt idx="12">
                  <c:v>0.22309540716273224</c:v>
                </c:pt>
                <c:pt idx="13">
                  <c:v>0.48520043396282153</c:v>
                </c:pt>
                <c:pt idx="14">
                  <c:v>0.25614584892850978</c:v>
                </c:pt>
              </c:numCache>
            </c:numRef>
          </c:val>
        </c:ser>
        <c:dLbls>
          <c:showLegendKey val="0"/>
          <c:showVal val="0"/>
          <c:showCatName val="0"/>
          <c:showSerName val="0"/>
          <c:showPercent val="0"/>
          <c:showBubbleSize val="0"/>
        </c:dLbls>
        <c:gapWidth val="150"/>
        <c:axId val="106092800"/>
        <c:axId val="106094592"/>
      </c:barChart>
      <c:catAx>
        <c:axId val="106092800"/>
        <c:scaling>
          <c:orientation val="minMax"/>
        </c:scaling>
        <c:delete val="0"/>
        <c:axPos val="b"/>
        <c:majorTickMark val="out"/>
        <c:minorTickMark val="none"/>
        <c:tickLblPos val="nextTo"/>
        <c:spPr>
          <a:ln>
            <a:noFill/>
          </a:ln>
        </c:spPr>
        <c:txPr>
          <a:bodyPr rot="-5400000" vert="horz"/>
          <a:lstStyle/>
          <a:p>
            <a:pPr>
              <a:defRPr sz="700"/>
            </a:pPr>
            <a:endParaRPr lang="en-US"/>
          </a:p>
        </c:txPr>
        <c:crossAx val="106094592"/>
        <c:crosses val="autoZero"/>
        <c:auto val="1"/>
        <c:lblAlgn val="ctr"/>
        <c:lblOffset val="100"/>
        <c:noMultiLvlLbl val="0"/>
      </c:catAx>
      <c:valAx>
        <c:axId val="106094592"/>
        <c:scaling>
          <c:orientation val="minMax"/>
        </c:scaling>
        <c:delete val="0"/>
        <c:axPos val="l"/>
        <c:majorGridlines/>
        <c:numFmt formatCode="0%" sourceLinked="0"/>
        <c:majorTickMark val="out"/>
        <c:minorTickMark val="none"/>
        <c:tickLblPos val="nextTo"/>
        <c:crossAx val="106092800"/>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'VA graphs'!$O$43</c:f>
              <c:strCache>
                <c:ptCount val="1"/>
                <c:pt idx="0">
                  <c:v>2000</c:v>
                </c:pt>
              </c:strCache>
            </c:strRef>
          </c:tx>
          <c:invertIfNegative val="0"/>
          <c:cat>
            <c:strRef>
              <c: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'VA graphs'!$O$44:$O$58</c:f>
              <c:numCache>
                <c:formatCode>0.0%</c:formatCode>
                <c:ptCount val="15"/>
                <c:pt idx="0">
                  <c:v>4.7908403696791627E-2</c:v>
                </c:pt>
                <c:pt idx="1">
                  <c:v>0.13342239996454186</c:v>
                </c:pt>
                <c:pt idx="2">
                  <c:v>2.0135158623842558E-2</c:v>
                </c:pt>
                <c:pt idx="3">
                  <c:v>0.11780389299723357</c:v>
                </c:pt>
                <c:pt idx="4">
                  <c:v>7.3492456002215725E-2</c:v>
                </c:pt>
                <c:pt idx="5">
                  <c:v>4.8094173878805567E-2</c:v>
                </c:pt>
                <c:pt idx="6">
                  <c:v>0.10844260091493953</c:v>
                </c:pt>
                <c:pt idx="7">
                  <c:v>0.10698664500797267</c:v>
                </c:pt>
                <c:pt idx="8">
                  <c:v>0.1093042114676137</c:v>
                </c:pt>
                <c:pt idx="9">
                  <c:v>0.1070929558487575</c:v>
                </c:pt>
                <c:pt idx="10">
                  <c:v>3.4394517570825602E-2</c:v>
                </c:pt>
                <c:pt idx="11">
                  <c:v>0.11257877222531233</c:v>
                </c:pt>
                <c:pt idx="12">
                  <c:v>7.1963791142745509E-2</c:v>
                </c:pt>
                <c:pt idx="13">
                  <c:v>0.15724464996015364</c:v>
                </c:pt>
                <c:pt idx="14">
                  <c:v>9.6316420637095862E-2</c:v>
                </c:pt>
              </c:numCache>
            </c:numRef>
          </c:val>
        </c:ser>
        <c:ser>
          <c:idx val="1"/>
          <c:order val="1"/>
          <c:tx>
            <c:strRef>
              <c:f>'VA graphs'!$P$43</c:f>
              <c:strCache>
                <c:ptCount val="1"/>
                <c:pt idx="0">
                  <c:v>2011</c:v>
                </c:pt>
              </c:strCache>
            </c:strRef>
          </c:tx>
          <c:spPr>
            <a:solidFill>
              <a:schemeClr val="accent6"/>
            </a:solidFill>
          </c:spPr>
          <c:invertIfNegative val="0"/>
          <c:cat>
            <c:strRef>
              <c: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'VA graphs'!$P$44:$P$58</c:f>
              <c:numCache>
                <c:formatCode>0.0%</c:formatCode>
                <c:ptCount val="15"/>
                <c:pt idx="0">
                  <c:v>9.7526038790319958E-2</c:v>
                </c:pt>
                <c:pt idx="1">
                  <c:v>0.25121766028846787</c:v>
                </c:pt>
                <c:pt idx="2">
                  <c:v>4.1608465833804648E-2</c:v>
                </c:pt>
                <c:pt idx="3">
                  <c:v>0.18896124314281859</c:v>
                </c:pt>
                <c:pt idx="4">
                  <c:v>0.15266006314684116</c:v>
                </c:pt>
                <c:pt idx="5">
                  <c:v>9.8664834826597783E-2</c:v>
                </c:pt>
                <c:pt idx="6">
                  <c:v>0.22137400330685622</c:v>
                </c:pt>
                <c:pt idx="7">
                  <c:v>0.11341102410793924</c:v>
                </c:pt>
                <c:pt idx="8">
                  <c:v>0.22114702535910574</c:v>
                </c:pt>
                <c:pt idx="9">
                  <c:v>0.19585635859444647</c:v>
                </c:pt>
                <c:pt idx="10">
                  <c:v>7.2251099148848544E-2</c:v>
                </c:pt>
                <c:pt idx="11">
                  <c:v>0.2126571531057872</c:v>
                </c:pt>
                <c:pt idx="12">
                  <c:v>0.13188978330740014</c:v>
                </c:pt>
                <c:pt idx="13">
                  <c:v>0.28664772204168198</c:v>
                </c:pt>
                <c:pt idx="14">
                  <c:v>0.18109189426359312</c:v>
                </c:pt>
              </c:numCache>
            </c:numRef>
          </c:val>
        </c:ser>
        <c:dLbls>
          <c:showLegendKey val="0"/>
          <c:showVal val="0"/>
          <c:showCatName val="0"/>
          <c:showSerName val="0"/>
          <c:showPercent val="0"/>
          <c:showBubbleSize val="0"/>
        </c:dLbls>
        <c:gapWidth val="150"/>
        <c:axId val="107180416"/>
        <c:axId val="107181952"/>
      </c:barChart>
      <c:catAx>
        <c:axId val="107180416"/>
        <c:scaling>
          <c:orientation val="minMax"/>
        </c:scaling>
        <c:delete val="0"/>
        <c:axPos val="b"/>
        <c:majorTickMark val="out"/>
        <c:minorTickMark val="none"/>
        <c:tickLblPos val="nextTo"/>
        <c:txPr>
          <a:bodyPr rot="-5400000" vert="horz"/>
          <a:lstStyle/>
          <a:p>
            <a:pPr>
              <a:defRPr sz="700"/>
            </a:pPr>
            <a:endParaRPr lang="en-US"/>
          </a:p>
        </c:txPr>
        <c:crossAx val="107181952"/>
        <c:crosses val="autoZero"/>
        <c:auto val="1"/>
        <c:lblAlgn val="ctr"/>
        <c:lblOffset val="100"/>
        <c:noMultiLvlLbl val="0"/>
      </c:catAx>
      <c:valAx>
        <c:axId val="107181952"/>
        <c:scaling>
          <c:orientation val="minMax"/>
        </c:scaling>
        <c:delete val="0"/>
        <c:axPos val="l"/>
        <c:majorGridlines/>
        <c:numFmt formatCode="0%" sourceLinked="0"/>
        <c:majorTickMark val="out"/>
        <c:minorTickMark val="none"/>
        <c:tickLblPos val="nextTo"/>
        <c:crossAx val="10718041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9"/>
              <c:layout>
                <c:manualLayout>
                  <c:x val="0.18781173322390077"/>
                  <c:y val="3.1672586442998973E-2"/>
                </c:manualLayout>
              </c:layout>
              <c:dLblPos val="bestFit"/>
              <c:showLegendKey val="0"/>
              <c:showVal val="0"/>
              <c:showCatName val="1"/>
              <c:showSerName val="0"/>
              <c:showPercent val="1"/>
              <c:showBubbleSize val="0"/>
            </c:dLbl>
            <c:dLbl>
              <c:idx val="12"/>
              <c:layout>
                <c:manualLayout>
                  <c:x val="7.2892140518265841E-2"/>
                  <c:y val="0.1340629635969417"/>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Yemen!$R$64:$R$79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Yemen!$S$64:$S$79</c:f>
              <c:numCache>
                <c:formatCode>0.0%</c:formatCode>
                <c:ptCount val="16"/>
                <c:pt idx="0">
                  <c:v>1.775398136270432E-2</c:v>
                </c:pt>
                <c:pt idx="1">
                  <c:v>1.2472368200449755E-2</c:v>
                </c:pt>
                <c:pt idx="2">
                  <c:v>3.3134408956056773E-3</c:v>
                </c:pt>
                <c:pt idx="3">
                  <c:v>2.7649348495905057E-2</c:v>
                </c:pt>
                <c:pt idx="4">
                  <c:v>2.1867186067370526E-2</c:v>
                </c:pt>
                <c:pt idx="5">
                  <c:v>1.9163758348657453E-2</c:v>
                </c:pt>
                <c:pt idx="6">
                  <c:v>2.5979128269676727E-3</c:v>
                </c:pt>
                <c:pt idx="7">
                  <c:v>0.53637855905785636</c:v>
                </c:pt>
                <c:pt idx="8">
                  <c:v>1.4606563702046162E-2</c:v>
                </c:pt>
                <c:pt idx="9">
                  <c:v>0.22700016603201006</c:v>
                </c:pt>
                <c:pt idx="10">
                  <c:v>7.2261284579204846E-3</c:v>
                </c:pt>
                <c:pt idx="11">
                  <c:v>5.5537426583855218E-3</c:v>
                </c:pt>
                <c:pt idx="12">
                  <c:v>5.4325613706248596E-2</c:v>
                </c:pt>
                <c:pt idx="13">
                  <c:v>4.8338082175379922E-3</c:v>
                </c:pt>
                <c:pt idx="14">
                  <c:v>1.5292096288188135E-3</c:v>
                </c:pt>
                <c:pt idx="15">
                  <c:v>4.3728212341515582E-2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Yemen!$V$64:$V$79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Yemen!$W$64:$W$79</c:f>
              <c:numCache>
                <c:formatCode>0.0%</c:formatCode>
                <c:ptCount val="16"/>
                <c:pt idx="0">
                  <c:v>2.995499214189842E-2</c:v>
                </c:pt>
                <c:pt idx="1">
                  <c:v>1.5208542264266224E-2</c:v>
                </c:pt>
                <c:pt idx="2">
                  <c:v>1.0484415347405539E-4</c:v>
                </c:pt>
                <c:pt idx="3">
                  <c:v>2.8128705489912972E-2</c:v>
                </c:pt>
                <c:pt idx="4">
                  <c:v>3.0629460614951268E-2</c:v>
                </c:pt>
                <c:pt idx="5">
                  <c:v>2.9198717447948244E-2</c:v>
                </c:pt>
                <c:pt idx="6">
                  <c:v>6.7584848100715033E-3</c:v>
                </c:pt>
                <c:pt idx="7">
                  <c:v>0.51990326935513653</c:v>
                </c:pt>
                <c:pt idx="8">
                  <c:v>2.2953248779460406E-3</c:v>
                </c:pt>
                <c:pt idx="9">
                  <c:v>0.15104555620907162</c:v>
                </c:pt>
                <c:pt idx="10">
                  <c:v>1.2549730537079041E-2</c:v>
                </c:pt>
                <c:pt idx="11">
                  <c:v>3.5503782098745855E-3</c:v>
                </c:pt>
                <c:pt idx="12">
                  <c:v>8.7782076124023029E-2</c:v>
                </c:pt>
                <c:pt idx="13">
                  <c:v>8.3488488029233483E-3</c:v>
                </c:pt>
                <c:pt idx="14">
                  <c:v>2.3399913665164323E-3</c:v>
                </c:pt>
                <c:pt idx="15">
                  <c:v>7.2201077594906682E-2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Yemen!$A$6:$A$14</c:f>
              <c:strCache>
                <c:ptCount val="9"/>
                <c:pt idx="0">
                  <c:v>2005</c:v>
                </c:pt>
                <c:pt idx="1">
                  <c:v>2006</c:v>
                </c:pt>
                <c:pt idx="2">
                  <c:v>2007</c:v>
                </c:pt>
                <c:pt idx="3">
                  <c:v>2008</c:v>
                </c:pt>
                <c:pt idx="4">
                  <c:v>2009</c:v>
                </c:pt>
                <c:pt idx="5">
                  <c:v>2010</c:v>
                </c:pt>
                <c:pt idx="6">
                  <c:v>2011</c:v>
                </c:pt>
                <c:pt idx="7">
                  <c:v>2012</c:v>
                </c:pt>
                <c:pt idx="8">
                  <c:v>2013</c:v>
                </c:pt>
              </c:strCache>
            </c:strRef>
          </c:cat>
          <c:val>
            <c:numRef>
              <c:f>Yemen!$B$6:$B$14</c:f>
              <c:numCache>
                <c:formatCode>_-* #,##0_-;\-* #,##0_-;_-* "-"??_-;_-@_-</c:formatCode>
                <c:ptCount val="9"/>
                <c:pt idx="0">
                  <c:v>6413184250.7546701</c:v>
                </c:pt>
                <c:pt idx="1">
                  <c:v>7316390000</c:v>
                </c:pt>
                <c:pt idx="2">
                  <c:v>7049520000</c:v>
                </c:pt>
                <c:pt idx="3">
                  <c:v>8976860000</c:v>
                </c:pt>
                <c:pt idx="4">
                  <c:v>5881025325.9541702</c:v>
                </c:pt>
                <c:pt idx="5">
                  <c:v>7648263494.6577301</c:v>
                </c:pt>
                <c:pt idx="6">
                  <c:v>9116709196.4383602</c:v>
                </c:pt>
                <c:pt idx="7">
                  <c:v>7808322732.7775202</c:v>
                </c:pt>
                <c:pt idx="8">
                  <c:v>7841635334.7446804</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Yemen!$A$6:$A$14</c:f>
              <c:strCache>
                <c:ptCount val="9"/>
                <c:pt idx="0">
                  <c:v>2005</c:v>
                </c:pt>
                <c:pt idx="1">
                  <c:v>2006</c:v>
                </c:pt>
                <c:pt idx="2">
                  <c:v>2007</c:v>
                </c:pt>
                <c:pt idx="3">
                  <c:v>2008</c:v>
                </c:pt>
                <c:pt idx="4">
                  <c:v>2009</c:v>
                </c:pt>
                <c:pt idx="5">
                  <c:v>2010</c:v>
                </c:pt>
                <c:pt idx="6">
                  <c:v>2011</c:v>
                </c:pt>
                <c:pt idx="7">
                  <c:v>2012</c:v>
                </c:pt>
                <c:pt idx="8">
                  <c:v>2013</c:v>
                </c:pt>
              </c:strCache>
            </c:strRef>
          </c:cat>
          <c:val>
            <c:numRef>
              <c:f>Yemen!$C$6:$C$14</c:f>
              <c:numCache>
                <c:formatCode>_-* #,##0_-;\-* #,##0_-;_-* "-"??_-;_-@_-</c:formatCode>
                <c:ptCount val="9"/>
                <c:pt idx="0">
                  <c:v>372081845.65688097</c:v>
                </c:pt>
                <c:pt idx="1">
                  <c:v>548840000</c:v>
                </c:pt>
                <c:pt idx="2">
                  <c:v>723820000</c:v>
                </c:pt>
                <c:pt idx="3">
                  <c:v>1205410000</c:v>
                </c:pt>
                <c:pt idx="4">
                  <c:v>1237180000</c:v>
                </c:pt>
                <c:pt idx="5">
                  <c:v>1622240000</c:v>
                </c:pt>
                <c:pt idx="6">
                  <c:v>1267334000</c:v>
                </c:pt>
                <c:pt idx="7">
                  <c:v>1577153114.36344</c:v>
                </c:pt>
                <c:pt idx="8">
                  <c:v>1725630063.0067501</c:v>
                </c:pt>
              </c:numCache>
            </c:numRef>
          </c:val>
        </c:ser>
        <c:dLbls>
          <c:showLegendKey val="0"/>
          <c:showVal val="0"/>
          <c:showCatName val="0"/>
          <c:showSerName val="0"/>
          <c:showPercent val="0"/>
          <c:showBubbleSize val="0"/>
        </c:dLbls>
        <c:gapWidth val="50"/>
        <c:overlap val="100"/>
        <c:axId val="107552128"/>
        <c:axId val="107562112"/>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Yemen!$A$6:$A$14</c:f>
              <c:strCache>
                <c:ptCount val="9"/>
                <c:pt idx="0">
                  <c:v>2005</c:v>
                </c:pt>
                <c:pt idx="1">
                  <c:v>2006</c:v>
                </c:pt>
                <c:pt idx="2">
                  <c:v>2007</c:v>
                </c:pt>
                <c:pt idx="3">
                  <c:v>2008</c:v>
                </c:pt>
                <c:pt idx="4">
                  <c:v>2009</c:v>
                </c:pt>
                <c:pt idx="5">
                  <c:v>2010</c:v>
                </c:pt>
                <c:pt idx="6">
                  <c:v>2011</c:v>
                </c:pt>
                <c:pt idx="7">
                  <c:v>2012</c:v>
                </c:pt>
                <c:pt idx="8">
                  <c:v>2013</c:v>
                </c:pt>
              </c:strCache>
            </c:strRef>
          </c:cat>
          <c:val>
            <c:numRef>
              <c:f>Yemen!$E$6:$E$14</c:f>
              <c:numCache>
                <c:formatCode>0%</c:formatCode>
                <c:ptCount val="9"/>
                <c:pt idx="0">
                  <c:v>5.4836736005631347E-2</c:v>
                </c:pt>
                <c:pt idx="1">
                  <c:v>6.9780540429205506E-2</c:v>
                </c:pt>
                <c:pt idx="2">
                  <c:v>9.3115700586877709E-2</c:v>
                </c:pt>
                <c:pt idx="3">
                  <c:v>0.11838322888707528</c:v>
                </c:pt>
                <c:pt idx="4">
                  <c:v>0.17380504542191755</c:v>
                </c:pt>
                <c:pt idx="5">
                  <c:v>0.17498941680296445</c:v>
                </c:pt>
                <c:pt idx="6">
                  <c:v>0.12204629507268276</c:v>
                </c:pt>
                <c:pt idx="7">
                  <c:v>0.16804189154073401</c:v>
                </c:pt>
                <c:pt idx="8">
                  <c:v>0.18036816072984874</c:v>
                </c:pt>
              </c:numCache>
            </c:numRef>
          </c:val>
          <c:smooth val="0"/>
        </c:ser>
        <c:dLbls>
          <c:showLegendKey val="0"/>
          <c:showVal val="0"/>
          <c:showCatName val="0"/>
          <c:showSerName val="0"/>
          <c:showPercent val="0"/>
          <c:showBubbleSize val="0"/>
        </c:dLbls>
        <c:marker val="1"/>
        <c:smooth val="0"/>
        <c:axId val="107590784"/>
        <c:axId val="107564416"/>
      </c:lineChart>
      <c:catAx>
        <c:axId val="107552128"/>
        <c:scaling>
          <c:orientation val="minMax"/>
        </c:scaling>
        <c:delete val="0"/>
        <c:axPos val="b"/>
        <c:majorTickMark val="out"/>
        <c:minorTickMark val="none"/>
        <c:tickLblPos val="nextTo"/>
        <c:crossAx val="107562112"/>
        <c:crosses val="autoZero"/>
        <c:auto val="1"/>
        <c:lblAlgn val="ctr"/>
        <c:lblOffset val="100"/>
        <c:noMultiLvlLbl val="0"/>
      </c:catAx>
      <c:valAx>
        <c:axId val="107562112"/>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07552128"/>
        <c:crosses val="autoZero"/>
        <c:crossBetween val="between"/>
        <c:dispUnits>
          <c:builtInUnit val="billions"/>
        </c:dispUnits>
      </c:valAx>
      <c:valAx>
        <c:axId val="107564416"/>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07590784"/>
        <c:crosses val="max"/>
        <c:crossBetween val="between"/>
      </c:valAx>
      <c:catAx>
        <c:axId val="107590784"/>
        <c:scaling>
          <c:orientation val="minMax"/>
        </c:scaling>
        <c:delete val="1"/>
        <c:axPos val="b"/>
        <c:majorTickMark val="out"/>
        <c:minorTickMark val="none"/>
        <c:tickLblPos val="nextTo"/>
        <c:crossAx val="10756441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Yemen!$A$6:$A$14</c:f>
              <c:strCache>
                <c:ptCount val="9"/>
                <c:pt idx="0">
                  <c:v>2005</c:v>
                </c:pt>
                <c:pt idx="1">
                  <c:v>2006</c:v>
                </c:pt>
                <c:pt idx="2">
                  <c:v>2007</c:v>
                </c:pt>
                <c:pt idx="3">
                  <c:v>2008</c:v>
                </c:pt>
                <c:pt idx="4">
                  <c:v>2009</c:v>
                </c:pt>
                <c:pt idx="5">
                  <c:v>2010</c:v>
                </c:pt>
                <c:pt idx="6">
                  <c:v>2011</c:v>
                </c:pt>
                <c:pt idx="7">
                  <c:v>2012</c:v>
                </c:pt>
                <c:pt idx="8">
                  <c:v>2013</c:v>
                </c:pt>
              </c:strCache>
            </c:strRef>
          </c:cat>
          <c:val>
            <c:numRef>
              <c:f>Yemen!$B$6:$B$14</c:f>
              <c:numCache>
                <c:formatCode>_-* #,##0_-;\-* #,##0_-;_-* "-"??_-;_-@_-</c:formatCode>
                <c:ptCount val="9"/>
                <c:pt idx="0">
                  <c:v>39.072544752442809</c:v>
                </c:pt>
                <c:pt idx="1">
                  <c:v>61.387653961081554</c:v>
                </c:pt>
                <c:pt idx="2">
                  <c:v>35.022519410903264</c:v>
                </c:pt>
                <c:pt idx="3">
                  <c:v>22.738321401017082</c:v>
                </c:pt>
                <c:pt idx="4">
                  <c:v>23.671575680175884</c:v>
                </c:pt>
                <c:pt idx="5">
                  <c:v>16.609133050596707</c:v>
                </c:pt>
                <c:pt idx="6">
                  <c:v>22.632865527161744</c:v>
                </c:pt>
                <c:pt idx="7">
                  <c:v>31.236040894154794</c:v>
                </c:pt>
                <c:pt idx="8">
                  <c:v>32.102324907504411</c:v>
                </c:pt>
              </c:numCache>
            </c:numRef>
          </c:val>
          <c:smooth val="0"/>
        </c:ser>
        <c:ser>
          <c:idx val="2"/>
          <c:order val="1"/>
          <c:tx>
            <c:v>Transport</c:v>
          </c:tx>
          <c:spPr>
            <a:ln w="28575"/>
          </c:spPr>
          <c:marker>
            <c:symbol val="none"/>
          </c:marker>
          <c:cat>
            <c:strRef>
              <c:f>Yemen!$A$6:$A$14</c:f>
              <c:strCache>
                <c:ptCount val="9"/>
                <c:pt idx="0">
                  <c:v>2005</c:v>
                </c:pt>
                <c:pt idx="1">
                  <c:v>2006</c:v>
                </c:pt>
                <c:pt idx="2">
                  <c:v>2007</c:v>
                </c:pt>
                <c:pt idx="3">
                  <c:v>2008</c:v>
                </c:pt>
                <c:pt idx="4">
                  <c:v>2009</c:v>
                </c:pt>
                <c:pt idx="5">
                  <c:v>2010</c:v>
                </c:pt>
                <c:pt idx="6">
                  <c:v>2011</c:v>
                </c:pt>
                <c:pt idx="7">
                  <c:v>2012</c:v>
                </c:pt>
                <c:pt idx="8">
                  <c:v>2013</c:v>
                </c:pt>
              </c:strCache>
            </c:strRef>
          </c:cat>
          <c:val>
            <c:numRef>
              <c:f>Yemen!$D$6:$D$14</c:f>
              <c:numCache>
                <c:formatCode>_-* #,##0_-;\-* #,##0_-;_-* "-"??_-;_-@_-</c:formatCode>
                <c:ptCount val="9"/>
                <c:pt idx="0">
                  <c:v>12.362871378148172</c:v>
                </c:pt>
                <c:pt idx="1">
                  <c:v>5.684716857371912</c:v>
                </c:pt>
                <c:pt idx="2">
                  <c:v>6.2612251664778533</c:v>
                </c:pt>
                <c:pt idx="3">
                  <c:v>3.7597166109456537</c:v>
                </c:pt>
                <c:pt idx="4">
                  <c:v>3.6631694660437448</c:v>
                </c:pt>
                <c:pt idx="5">
                  <c:v>11.82315810237696</c:v>
                </c:pt>
                <c:pt idx="6">
                  <c:v>15.820612403675749</c:v>
                </c:pt>
                <c:pt idx="7">
                  <c:v>14.996192851919755</c:v>
                </c:pt>
                <c:pt idx="8">
                  <c:v>13.424817894998265</c:v>
                </c:pt>
              </c:numCache>
            </c:numRef>
          </c:val>
          <c:smooth val="0"/>
        </c:ser>
        <c:ser>
          <c:idx val="3"/>
          <c:order val="2"/>
          <c:tx>
            <c:v>Travel</c:v>
          </c:tx>
          <c:spPr>
            <a:ln w="28575">
              <a:solidFill>
                <a:schemeClr val="bg1">
                  <a:lumMod val="50000"/>
                </a:schemeClr>
              </a:solidFill>
            </a:ln>
          </c:spPr>
          <c:marker>
            <c:symbol val="none"/>
          </c:marker>
          <c:cat>
            <c:strRef>
              <c:f>Yemen!$A$6:$A$14</c:f>
              <c:strCache>
                <c:ptCount val="9"/>
                <c:pt idx="0">
                  <c:v>2005</c:v>
                </c:pt>
                <c:pt idx="1">
                  <c:v>2006</c:v>
                </c:pt>
                <c:pt idx="2">
                  <c:v>2007</c:v>
                </c:pt>
                <c:pt idx="3">
                  <c:v>2008</c:v>
                </c:pt>
                <c:pt idx="4">
                  <c:v>2009</c:v>
                </c:pt>
                <c:pt idx="5">
                  <c:v>2010</c:v>
                </c:pt>
                <c:pt idx="6">
                  <c:v>2011</c:v>
                </c:pt>
                <c:pt idx="7">
                  <c:v>2012</c:v>
                </c:pt>
                <c:pt idx="8">
                  <c:v>2013</c:v>
                </c:pt>
              </c:strCache>
            </c:strRef>
          </c:cat>
          <c:val>
            <c:numRef>
              <c:f>Yemen!$E$6:$E$14</c:f>
              <c:numCache>
                <c:formatCode>_-* #,##0_-;\-* #,##0_-;_-* "-"??_-;_-@_-</c:formatCode>
                <c:ptCount val="9"/>
                <c:pt idx="0">
                  <c:v>48.564583870247283</c:v>
                </c:pt>
                <c:pt idx="1">
                  <c:v>32.927629181546536</c:v>
                </c:pt>
                <c:pt idx="2">
                  <c:v>58.716255422618879</c:v>
                </c:pt>
                <c:pt idx="3">
                  <c:v>73.501961988037266</c:v>
                </c:pt>
                <c:pt idx="4">
                  <c:v>72.665254853780368</c:v>
                </c:pt>
                <c:pt idx="5">
                  <c:v>71.567708847026339</c:v>
                </c:pt>
                <c:pt idx="6">
                  <c:v>61.546522069162513</c:v>
                </c:pt>
                <c:pt idx="7">
                  <c:v>53.767766254087768</c:v>
                </c:pt>
                <c:pt idx="8">
                  <c:v>54.472857198728754</c:v>
                </c:pt>
              </c:numCache>
            </c:numRef>
          </c:val>
          <c:smooth val="0"/>
        </c:ser>
        <c:dLbls>
          <c:showLegendKey val="0"/>
          <c:showVal val="0"/>
          <c:showCatName val="0"/>
          <c:showSerName val="0"/>
          <c:showPercent val="0"/>
          <c:showBubbleSize val="0"/>
        </c:dLbls>
        <c:marker val="1"/>
        <c:smooth val="0"/>
        <c:axId val="107686144"/>
        <c:axId val="107692032"/>
      </c:lineChart>
      <c:catAx>
        <c:axId val="107686144"/>
        <c:scaling>
          <c:orientation val="minMax"/>
        </c:scaling>
        <c:delete val="0"/>
        <c:axPos val="b"/>
        <c:majorTickMark val="out"/>
        <c:minorTickMark val="none"/>
        <c:tickLblPos val="nextTo"/>
        <c:crossAx val="107692032"/>
        <c:crosses val="autoZero"/>
        <c:auto val="1"/>
        <c:lblAlgn val="ctr"/>
        <c:lblOffset val="100"/>
        <c:noMultiLvlLbl val="0"/>
      </c:catAx>
      <c:valAx>
        <c:axId val="107692032"/>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0768614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6"/>
          <c:order val="0"/>
          <c:tx>
            <c:v>Other</c:v>
          </c:tx>
          <c:spPr>
            <a:solidFill>
              <a:srgbClr val="FF00FF"/>
            </a:solidFill>
            <a:ln w="25400">
              <a:noFill/>
            </a:ln>
          </c:spPr>
          <c:invertIfNegative val="0"/>
          <c:xVal>
            <c:numRef>
              <c:f>'Rel. prod. cf employment'!$B$63</c:f>
              <c:numCache>
                <c:formatCode>#,##0.0_ ;\-#,##0.0\ </c:formatCode>
                <c:ptCount val="1"/>
                <c:pt idx="0">
                  <c:v>-0.81720280539408563</c:v>
                </c:pt>
              </c:numCache>
            </c:numRef>
          </c:xVal>
          <c:yVal>
            <c:numRef>
              <c:f>'Rel. prod. cf employment'!$C$63</c:f>
              <c:numCache>
                <c:formatCode>#,##0.0_ ;\-#,##0.0\ </c:formatCode>
                <c:ptCount val="1"/>
                <c:pt idx="0">
                  <c:v>0.78954909769318071</c:v>
                </c:pt>
              </c:numCache>
            </c:numRef>
          </c:yVal>
          <c:bubbleSize>
            <c:numRef>
              <c:f>'Rel. prod. cf employment'!$E$63</c:f>
              <c:numCache>
                <c:formatCode>#,##0_ ;\-#,##0\ </c:formatCode>
                <c:ptCount val="1"/>
                <c:pt idx="0">
                  <c:v>1603</c:v>
                </c:pt>
              </c:numCache>
            </c:numRef>
          </c:bubbleSize>
          <c:bubble3D val="1"/>
        </c:ser>
        <c:ser>
          <c:idx val="0"/>
          <c:order val="1"/>
          <c:tx>
            <c:v>Agriculture</c:v>
          </c:tx>
          <c:spPr>
            <a:solidFill>
              <a:srgbClr val="13CF44"/>
            </a:solidFill>
          </c:spPr>
          <c:invertIfNegative val="0"/>
          <c:xVal>
            <c:numRef>
              <c:f>'Rel. prod. cf employment'!$B$57</c:f>
              <c:numCache>
                <c:formatCode>#,##0.0_ ;\-#,##0.0\ </c:formatCode>
                <c:ptCount val="1"/>
                <c:pt idx="0">
                  <c:v>2.1029147379408002</c:v>
                </c:pt>
              </c:numCache>
            </c:numRef>
          </c:xVal>
          <c:yVal>
            <c:numRef>
              <c:f>'Rel. prod. cf employment'!$C$57</c:f>
              <c:numCache>
                <c:formatCode>#,##0.0_ ;\-#,##0.0\ </c:formatCode>
                <c:ptCount val="1"/>
                <c:pt idx="0">
                  <c:v>0.50735182324238692</c:v>
                </c:pt>
              </c:numCache>
            </c:numRef>
          </c:yVal>
          <c:bubbleSize>
            <c:numRef>
              <c:f>'Rel. prod. cf employment'!$E$57</c:f>
              <c:numCache>
                <c:formatCode>#,##0_ ;\-#,##0\ </c:formatCode>
                <c:ptCount val="1"/>
                <c:pt idx="0">
                  <c:v>1537</c:v>
                </c:pt>
              </c:numCache>
            </c:numRef>
          </c:bubbleSize>
          <c:bubble3D val="1"/>
        </c:ser>
        <c:ser>
          <c:idx val="1"/>
          <c:order val="2"/>
          <c:tx>
            <c:v>Mining &amp; utilities</c:v>
          </c:tx>
          <c:spPr>
            <a:solidFill>
              <a:srgbClr val="000000"/>
            </a:solidFill>
            <a:ln w="25400">
              <a:noFill/>
            </a:ln>
          </c:spPr>
          <c:invertIfNegative val="0"/>
          <c:xVal>
            <c:numRef>
              <c:f>'Rel. prod. cf employment'!$B$58</c:f>
              <c:numCache>
                <c:formatCode>#,##0.0_ ;\-#,##0.0\ </c:formatCode>
                <c:ptCount val="1"/>
                <c:pt idx="0">
                  <c:v>1.7622610489061552E-2</c:v>
                </c:pt>
              </c:numCache>
            </c:numRef>
          </c:xVal>
          <c:yVal>
            <c:numRef>
              <c:f>'Rel. prod. cf employment'!$C$58</c:f>
              <c:numCache>
                <c:formatCode>#,##0.0_ ;\-#,##0.0\ </c:formatCode>
                <c:ptCount val="1"/>
                <c:pt idx="0">
                  <c:v>11.854505232877628</c:v>
                </c:pt>
              </c:numCache>
            </c:numRef>
          </c:yVal>
          <c:bubbleSize>
            <c:numRef>
              <c:f>'Rel. prod. cf employment'!$E$58</c:f>
              <c:numCache>
                <c:formatCode>#,##0_ ;\-#,##0\ </c:formatCode>
                <c:ptCount val="1"/>
                <c:pt idx="0">
                  <c:v>100</c:v>
                </c:pt>
              </c:numCache>
            </c:numRef>
          </c:bubbleSize>
          <c:bubble3D val="1"/>
        </c:ser>
        <c:ser>
          <c:idx val="2"/>
          <c:order val="3"/>
          <c:tx>
            <c:v>Manufacturing</c:v>
          </c:tx>
          <c:spPr>
            <a:solidFill>
              <a:srgbClr val="CC6600"/>
            </a:solidFill>
            <a:ln w="25400">
              <a:noFill/>
            </a:ln>
          </c:spPr>
          <c:invertIfNegative val="0"/>
          <c:xVal>
            <c:numRef>
              <c:f>'Rel. prod. cf employment'!$B$59</c:f>
              <c:numCache>
                <c:formatCode>#,##0.0_ ;\-#,##0.0\ </c:formatCode>
                <c:ptCount val="1"/>
                <c:pt idx="0">
                  <c:v>0.42630898868178679</c:v>
                </c:pt>
              </c:numCache>
            </c:numRef>
          </c:xVal>
          <c:yVal>
            <c:numRef>
              <c:f>'Rel. prod. cf employment'!$C$59</c:f>
              <c:numCache>
                <c:formatCode>#,##0.0_ ;\-#,##0.0\ </c:formatCode>
                <c:ptCount val="1"/>
                <c:pt idx="0">
                  <c:v>0.9679323374658112</c:v>
                </c:pt>
              </c:numCache>
            </c:numRef>
          </c:yVal>
          <c:bubbleSize>
            <c:numRef>
              <c:f>'Rel. prod. cf employment'!$E$59</c:f>
              <c:numCache>
                <c:formatCode>#,##0_ ;\-#,##0\ </c:formatCode>
                <c:ptCount val="1"/>
                <c:pt idx="0">
                  <c:v>413</c:v>
                </c:pt>
              </c:numCache>
            </c:numRef>
          </c:bubbleSize>
          <c:bubble3D val="1"/>
        </c:ser>
        <c:ser>
          <c:idx val="3"/>
          <c:order val="4"/>
          <c:tx>
            <c:v>Construction</c:v>
          </c:tx>
          <c:spPr>
            <a:solidFill>
              <a:srgbClr val="FFFF00"/>
            </a:solidFill>
            <a:ln w="25400">
              <a:noFill/>
            </a:ln>
          </c:spPr>
          <c:invertIfNegative val="0"/>
          <c:xVal>
            <c:numRef>
              <c:f>'Rel. prod. cf employment'!$B$60</c:f>
              <c:numCache>
                <c:formatCode>#,##0.0_ ;\-#,##0.0\ </c:formatCode>
                <c:ptCount val="1"/>
                <c:pt idx="0">
                  <c:v>-1.053277805550966</c:v>
                </c:pt>
              </c:numCache>
            </c:numRef>
          </c:xVal>
          <c:yVal>
            <c:numRef>
              <c:f>'Rel. prod. cf employment'!$C$60</c:f>
              <c:numCache>
                <c:formatCode>#,##0.0_ ;\-#,##0.0\ </c:formatCode>
                <c:ptCount val="1"/>
                <c:pt idx="0">
                  <c:v>0.57314710600615371</c:v>
                </c:pt>
              </c:numCache>
            </c:numRef>
          </c:yVal>
          <c:bubbleSize>
            <c:numRef>
              <c:f>'Rel. prod. cf employment'!$E$60</c:f>
              <c:numCache>
                <c:formatCode>#,##0_ ;\-#,##0\ </c:formatCode>
                <c:ptCount val="1"/>
                <c:pt idx="0">
                  <c:v>568</c:v>
                </c:pt>
              </c:numCache>
            </c:numRef>
          </c:bubbleSize>
          <c:bubble3D val="1"/>
        </c:ser>
        <c:ser>
          <c:idx val="4"/>
          <c:order val="5"/>
          <c:tx>
            <c:v>Wholesale, retail, hotels</c:v>
          </c:tx>
          <c:spPr>
            <a:solidFill>
              <a:srgbClr val="6666FF"/>
            </a:solidFill>
            <a:ln w="25400">
              <a:noFill/>
            </a:ln>
          </c:spPr>
          <c:invertIfNegative val="0"/>
          <c:xVal>
            <c:numRef>
              <c:f>'Rel. prod. cf employment'!$B$61</c:f>
              <c:numCache>
                <c:formatCode>#,##0.0_ ;\-#,##0.0\ </c:formatCode>
                <c:ptCount val="1"/>
                <c:pt idx="0">
                  <c:v>-0.34403963570874296</c:v>
                </c:pt>
              </c:numCache>
            </c:numRef>
          </c:xVal>
          <c:yVal>
            <c:numRef>
              <c:f>'Rel. prod. cf employment'!$C$61</c:f>
              <c:numCache>
                <c:formatCode>#,##0.0_ ;\-#,##0.0\ </c:formatCode>
                <c:ptCount val="1"/>
                <c:pt idx="0">
                  <c:v>0.85428795067347663</c:v>
                </c:pt>
              </c:numCache>
            </c:numRef>
          </c:yVal>
          <c:bubbleSize>
            <c:numRef>
              <c:f>'Rel. prod. cf employment'!$E$61</c:f>
              <c:numCache>
                <c:formatCode>#,##0_ ;\-#,##0\ </c:formatCode>
                <c:ptCount val="1"/>
                <c:pt idx="0">
                  <c:v>1281</c:v>
                </c:pt>
              </c:numCache>
            </c:numRef>
          </c:bubbleSize>
          <c:bubble3D val="1"/>
        </c:ser>
        <c:ser>
          <c:idx val="5"/>
          <c:order val="6"/>
          <c:tx>
            <c:v>Transport, storage, comms</c:v>
          </c:tx>
          <c:spPr>
            <a:solidFill>
              <a:srgbClr val="66FFFF"/>
            </a:solidFill>
            <a:ln w="25400">
              <a:noFill/>
            </a:ln>
          </c:spPr>
          <c:invertIfNegative val="0"/>
          <c:xVal>
            <c:numRef>
              <c:f>'Rel. prod. cf employment'!$B$62</c:f>
              <c:numCache>
                <c:formatCode>#,##0.0_ ;\-#,##0.0\ </c:formatCode>
                <c:ptCount val="1"/>
                <c:pt idx="0">
                  <c:v>-0.33232609045785289</c:v>
                </c:pt>
              </c:numCache>
            </c:numRef>
          </c:xVal>
          <c:yVal>
            <c:numRef>
              <c:f>'Rel. prod. cf employment'!$C$62</c:f>
              <c:numCache>
                <c:formatCode>#,##0.0_ ;\-#,##0.0\ </c:formatCode>
                <c:ptCount val="1"/>
                <c:pt idx="0">
                  <c:v>2.240263858211323</c:v>
                </c:pt>
              </c:numCache>
            </c:numRef>
          </c:yVal>
          <c:bubbleSize>
            <c:numRef>
              <c:f>'Rel. prod. cf employment'!$E$62</c:f>
              <c:numCache>
                <c:formatCode>#,##0_ ;\-#,##0\ </c:formatCode>
                <c:ptCount val="1"/>
                <c:pt idx="0">
                  <c:v>364</c:v>
                </c:pt>
              </c:numCache>
            </c:numRef>
          </c:bubbleSize>
          <c:bubble3D val="1"/>
        </c:ser>
        <c:dLbls>
          <c:showLegendKey val="0"/>
          <c:showVal val="0"/>
          <c:showCatName val="0"/>
          <c:showSerName val="0"/>
          <c:showPercent val="0"/>
          <c:showBubbleSize val="0"/>
        </c:dLbls>
        <c:bubbleScale val="100"/>
        <c:showNegBubbles val="0"/>
        <c:axId val="98947456"/>
        <c:axId val="98949376"/>
      </c:bubbleChart>
      <c:valAx>
        <c:axId val="98947456"/>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98949376"/>
        <c:crosses val="autoZero"/>
        <c:crossBetween val="midCat"/>
      </c:valAx>
      <c:valAx>
        <c:axId val="98949376"/>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894745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2.0099762395121602E-2</c:v>
                </c:pt>
                <c:pt idx="1">
                  <c:v>2.8050806342627063E-2</c:v>
                </c:pt>
                <c:pt idx="2">
                  <c:v>3.0772647715211175E-2</c:v>
                </c:pt>
                <c:pt idx="3">
                  <c:v>-4.6810354523036959E-2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1.3653051807934267E-2</c:v>
                </c:pt>
                <c:pt idx="1">
                  <c:v>-2.8024217464659038E-2</c:v>
                </c:pt>
                <c:pt idx="2">
                  <c:v>-3.3443449134592761E-2</c:v>
                </c:pt>
                <c:pt idx="3">
                  <c:v>-1.4949097178216783E-2</c:v>
                </c:pt>
              </c:numCache>
            </c:numRef>
          </c:val>
        </c:ser>
        <c:dLbls>
          <c:showLegendKey val="0"/>
          <c:showVal val="0"/>
          <c:showCatName val="0"/>
          <c:showSerName val="0"/>
          <c:showPercent val="0"/>
          <c:showBubbleSize val="0"/>
        </c:dLbls>
        <c:gapWidth val="150"/>
        <c:overlap val="100"/>
        <c:axId val="98988416"/>
        <c:axId val="98989952"/>
      </c:barChart>
      <c:catAx>
        <c:axId val="98988416"/>
        <c:scaling>
          <c:orientation val="minMax"/>
        </c:scaling>
        <c:delete val="0"/>
        <c:axPos val="b"/>
        <c:majorTickMark val="out"/>
        <c:minorTickMark val="none"/>
        <c:tickLblPos val="low"/>
        <c:crossAx val="98989952"/>
        <c:crosses val="autoZero"/>
        <c:auto val="1"/>
        <c:lblAlgn val="ctr"/>
        <c:lblOffset val="100"/>
        <c:noMultiLvlLbl val="0"/>
      </c:catAx>
      <c:valAx>
        <c:axId val="98989952"/>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898841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13.100920559154449</c:v>
                </c:pt>
                <c:pt idx="3">
                  <c:v>26.201841118308899</c:v>
                </c:pt>
                <c:pt idx="4">
                  <c:v>26.201841118308899</c:v>
                </c:pt>
                <c:pt idx="5">
                  <c:v>31.04330037504262</c:v>
                </c:pt>
                <c:pt idx="6">
                  <c:v>35.88475963177634</c:v>
                </c:pt>
                <c:pt idx="7">
                  <c:v>35.88475963177634</c:v>
                </c:pt>
                <c:pt idx="8">
                  <c:v>49.548244118649848</c:v>
                </c:pt>
                <c:pt idx="9">
                  <c:v>63.211728605523355</c:v>
                </c:pt>
                <c:pt idx="10">
                  <c:v>63.211728605523355</c:v>
                </c:pt>
                <c:pt idx="11">
                  <c:v>74.130583020797815</c:v>
                </c:pt>
                <c:pt idx="12">
                  <c:v>85.049437436072282</c:v>
                </c:pt>
                <c:pt idx="13">
                  <c:v>85.049437436072282</c:v>
                </c:pt>
                <c:pt idx="14">
                  <c:v>88.569723832253658</c:v>
                </c:pt>
                <c:pt idx="15">
                  <c:v>92.090010228435048</c:v>
                </c:pt>
                <c:pt idx="16">
                  <c:v>92.090010228435048</c:v>
                </c:pt>
                <c:pt idx="17">
                  <c:v>95.192635526764406</c:v>
                </c:pt>
                <c:pt idx="18">
                  <c:v>98.295260825093749</c:v>
                </c:pt>
                <c:pt idx="19">
                  <c:v>98.295260825093749</c:v>
                </c:pt>
                <c:pt idx="20">
                  <c:v>99.147630412546874</c:v>
                </c:pt>
                <c:pt idx="21">
                  <c:v>100</c:v>
                </c:pt>
              </c:numCache>
            </c:numRef>
          </c:cat>
          <c:val>
            <c:numRef>
              <c:f>'Productivity gaps'!$I$6:$I$27</c:f>
              <c:numCache>
                <c:formatCode>#,##0.0</c:formatCode>
                <c:ptCount val="22"/>
                <c:pt idx="0" formatCode="General">
                  <c:v>0</c:v>
                </c:pt>
                <c:pt idx="1">
                  <c:v>0.50735182324238692</c:v>
                </c:pt>
                <c:pt idx="2">
                  <c:v>0.50735182324238692</c:v>
                </c:pt>
                <c:pt idx="3">
                  <c:v>0.50735182324238692</c:v>
                </c:pt>
                <c:pt idx="4" formatCode="General">
                  <c:v>0</c:v>
                </c:pt>
              </c:numCache>
            </c:numRef>
          </c:val>
        </c:ser>
        <c:ser>
          <c:idx val="1"/>
          <c:order val="1"/>
          <c:tx>
            <c:strRef>
              <c:f>'Productivity gaps'!$J$5</c:f>
              <c:strCache>
                <c:ptCount val="1"/>
                <c:pt idx="0">
                  <c:v>Construction</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13.100920559154449</c:v>
                </c:pt>
                <c:pt idx="3">
                  <c:v>26.201841118308899</c:v>
                </c:pt>
                <c:pt idx="4">
                  <c:v>26.201841118308899</c:v>
                </c:pt>
                <c:pt idx="5">
                  <c:v>31.04330037504262</c:v>
                </c:pt>
                <c:pt idx="6">
                  <c:v>35.88475963177634</c:v>
                </c:pt>
                <c:pt idx="7">
                  <c:v>35.88475963177634</c:v>
                </c:pt>
                <c:pt idx="8">
                  <c:v>49.548244118649848</c:v>
                </c:pt>
                <c:pt idx="9">
                  <c:v>63.211728605523355</c:v>
                </c:pt>
                <c:pt idx="10">
                  <c:v>63.211728605523355</c:v>
                </c:pt>
                <c:pt idx="11">
                  <c:v>74.130583020797815</c:v>
                </c:pt>
                <c:pt idx="12">
                  <c:v>85.049437436072282</c:v>
                </c:pt>
                <c:pt idx="13">
                  <c:v>85.049437436072282</c:v>
                </c:pt>
                <c:pt idx="14">
                  <c:v>88.569723832253658</c:v>
                </c:pt>
                <c:pt idx="15">
                  <c:v>92.090010228435048</c:v>
                </c:pt>
                <c:pt idx="16">
                  <c:v>92.090010228435048</c:v>
                </c:pt>
                <c:pt idx="17">
                  <c:v>95.192635526764406</c:v>
                </c:pt>
                <c:pt idx="18">
                  <c:v>98.295260825093749</c:v>
                </c:pt>
                <c:pt idx="19">
                  <c:v>98.295260825093749</c:v>
                </c:pt>
                <c:pt idx="20">
                  <c:v>99.147630412546874</c:v>
                </c:pt>
                <c:pt idx="21">
                  <c:v>100</c:v>
                </c:pt>
              </c:numCache>
            </c:numRef>
          </c:cat>
          <c:val>
            <c:numRef>
              <c:f>'Productivity gaps'!$J$6:$J$27</c:f>
              <c:numCache>
                <c:formatCode>General</c:formatCode>
                <c:ptCount val="22"/>
                <c:pt idx="3">
                  <c:v>0</c:v>
                </c:pt>
                <c:pt idx="4" formatCode="#,##0.000">
                  <c:v>0.57314710600615371</c:v>
                </c:pt>
                <c:pt idx="5" formatCode="#,##0.000">
                  <c:v>0.57314710600615371</c:v>
                </c:pt>
                <c:pt idx="6" formatCode="#,##0.000">
                  <c:v>0.57314710600615371</c:v>
                </c:pt>
                <c:pt idx="7">
                  <c:v>0</c:v>
                </c:pt>
              </c:numCache>
            </c:numRef>
          </c:val>
        </c:ser>
        <c:ser>
          <c:idx val="2"/>
          <c:order val="2"/>
          <c:tx>
            <c:strRef>
              <c:f>'Productivity gaps'!$K$5</c:f>
              <c:strCache>
                <c:ptCount val="1"/>
                <c:pt idx="0">
                  <c:v>Other</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13.100920559154449</c:v>
                </c:pt>
                <c:pt idx="3">
                  <c:v>26.201841118308899</c:v>
                </c:pt>
                <c:pt idx="4">
                  <c:v>26.201841118308899</c:v>
                </c:pt>
                <c:pt idx="5">
                  <c:v>31.04330037504262</c:v>
                </c:pt>
                <c:pt idx="6">
                  <c:v>35.88475963177634</c:v>
                </c:pt>
                <c:pt idx="7">
                  <c:v>35.88475963177634</c:v>
                </c:pt>
                <c:pt idx="8">
                  <c:v>49.548244118649848</c:v>
                </c:pt>
                <c:pt idx="9">
                  <c:v>63.211728605523355</c:v>
                </c:pt>
                <c:pt idx="10">
                  <c:v>63.211728605523355</c:v>
                </c:pt>
                <c:pt idx="11">
                  <c:v>74.130583020797815</c:v>
                </c:pt>
                <c:pt idx="12">
                  <c:v>85.049437436072282</c:v>
                </c:pt>
                <c:pt idx="13">
                  <c:v>85.049437436072282</c:v>
                </c:pt>
                <c:pt idx="14">
                  <c:v>88.569723832253658</c:v>
                </c:pt>
                <c:pt idx="15">
                  <c:v>92.090010228435048</c:v>
                </c:pt>
                <c:pt idx="16">
                  <c:v>92.090010228435048</c:v>
                </c:pt>
                <c:pt idx="17">
                  <c:v>95.192635526764406</c:v>
                </c:pt>
                <c:pt idx="18">
                  <c:v>98.295260825093749</c:v>
                </c:pt>
                <c:pt idx="19">
                  <c:v>98.295260825093749</c:v>
                </c:pt>
                <c:pt idx="20">
                  <c:v>99.147630412546874</c:v>
                </c:pt>
                <c:pt idx="21">
                  <c:v>100</c:v>
                </c:pt>
              </c:numCache>
            </c:numRef>
          </c:cat>
          <c:val>
            <c:numRef>
              <c:f>'Productivity gaps'!$K$6:$K$27</c:f>
              <c:numCache>
                <c:formatCode>General</c:formatCode>
                <c:ptCount val="22"/>
                <c:pt idx="6">
                  <c:v>0</c:v>
                </c:pt>
                <c:pt idx="7" formatCode="#,##0.000">
                  <c:v>0.78954909769318071</c:v>
                </c:pt>
                <c:pt idx="8" formatCode="#,##0.000">
                  <c:v>0.78954909769318071</c:v>
                </c:pt>
                <c:pt idx="9" formatCode="#,##0.000">
                  <c:v>0.78954909769318071</c:v>
                </c:pt>
                <c:pt idx="10">
                  <c:v>0</c:v>
                </c:pt>
              </c:numCache>
            </c:numRef>
          </c:val>
        </c:ser>
        <c:ser>
          <c:idx val="3"/>
          <c:order val="3"/>
          <c:tx>
            <c:strRef>
              <c:f>'Productivity gaps'!$L$5</c:f>
              <c:strCache>
                <c:ptCount val="1"/>
                <c:pt idx="0">
                  <c:v>Wholesale, retail, hotels</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13.100920559154449</c:v>
                </c:pt>
                <c:pt idx="3">
                  <c:v>26.201841118308899</c:v>
                </c:pt>
                <c:pt idx="4">
                  <c:v>26.201841118308899</c:v>
                </c:pt>
                <c:pt idx="5">
                  <c:v>31.04330037504262</c:v>
                </c:pt>
                <c:pt idx="6">
                  <c:v>35.88475963177634</c:v>
                </c:pt>
                <c:pt idx="7">
                  <c:v>35.88475963177634</c:v>
                </c:pt>
                <c:pt idx="8">
                  <c:v>49.548244118649848</c:v>
                </c:pt>
                <c:pt idx="9">
                  <c:v>63.211728605523355</c:v>
                </c:pt>
                <c:pt idx="10">
                  <c:v>63.211728605523355</c:v>
                </c:pt>
                <c:pt idx="11">
                  <c:v>74.130583020797815</c:v>
                </c:pt>
                <c:pt idx="12">
                  <c:v>85.049437436072282</c:v>
                </c:pt>
                <c:pt idx="13">
                  <c:v>85.049437436072282</c:v>
                </c:pt>
                <c:pt idx="14">
                  <c:v>88.569723832253658</c:v>
                </c:pt>
                <c:pt idx="15">
                  <c:v>92.090010228435048</c:v>
                </c:pt>
                <c:pt idx="16">
                  <c:v>92.090010228435048</c:v>
                </c:pt>
                <c:pt idx="17">
                  <c:v>95.192635526764406</c:v>
                </c:pt>
                <c:pt idx="18">
                  <c:v>98.295260825093749</c:v>
                </c:pt>
                <c:pt idx="19">
                  <c:v>98.295260825093749</c:v>
                </c:pt>
                <c:pt idx="20">
                  <c:v>99.147630412546874</c:v>
                </c:pt>
                <c:pt idx="21">
                  <c:v>100</c:v>
                </c:pt>
              </c:numCache>
            </c:numRef>
          </c:cat>
          <c:val>
            <c:numRef>
              <c:f>'Productivity gaps'!$L$6:$L$27</c:f>
              <c:numCache>
                <c:formatCode>General</c:formatCode>
                <c:ptCount val="22"/>
                <c:pt idx="9">
                  <c:v>0</c:v>
                </c:pt>
                <c:pt idx="10" formatCode="#,##0.0">
                  <c:v>0.85428795067347663</c:v>
                </c:pt>
                <c:pt idx="11" formatCode="#,##0.0">
                  <c:v>0.85428795067347663</c:v>
                </c:pt>
                <c:pt idx="12" formatCode="#,##0.0">
                  <c:v>0.85428795067347663</c:v>
                </c:pt>
                <c:pt idx="13">
                  <c:v>0</c:v>
                </c:pt>
              </c:numCache>
            </c:numRef>
          </c:val>
        </c:ser>
        <c:ser>
          <c:idx val="4"/>
          <c:order val="4"/>
          <c:tx>
            <c:strRef>
              <c:f>'Productivity gaps'!$M$5</c:f>
              <c:strCache>
                <c:ptCount val="1"/>
                <c:pt idx="0">
                  <c:v>Manufacturing</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13.100920559154449</c:v>
                </c:pt>
                <c:pt idx="3">
                  <c:v>26.201841118308899</c:v>
                </c:pt>
                <c:pt idx="4">
                  <c:v>26.201841118308899</c:v>
                </c:pt>
                <c:pt idx="5">
                  <c:v>31.04330037504262</c:v>
                </c:pt>
                <c:pt idx="6">
                  <c:v>35.88475963177634</c:v>
                </c:pt>
                <c:pt idx="7">
                  <c:v>35.88475963177634</c:v>
                </c:pt>
                <c:pt idx="8">
                  <c:v>49.548244118649848</c:v>
                </c:pt>
                <c:pt idx="9">
                  <c:v>63.211728605523355</c:v>
                </c:pt>
                <c:pt idx="10">
                  <c:v>63.211728605523355</c:v>
                </c:pt>
                <c:pt idx="11">
                  <c:v>74.130583020797815</c:v>
                </c:pt>
                <c:pt idx="12">
                  <c:v>85.049437436072282</c:v>
                </c:pt>
                <c:pt idx="13">
                  <c:v>85.049437436072282</c:v>
                </c:pt>
                <c:pt idx="14">
                  <c:v>88.569723832253658</c:v>
                </c:pt>
                <c:pt idx="15">
                  <c:v>92.090010228435048</c:v>
                </c:pt>
                <c:pt idx="16">
                  <c:v>92.090010228435048</c:v>
                </c:pt>
                <c:pt idx="17">
                  <c:v>95.192635526764406</c:v>
                </c:pt>
                <c:pt idx="18">
                  <c:v>98.295260825093749</c:v>
                </c:pt>
                <c:pt idx="19">
                  <c:v>98.295260825093749</c:v>
                </c:pt>
                <c:pt idx="20">
                  <c:v>99.147630412546874</c:v>
                </c:pt>
                <c:pt idx="21">
                  <c:v>100</c:v>
                </c:pt>
              </c:numCache>
            </c:numRef>
          </c:cat>
          <c:val>
            <c:numRef>
              <c:f>'Productivity gaps'!$M$6:$M$27</c:f>
              <c:numCache>
                <c:formatCode>General</c:formatCode>
                <c:ptCount val="22"/>
                <c:pt idx="12">
                  <c:v>0</c:v>
                </c:pt>
                <c:pt idx="13" formatCode="#,##0.0">
                  <c:v>0.9679323374658112</c:v>
                </c:pt>
                <c:pt idx="14" formatCode="#,##0.0">
                  <c:v>0.9679323374658112</c:v>
                </c:pt>
                <c:pt idx="15" formatCode="#,##0.0">
                  <c:v>0.9679323374658112</c:v>
                </c:pt>
                <c:pt idx="16">
                  <c:v>0</c:v>
                </c:pt>
              </c:numCache>
            </c:numRef>
          </c:val>
        </c:ser>
        <c:ser>
          <c:idx val="5"/>
          <c:order val="5"/>
          <c:tx>
            <c:strRef>
              <c:f>'Productivity gaps'!$N$5</c:f>
              <c:strCache>
                <c:ptCount val="1"/>
                <c:pt idx="0">
                  <c:v>Transport, storage, comms</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13.100920559154449</c:v>
                </c:pt>
                <c:pt idx="3">
                  <c:v>26.201841118308899</c:v>
                </c:pt>
                <c:pt idx="4">
                  <c:v>26.201841118308899</c:v>
                </c:pt>
                <c:pt idx="5">
                  <c:v>31.04330037504262</c:v>
                </c:pt>
                <c:pt idx="6">
                  <c:v>35.88475963177634</c:v>
                </c:pt>
                <c:pt idx="7">
                  <c:v>35.88475963177634</c:v>
                </c:pt>
                <c:pt idx="8">
                  <c:v>49.548244118649848</c:v>
                </c:pt>
                <c:pt idx="9">
                  <c:v>63.211728605523355</c:v>
                </c:pt>
                <c:pt idx="10">
                  <c:v>63.211728605523355</c:v>
                </c:pt>
                <c:pt idx="11">
                  <c:v>74.130583020797815</c:v>
                </c:pt>
                <c:pt idx="12">
                  <c:v>85.049437436072282</c:v>
                </c:pt>
                <c:pt idx="13">
                  <c:v>85.049437436072282</c:v>
                </c:pt>
                <c:pt idx="14">
                  <c:v>88.569723832253658</c:v>
                </c:pt>
                <c:pt idx="15">
                  <c:v>92.090010228435048</c:v>
                </c:pt>
                <c:pt idx="16">
                  <c:v>92.090010228435048</c:v>
                </c:pt>
                <c:pt idx="17">
                  <c:v>95.192635526764406</c:v>
                </c:pt>
                <c:pt idx="18">
                  <c:v>98.295260825093749</c:v>
                </c:pt>
                <c:pt idx="19">
                  <c:v>98.295260825093749</c:v>
                </c:pt>
                <c:pt idx="20">
                  <c:v>99.147630412546874</c:v>
                </c:pt>
                <c:pt idx="21">
                  <c:v>100</c:v>
                </c:pt>
              </c:numCache>
            </c:numRef>
          </c:cat>
          <c:val>
            <c:numRef>
              <c:f>'Productivity gaps'!$N$6:$N$27</c:f>
              <c:numCache>
                <c:formatCode>General</c:formatCode>
                <c:ptCount val="22"/>
                <c:pt idx="15">
                  <c:v>0</c:v>
                </c:pt>
                <c:pt idx="16" formatCode="#,##0.0">
                  <c:v>2.240263858211323</c:v>
                </c:pt>
                <c:pt idx="17" formatCode="#,##0.0">
                  <c:v>2.240263858211323</c:v>
                </c:pt>
                <c:pt idx="18" formatCode="#,##0.0">
                  <c:v>2.240263858211323</c:v>
                </c:pt>
                <c:pt idx="19">
                  <c:v>0</c:v>
                </c:pt>
              </c:numCache>
            </c:numRef>
          </c:val>
        </c:ser>
        <c:ser>
          <c:idx val="6"/>
          <c:order val="6"/>
          <c:tx>
            <c:strRef>
              <c:f>'Productivity gaps'!$O$5</c:f>
              <c:strCache>
                <c:ptCount val="1"/>
                <c:pt idx="0">
                  <c:v>Mining &amp; utilities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13.100920559154449</c:v>
                </c:pt>
                <c:pt idx="3">
                  <c:v>26.201841118308899</c:v>
                </c:pt>
                <c:pt idx="4">
                  <c:v>26.201841118308899</c:v>
                </c:pt>
                <c:pt idx="5">
                  <c:v>31.04330037504262</c:v>
                </c:pt>
                <c:pt idx="6">
                  <c:v>35.88475963177634</c:v>
                </c:pt>
                <c:pt idx="7">
                  <c:v>35.88475963177634</c:v>
                </c:pt>
                <c:pt idx="8">
                  <c:v>49.548244118649848</c:v>
                </c:pt>
                <c:pt idx="9">
                  <c:v>63.211728605523355</c:v>
                </c:pt>
                <c:pt idx="10">
                  <c:v>63.211728605523355</c:v>
                </c:pt>
                <c:pt idx="11">
                  <c:v>74.130583020797815</c:v>
                </c:pt>
                <c:pt idx="12">
                  <c:v>85.049437436072282</c:v>
                </c:pt>
                <c:pt idx="13">
                  <c:v>85.049437436072282</c:v>
                </c:pt>
                <c:pt idx="14">
                  <c:v>88.569723832253658</c:v>
                </c:pt>
                <c:pt idx="15">
                  <c:v>92.090010228435048</c:v>
                </c:pt>
                <c:pt idx="16">
                  <c:v>92.090010228435048</c:v>
                </c:pt>
                <c:pt idx="17">
                  <c:v>95.192635526764406</c:v>
                </c:pt>
                <c:pt idx="18">
                  <c:v>98.295260825093749</c:v>
                </c:pt>
                <c:pt idx="19">
                  <c:v>98.295260825093749</c:v>
                </c:pt>
                <c:pt idx="20">
                  <c:v>99.147630412546874</c:v>
                </c:pt>
                <c:pt idx="21">
                  <c:v>100</c:v>
                </c:pt>
              </c:numCache>
            </c:numRef>
          </c:cat>
          <c:val>
            <c:numRef>
              <c:f>'Productivity gaps'!$O$6:$O$27</c:f>
              <c:numCache>
                <c:formatCode>General</c:formatCode>
                <c:ptCount val="22"/>
                <c:pt idx="18">
                  <c:v>0</c:v>
                </c:pt>
                <c:pt idx="19" formatCode="#,##0.0">
                  <c:v>11.854505232877628</c:v>
                </c:pt>
                <c:pt idx="20" formatCode="#,##0.0">
                  <c:v>11.854505232877628</c:v>
                </c:pt>
                <c:pt idx="21" formatCode="#,##0.0">
                  <c:v>11.854505232877628</c:v>
                </c:pt>
              </c:numCache>
            </c:numRef>
          </c:val>
        </c:ser>
        <c:dLbls>
          <c:showLegendKey val="0"/>
          <c:showVal val="0"/>
          <c:showCatName val="0"/>
          <c:showSerName val="0"/>
          <c:showPercent val="0"/>
          <c:showBubbleSize val="0"/>
        </c:dLbls>
        <c:axId val="99107584"/>
        <c:axId val="99109504"/>
      </c:areaChart>
      <c:dateAx>
        <c:axId val="99107584"/>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99109504"/>
        <c:crosses val="autoZero"/>
        <c:auto val="0"/>
        <c:lblOffset val="100"/>
        <c:baseTimeUnit val="days"/>
        <c:majorUnit val="10"/>
        <c:majorTimeUnit val="days"/>
      </c:dateAx>
      <c:valAx>
        <c:axId val="99109504"/>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99107584"/>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45.686725616455078</c:v>
                </c:pt>
                <c:pt idx="1">
                  <c:v>40.508052825927734</c:v>
                </c:pt>
                <c:pt idx="2">
                  <c:v>36.472484588623047</c:v>
                </c:pt>
                <c:pt idx="3">
                  <c:v>34.271480560302734</c:v>
                </c:pt>
                <c:pt idx="4">
                  <c:v>33.55267333984375</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14.714110374450684</c:v>
                </c:pt>
                <c:pt idx="1">
                  <c:v>14.469200134277344</c:v>
                </c:pt>
                <c:pt idx="2">
                  <c:v>16.094247817993164</c:v>
                </c:pt>
                <c:pt idx="3">
                  <c:v>16.753223419189453</c:v>
                </c:pt>
                <c:pt idx="4">
                  <c:v>16.968189239501953</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39.599159240722656</c:v>
                </c:pt>
                <c:pt idx="1">
                  <c:v>45.022739410400391</c:v>
                </c:pt>
                <c:pt idx="2">
                  <c:v>47.433269500732422</c:v>
                </c:pt>
                <c:pt idx="3">
                  <c:v>48.975292205810547</c:v>
                </c:pt>
                <c:pt idx="4">
                  <c:v>49.479137420654297</c:v>
                </c:pt>
              </c:numCache>
            </c:numRef>
          </c:val>
        </c:ser>
        <c:dLbls>
          <c:showLegendKey val="0"/>
          <c:showVal val="0"/>
          <c:showCatName val="0"/>
          <c:showSerName val="0"/>
          <c:showPercent val="0"/>
          <c:showBubbleSize val="0"/>
        </c:dLbls>
        <c:gapWidth val="150"/>
        <c:overlap val="100"/>
        <c:axId val="99133696"/>
        <c:axId val="99151872"/>
      </c:barChart>
      <c:catAx>
        <c:axId val="99133696"/>
        <c:scaling>
          <c:orientation val="minMax"/>
        </c:scaling>
        <c:delete val="0"/>
        <c:axPos val="b"/>
        <c:numFmt formatCode="0" sourceLinked="1"/>
        <c:majorTickMark val="out"/>
        <c:minorTickMark val="none"/>
        <c:tickLblPos val="nextTo"/>
        <c:crossAx val="99151872"/>
        <c:crosses val="autoZero"/>
        <c:auto val="1"/>
        <c:lblAlgn val="ctr"/>
        <c:lblOffset val="100"/>
        <c:noMultiLvlLbl val="0"/>
      </c:catAx>
      <c:valAx>
        <c:axId val="99151872"/>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9913369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84.157196044921875</c:v>
                </c:pt>
                <c:pt idx="1">
                  <c:v>88.615837097167969</c:v>
                </c:pt>
                <c:pt idx="2">
                  <c:v>89.290458679199219</c:v>
                </c:pt>
                <c:pt idx="3">
                  <c:v>89.582069396972656</c:v>
                </c:pt>
                <c:pt idx="4">
                  <c:v>89.670768737792969</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2.2471814155578613</c:v>
                </c:pt>
                <c:pt idx="1">
                  <c:v>2.1096789836883545</c:v>
                </c:pt>
                <c:pt idx="2">
                  <c:v>1.5508478879928589</c:v>
                </c:pt>
                <c:pt idx="3">
                  <c:v>1.3327326774597168</c:v>
                </c:pt>
                <c:pt idx="4">
                  <c:v>1.2682226896286011</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13.595624923706055</c:v>
                </c:pt>
                <c:pt idx="1">
                  <c:v>9.2744827270507813</c:v>
                </c:pt>
                <c:pt idx="2">
                  <c:v>9.1586885452270508</c:v>
                </c:pt>
                <c:pt idx="3">
                  <c:v>9.0851993560791016</c:v>
                </c:pt>
                <c:pt idx="4">
                  <c:v>9.0610084533691406</c:v>
                </c:pt>
              </c:numCache>
            </c:numRef>
          </c:val>
        </c:ser>
        <c:dLbls>
          <c:showLegendKey val="0"/>
          <c:showVal val="0"/>
          <c:showCatName val="0"/>
          <c:showSerName val="0"/>
          <c:showPercent val="0"/>
          <c:showBubbleSize val="0"/>
        </c:dLbls>
        <c:gapWidth val="150"/>
        <c:overlap val="100"/>
        <c:axId val="103109760"/>
        <c:axId val="103111296"/>
      </c:barChart>
      <c:catAx>
        <c:axId val="103109760"/>
        <c:scaling>
          <c:orientation val="minMax"/>
        </c:scaling>
        <c:delete val="0"/>
        <c:axPos val="b"/>
        <c:numFmt formatCode="0" sourceLinked="1"/>
        <c:majorTickMark val="out"/>
        <c:minorTickMark val="none"/>
        <c:tickLblPos val="nextTo"/>
        <c:crossAx val="103111296"/>
        <c:crosses val="autoZero"/>
        <c:auto val="1"/>
        <c:lblAlgn val="ctr"/>
        <c:lblOffset val="100"/>
        <c:noMultiLvlLbl val="0"/>
      </c:catAx>
      <c:valAx>
        <c:axId val="103111296"/>
        <c:scaling>
          <c:orientation val="minMax"/>
        </c:scaling>
        <c:delete val="1"/>
        <c:axPos val="l"/>
        <c:majorGridlines/>
        <c:numFmt formatCode="0%" sourceLinked="1"/>
        <c:majorTickMark val="out"/>
        <c:minorTickMark val="none"/>
        <c:tickLblPos val="nextTo"/>
        <c:crossAx val="10310976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0.7738266175609807</c:v>
                </c:pt>
                <c:pt idx="1">
                  <c:v>0.68689530948126842</c:v>
                </c:pt>
                <c:pt idx="2">
                  <c:v>0.64371331504402196</c:v>
                </c:pt>
                <c:pt idx="3">
                  <c:v>0.6278171331343082</c:v>
                </c:pt>
                <c:pt idx="4">
                  <c:v>0.61449130100972038</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0.22617338243901935</c:v>
                </c:pt>
                <c:pt idx="1">
                  <c:v>0.31310474862363996</c:v>
                </c:pt>
                <c:pt idx="2">
                  <c:v>0.35628668495597804</c:v>
                </c:pt>
                <c:pt idx="3">
                  <c:v>0.37218243588898209</c:v>
                </c:pt>
                <c:pt idx="4">
                  <c:v>0.38550897963520164</c:v>
                </c:pt>
              </c:numCache>
            </c:numRef>
          </c:val>
        </c:ser>
        <c:dLbls>
          <c:showLegendKey val="0"/>
          <c:showVal val="0"/>
          <c:showCatName val="0"/>
          <c:showSerName val="0"/>
          <c:showPercent val="0"/>
          <c:showBubbleSize val="0"/>
        </c:dLbls>
        <c:gapWidth val="150"/>
        <c:axId val="103124352"/>
        <c:axId val="103150720"/>
      </c:barChart>
      <c:catAx>
        <c:axId val="103124352"/>
        <c:scaling>
          <c:orientation val="minMax"/>
        </c:scaling>
        <c:delete val="0"/>
        <c:axPos val="b"/>
        <c:numFmt formatCode="General" sourceLinked="1"/>
        <c:majorTickMark val="out"/>
        <c:minorTickMark val="none"/>
        <c:tickLblPos val="nextTo"/>
        <c:crossAx val="103150720"/>
        <c:crosses val="autoZero"/>
        <c:auto val="1"/>
        <c:lblAlgn val="ctr"/>
        <c:lblOffset val="100"/>
        <c:noMultiLvlLbl val="0"/>
      </c:catAx>
      <c:valAx>
        <c:axId val="103150720"/>
        <c:scaling>
          <c:orientation val="minMax"/>
          <c:max val="1"/>
        </c:scaling>
        <c:delete val="0"/>
        <c:axPos val="l"/>
        <c:majorGridlines/>
        <c:numFmt formatCode="0%" sourceLinked="1"/>
        <c:majorTickMark val="out"/>
        <c:minorTickMark val="none"/>
        <c:tickLblPos val="nextTo"/>
        <c:crossAx val="10312435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2.xml><?xml version="1.0" encoding="utf-8"?>
<ds:datastoreItem xmlns:ds="http://schemas.openxmlformats.org/officeDocument/2006/customXml" ds:itemID="{6246B467-BBAA-4B3F-AFAF-DBD6B681CB41}">
  <ds:schemaRefs>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infopath/2007/PartnerControls"/>
    <ds:schemaRef ds:uri="57b417f7-d786-4243-a30f-6aa963038fea"/>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A3FC9C8C-8641-44C2-9A75-C852EFC81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B7712-BE09-4EC7-AB37-C211AE2A8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28</Pages>
  <Words>4514</Words>
  <Characters>25730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30184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16</cp:revision>
  <cp:lastPrinted>2014-12-19T14:18:00Z</cp:lastPrinted>
  <dcterms:created xsi:type="dcterms:W3CDTF">2015-01-06T19:21:00Z</dcterms:created>
  <dcterms:modified xsi:type="dcterms:W3CDTF">2015-08-31T10:30:00Z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