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7d4baef98abb469f"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FDBA94" w14:textId="77777777" w:rsidR="00F515DA" w:rsidRPr="00B12AEC" w:rsidRDefault="00EA21D5" w:rsidP="00B12AEC">
      <w:pPr>
        <w:pStyle w:val="BodyText"/>
        <w:jc w:val="left"/>
        <w:rPr>
          <w:rFonts w:asciiTheme="majorHAnsi" w:hAnsiTheme="majorHAnsi" w:cstheme="majorHAnsi"/>
          <w:b/>
          <w:color w:val="006C67" w:themeColor="accent1"/>
          <w:sz w:val="80"/>
          <w:szCs w:val="80"/>
        </w:rPr>
      </w:pPr>
      <w:bookmarkStart w:id="0" w:name="_GoBack"/>
      <w:bookmarkEnd w:id="0"/>
      <w:r w:rsidRPr="00B12AEC">
        <w:rPr>
          <w:rFonts w:asciiTheme="majorHAnsi" w:hAnsiTheme="majorHAnsi" w:cstheme="majorHAnsi"/>
          <w:b/>
          <w:color w:val="006C67" w:themeColor="accent1"/>
          <w:sz w:val="80"/>
          <w:szCs w:val="80"/>
        </w:rPr>
        <w:t>Tanzania</w:t>
      </w:r>
      <w:proofErr w:type="gramStart"/>
      <w:r w:rsidR="005C6F94" w:rsidRPr="00B12AEC">
        <w:rPr>
          <w:rFonts w:asciiTheme="majorHAnsi" w:hAnsiTheme="majorHAnsi" w:cstheme="majorHAnsi"/>
          <w:b/>
          <w:color w:val="006C67" w:themeColor="accent1"/>
          <w:sz w:val="80"/>
          <w:szCs w:val="80"/>
        </w:rPr>
        <w:t>:</w:t>
      </w:r>
      <w:proofErr w:type="gramEnd"/>
      <w:r w:rsidR="005C6F94" w:rsidRPr="00B12AEC">
        <w:rPr>
          <w:rFonts w:asciiTheme="majorHAnsi" w:hAnsiTheme="majorHAnsi" w:cstheme="majorHAnsi"/>
          <w:b/>
          <w:color w:val="006C67" w:themeColor="accent1"/>
          <w:sz w:val="80"/>
          <w:szCs w:val="80"/>
        </w:rPr>
        <w:br/>
      </w:r>
      <w:r w:rsidR="00F515DA" w:rsidRPr="00B12AEC">
        <w:rPr>
          <w:rFonts w:asciiTheme="majorHAnsi" w:hAnsiTheme="majorHAnsi" w:cstheme="majorHAnsi"/>
          <w:b/>
          <w:color w:val="006C67" w:themeColor="accent1"/>
          <w:sz w:val="80"/>
          <w:szCs w:val="80"/>
        </w:rPr>
        <w:t>Data on economic transformation</w:t>
      </w:r>
    </w:p>
    <w:p w14:paraId="0E4E1104" w14:textId="77777777" w:rsidR="00CA1C90" w:rsidRDefault="00CA1C90">
      <w:pPr>
        <w:pStyle w:val="TOC1"/>
        <w:rPr>
          <w:rFonts w:cs="Arial"/>
        </w:rPr>
      </w:pPr>
    </w:p>
    <w:p w14:paraId="5D5B2BF8" w14:textId="77777777" w:rsidR="00232104" w:rsidRDefault="00104401">
      <w:pPr>
        <w:pStyle w:val="TOC1"/>
        <w:rPr>
          <w:rFonts w:asciiTheme="minorHAnsi" w:eastAsiaTheme="minorEastAsia" w:hAnsiTheme="minorHAnsi" w:cstheme="minorBidi"/>
          <w:b w:val="0"/>
          <w:noProof/>
          <w:color w:val="auto"/>
          <w:sz w:val="22"/>
          <w:lang w:eastAsia="en-GB"/>
        </w:rPr>
      </w:pPr>
      <w:r w:rsidRPr="00D67539">
        <w:rPr>
          <w:rFonts w:cs="Arial"/>
        </w:rPr>
        <w:fldChar w:fldCharType="begin"/>
      </w:r>
      <w:r w:rsidRPr="00D67539">
        <w:rPr>
          <w:rFonts w:cs="Arial"/>
        </w:rPr>
        <w:instrText xml:space="preserve"> TOC \o "1-2" \t "Table Heading,3,Figure Heading,3" </w:instrText>
      </w:r>
      <w:r w:rsidRPr="00D67539">
        <w:rPr>
          <w:rFonts w:cs="Arial"/>
        </w:rPr>
        <w:fldChar w:fldCharType="separate"/>
      </w:r>
      <w:r w:rsidR="00232104">
        <w:rPr>
          <w:noProof/>
        </w:rPr>
        <w:t>Economic structures</w:t>
      </w:r>
      <w:r w:rsidR="00232104">
        <w:rPr>
          <w:noProof/>
        </w:rPr>
        <w:tab/>
      </w:r>
      <w:r w:rsidR="00232104">
        <w:rPr>
          <w:noProof/>
        </w:rPr>
        <w:fldChar w:fldCharType="begin"/>
      </w:r>
      <w:r w:rsidR="00232104">
        <w:rPr>
          <w:noProof/>
        </w:rPr>
        <w:instrText xml:space="preserve"> PAGEREF _Toc428435122 \h </w:instrText>
      </w:r>
      <w:r w:rsidR="00232104">
        <w:rPr>
          <w:noProof/>
        </w:rPr>
      </w:r>
      <w:r w:rsidR="00232104">
        <w:rPr>
          <w:noProof/>
        </w:rPr>
        <w:fldChar w:fldCharType="separate"/>
      </w:r>
      <w:r w:rsidR="00232104">
        <w:rPr>
          <w:noProof/>
        </w:rPr>
        <w:t>1</w:t>
      </w:r>
      <w:r w:rsidR="00232104">
        <w:rPr>
          <w:noProof/>
        </w:rPr>
        <w:fldChar w:fldCharType="end"/>
      </w:r>
    </w:p>
    <w:p w14:paraId="0DB2AF87" w14:textId="48F7B391" w:rsidR="00232104" w:rsidRDefault="00232104" w:rsidP="00232104">
      <w:pPr>
        <w:pStyle w:val="TOC3"/>
        <w:rPr>
          <w:rFonts w:asciiTheme="minorHAnsi" w:eastAsiaTheme="minorEastAsia" w:hAnsiTheme="minorHAnsi" w:cstheme="minorBidi"/>
          <w:noProof/>
          <w:sz w:val="22"/>
          <w:lang w:eastAsia="en-GB"/>
        </w:rPr>
      </w:pPr>
      <w:r>
        <w:rPr>
          <w:noProof/>
        </w:rPr>
        <w:t xml:space="preserve">Table 1. GDP, employment and relative productivity levels, Tanzania, 1961–2010 </w:t>
      </w:r>
      <w:r>
        <w:rPr>
          <w:noProof/>
        </w:rPr>
        <w:br/>
        <w:t>(GGDC Africa sector database data)</w:t>
      </w:r>
      <w:r>
        <w:rPr>
          <w:noProof/>
        </w:rPr>
        <w:tab/>
      </w:r>
      <w:r>
        <w:rPr>
          <w:noProof/>
        </w:rPr>
        <w:fldChar w:fldCharType="begin"/>
      </w:r>
      <w:r>
        <w:rPr>
          <w:noProof/>
        </w:rPr>
        <w:instrText xml:space="preserve"> PAGEREF _Toc428435123 \h </w:instrText>
      </w:r>
      <w:r>
        <w:rPr>
          <w:noProof/>
        </w:rPr>
      </w:r>
      <w:r>
        <w:rPr>
          <w:noProof/>
        </w:rPr>
        <w:fldChar w:fldCharType="separate"/>
      </w:r>
      <w:r>
        <w:rPr>
          <w:noProof/>
        </w:rPr>
        <w:t>1</w:t>
      </w:r>
      <w:r>
        <w:rPr>
          <w:noProof/>
        </w:rPr>
        <w:fldChar w:fldCharType="end"/>
      </w:r>
    </w:p>
    <w:p w14:paraId="1B047528" w14:textId="3D7F5200" w:rsidR="00232104" w:rsidRDefault="00232104" w:rsidP="00232104">
      <w:pPr>
        <w:pStyle w:val="TOC3"/>
        <w:rPr>
          <w:rFonts w:asciiTheme="minorHAnsi" w:eastAsiaTheme="minorEastAsia" w:hAnsiTheme="minorHAnsi" w:cstheme="minorBidi"/>
          <w:noProof/>
          <w:sz w:val="22"/>
          <w:lang w:eastAsia="en-GB"/>
        </w:rPr>
      </w:pPr>
      <w:r>
        <w:rPr>
          <w:noProof/>
        </w:rPr>
        <w:t xml:space="preserve">Table 2. GDP, employment and relative productivity levels, Tanzania, 1991–2013 </w:t>
      </w:r>
      <w:r>
        <w:rPr>
          <w:noProof/>
        </w:rPr>
        <w:br/>
        <w:t xml:space="preserve">(UNSD/ILO WESO data)   </w:t>
      </w:r>
      <w:r w:rsidRPr="0051520E">
        <w:rPr>
          <w:noProof/>
          <w:color w:val="FF0000"/>
        </w:rPr>
        <w:t>NEW</w:t>
      </w:r>
      <w:r>
        <w:rPr>
          <w:noProof/>
        </w:rPr>
        <w:tab/>
      </w:r>
      <w:r>
        <w:rPr>
          <w:noProof/>
        </w:rPr>
        <w:fldChar w:fldCharType="begin"/>
      </w:r>
      <w:r>
        <w:rPr>
          <w:noProof/>
        </w:rPr>
        <w:instrText xml:space="preserve"> PAGEREF _Toc428435124 \h </w:instrText>
      </w:r>
      <w:r>
        <w:rPr>
          <w:noProof/>
        </w:rPr>
      </w:r>
      <w:r>
        <w:rPr>
          <w:noProof/>
        </w:rPr>
        <w:fldChar w:fldCharType="separate"/>
      </w:r>
      <w:r>
        <w:rPr>
          <w:noProof/>
        </w:rPr>
        <w:t>2</w:t>
      </w:r>
      <w:r>
        <w:rPr>
          <w:noProof/>
        </w:rPr>
        <w:fldChar w:fldCharType="end"/>
      </w:r>
    </w:p>
    <w:p w14:paraId="150F5254" w14:textId="5879A94F" w:rsidR="00232104" w:rsidRDefault="00232104" w:rsidP="00232104">
      <w:pPr>
        <w:pStyle w:val="TOC3"/>
        <w:rPr>
          <w:rFonts w:asciiTheme="minorHAnsi" w:eastAsiaTheme="minorEastAsia" w:hAnsiTheme="minorHAnsi" w:cstheme="minorBidi"/>
          <w:noProof/>
          <w:sz w:val="22"/>
          <w:lang w:eastAsia="en-GB"/>
        </w:rPr>
      </w:pPr>
      <w:r>
        <w:rPr>
          <w:noProof/>
        </w:rPr>
        <w:t xml:space="preserve">Table 3. Labour productivity levels and changes Tanzania, 1961–2010 </w:t>
      </w:r>
      <w:r>
        <w:rPr>
          <w:noProof/>
        </w:rPr>
        <w:br/>
        <w:t>(GGDC Africa sector database data)</w:t>
      </w:r>
      <w:r>
        <w:rPr>
          <w:noProof/>
        </w:rPr>
        <w:tab/>
      </w:r>
      <w:r>
        <w:rPr>
          <w:noProof/>
        </w:rPr>
        <w:fldChar w:fldCharType="begin"/>
      </w:r>
      <w:r>
        <w:rPr>
          <w:noProof/>
        </w:rPr>
        <w:instrText xml:space="preserve"> PAGEREF _Toc428435125 \h </w:instrText>
      </w:r>
      <w:r>
        <w:rPr>
          <w:noProof/>
        </w:rPr>
      </w:r>
      <w:r>
        <w:rPr>
          <w:noProof/>
        </w:rPr>
        <w:fldChar w:fldCharType="separate"/>
      </w:r>
      <w:r>
        <w:rPr>
          <w:noProof/>
        </w:rPr>
        <w:t>3</w:t>
      </w:r>
      <w:r>
        <w:rPr>
          <w:noProof/>
        </w:rPr>
        <w:fldChar w:fldCharType="end"/>
      </w:r>
    </w:p>
    <w:p w14:paraId="07D62F58" w14:textId="2785459A" w:rsidR="00232104" w:rsidRDefault="00232104" w:rsidP="00232104">
      <w:pPr>
        <w:pStyle w:val="TOC3"/>
        <w:rPr>
          <w:rFonts w:asciiTheme="minorHAnsi" w:eastAsiaTheme="minorEastAsia" w:hAnsiTheme="minorHAnsi" w:cstheme="minorBidi"/>
          <w:noProof/>
          <w:sz w:val="22"/>
          <w:lang w:eastAsia="en-GB"/>
        </w:rPr>
      </w:pPr>
      <w:r>
        <w:rPr>
          <w:noProof/>
        </w:rPr>
        <w:t xml:space="preserve">Table 4. Labour productivity levels and changes, Tanzania, 1991–2013 </w:t>
      </w:r>
      <w:r>
        <w:rPr>
          <w:noProof/>
        </w:rPr>
        <w:br/>
        <w:t xml:space="preserve">(UNSD/ILO WESO data) </w:t>
      </w:r>
      <w:r>
        <w:rPr>
          <w:rFonts w:asciiTheme="minorHAnsi" w:eastAsiaTheme="minorEastAsia" w:hAnsiTheme="minorHAnsi" w:cstheme="minorBidi"/>
          <w:noProof/>
          <w:sz w:val="22"/>
          <w:lang w:eastAsia="en-GB"/>
        </w:rPr>
        <w:t xml:space="preserve">  </w:t>
      </w:r>
      <w:r w:rsidRPr="0051520E">
        <w:rPr>
          <w:noProof/>
          <w:color w:val="FF0000"/>
        </w:rPr>
        <w:t>NEW</w:t>
      </w:r>
      <w:r>
        <w:rPr>
          <w:noProof/>
        </w:rPr>
        <w:tab/>
      </w:r>
      <w:r>
        <w:rPr>
          <w:noProof/>
        </w:rPr>
        <w:fldChar w:fldCharType="begin"/>
      </w:r>
      <w:r>
        <w:rPr>
          <w:noProof/>
        </w:rPr>
        <w:instrText xml:space="preserve"> PAGEREF _Toc428435126 \h </w:instrText>
      </w:r>
      <w:r>
        <w:rPr>
          <w:noProof/>
        </w:rPr>
      </w:r>
      <w:r>
        <w:rPr>
          <w:noProof/>
        </w:rPr>
        <w:fldChar w:fldCharType="separate"/>
      </w:r>
      <w:r>
        <w:rPr>
          <w:noProof/>
        </w:rPr>
        <w:t>4</w:t>
      </w:r>
      <w:r>
        <w:rPr>
          <w:noProof/>
        </w:rPr>
        <w:fldChar w:fldCharType="end"/>
      </w:r>
    </w:p>
    <w:p w14:paraId="3EE2F9BE" w14:textId="3ECBFC3D" w:rsidR="00232104" w:rsidRDefault="00232104" w:rsidP="00232104">
      <w:pPr>
        <w:pStyle w:val="TOC3"/>
        <w:rPr>
          <w:rFonts w:asciiTheme="minorHAnsi" w:eastAsiaTheme="minorEastAsia" w:hAnsiTheme="minorHAnsi" w:cstheme="minorBidi"/>
          <w:noProof/>
          <w:sz w:val="22"/>
          <w:lang w:eastAsia="en-GB"/>
        </w:rPr>
      </w:pPr>
      <w:r>
        <w:rPr>
          <w:noProof/>
        </w:rPr>
        <w:t xml:space="preserve">Figure 1. Relative productivity and changes in employment shares by sector, Tanzania </w:t>
      </w:r>
      <w:r>
        <w:rPr>
          <w:noProof/>
        </w:rPr>
        <w:br/>
        <w:t>(GGDC Africa sector database data)</w:t>
      </w:r>
      <w:r>
        <w:rPr>
          <w:noProof/>
        </w:rPr>
        <w:tab/>
      </w:r>
      <w:r>
        <w:rPr>
          <w:noProof/>
        </w:rPr>
        <w:fldChar w:fldCharType="begin"/>
      </w:r>
      <w:r>
        <w:rPr>
          <w:noProof/>
        </w:rPr>
        <w:instrText xml:space="preserve"> PAGEREF _Toc428435127 \h </w:instrText>
      </w:r>
      <w:r>
        <w:rPr>
          <w:noProof/>
        </w:rPr>
      </w:r>
      <w:r>
        <w:rPr>
          <w:noProof/>
        </w:rPr>
        <w:fldChar w:fldCharType="separate"/>
      </w:r>
      <w:r>
        <w:rPr>
          <w:noProof/>
        </w:rPr>
        <w:t>5</w:t>
      </w:r>
      <w:r>
        <w:rPr>
          <w:noProof/>
        </w:rPr>
        <w:fldChar w:fldCharType="end"/>
      </w:r>
    </w:p>
    <w:p w14:paraId="2493BF66" w14:textId="6ABE96A1" w:rsidR="00232104" w:rsidRDefault="00232104" w:rsidP="00232104">
      <w:pPr>
        <w:pStyle w:val="TOC3"/>
        <w:rPr>
          <w:rFonts w:asciiTheme="minorHAnsi" w:eastAsiaTheme="minorEastAsia" w:hAnsiTheme="minorHAnsi" w:cstheme="minorBidi"/>
          <w:noProof/>
          <w:sz w:val="22"/>
          <w:lang w:eastAsia="en-GB"/>
        </w:rPr>
      </w:pPr>
      <w:r>
        <w:rPr>
          <w:noProof/>
        </w:rPr>
        <w:t xml:space="preserve">Figure 2. Relative productivity and changes in employment shares by sector, Tanzania </w:t>
      </w:r>
      <w:r>
        <w:rPr>
          <w:noProof/>
        </w:rPr>
        <w:br/>
        <w:t xml:space="preserve">(UNSD/ILO WESO data)   </w:t>
      </w:r>
      <w:r w:rsidRPr="0051520E">
        <w:rPr>
          <w:noProof/>
          <w:color w:val="FF0000"/>
        </w:rPr>
        <w:t>NEW</w:t>
      </w:r>
      <w:r>
        <w:rPr>
          <w:noProof/>
        </w:rPr>
        <w:tab/>
      </w:r>
      <w:r>
        <w:rPr>
          <w:noProof/>
        </w:rPr>
        <w:fldChar w:fldCharType="begin"/>
      </w:r>
      <w:r>
        <w:rPr>
          <w:noProof/>
        </w:rPr>
        <w:instrText xml:space="preserve"> PAGEREF _Toc428435128 \h </w:instrText>
      </w:r>
      <w:r>
        <w:rPr>
          <w:noProof/>
        </w:rPr>
      </w:r>
      <w:r>
        <w:rPr>
          <w:noProof/>
        </w:rPr>
        <w:fldChar w:fldCharType="separate"/>
      </w:r>
      <w:r>
        <w:rPr>
          <w:noProof/>
        </w:rPr>
        <w:t>6</w:t>
      </w:r>
      <w:r>
        <w:rPr>
          <w:noProof/>
        </w:rPr>
        <w:fldChar w:fldCharType="end"/>
      </w:r>
    </w:p>
    <w:p w14:paraId="53226992" w14:textId="2CA59540" w:rsidR="00232104" w:rsidRDefault="00232104" w:rsidP="00232104">
      <w:pPr>
        <w:pStyle w:val="TOC3"/>
        <w:rPr>
          <w:rFonts w:asciiTheme="minorHAnsi" w:eastAsiaTheme="minorEastAsia" w:hAnsiTheme="minorHAnsi" w:cstheme="minorBidi"/>
          <w:noProof/>
          <w:sz w:val="22"/>
          <w:lang w:eastAsia="en-GB"/>
        </w:rPr>
      </w:pPr>
      <w:r>
        <w:rPr>
          <w:noProof/>
        </w:rPr>
        <w:t xml:space="preserve">Figure 3. Decomposition of labour productivity change, Tanzania, 1990–2010 </w:t>
      </w:r>
      <w:r>
        <w:rPr>
          <w:noProof/>
        </w:rPr>
        <w:br/>
        <w:t>(GGDC Africa sector database data)</w:t>
      </w:r>
      <w:r>
        <w:rPr>
          <w:noProof/>
        </w:rPr>
        <w:tab/>
      </w:r>
      <w:r>
        <w:rPr>
          <w:noProof/>
        </w:rPr>
        <w:fldChar w:fldCharType="begin"/>
      </w:r>
      <w:r>
        <w:rPr>
          <w:noProof/>
        </w:rPr>
        <w:instrText xml:space="preserve"> PAGEREF _Toc428435129 \h </w:instrText>
      </w:r>
      <w:r>
        <w:rPr>
          <w:noProof/>
        </w:rPr>
      </w:r>
      <w:r>
        <w:rPr>
          <w:noProof/>
        </w:rPr>
        <w:fldChar w:fldCharType="separate"/>
      </w:r>
      <w:r>
        <w:rPr>
          <w:noProof/>
        </w:rPr>
        <w:t>8</w:t>
      </w:r>
      <w:r>
        <w:rPr>
          <w:noProof/>
        </w:rPr>
        <w:fldChar w:fldCharType="end"/>
      </w:r>
    </w:p>
    <w:p w14:paraId="6A38E4BF" w14:textId="11B72383" w:rsidR="00232104" w:rsidRDefault="00232104" w:rsidP="00232104">
      <w:pPr>
        <w:pStyle w:val="TOC3"/>
        <w:rPr>
          <w:rFonts w:asciiTheme="minorHAnsi" w:eastAsiaTheme="minorEastAsia" w:hAnsiTheme="minorHAnsi" w:cstheme="minorBidi"/>
          <w:noProof/>
          <w:sz w:val="22"/>
          <w:lang w:eastAsia="en-GB"/>
        </w:rPr>
      </w:pPr>
      <w:r>
        <w:rPr>
          <w:noProof/>
        </w:rPr>
        <w:t xml:space="preserve">Figure 4. Decomposition of labour productivity change, Tanzania, 1991–2013 </w:t>
      </w:r>
      <w:r>
        <w:rPr>
          <w:noProof/>
        </w:rPr>
        <w:br/>
        <w:t xml:space="preserve">(UNSD/ILO WESO data)   </w:t>
      </w:r>
      <w:r w:rsidRPr="0051520E">
        <w:rPr>
          <w:noProof/>
          <w:color w:val="FF0000"/>
        </w:rPr>
        <w:t>NEW</w:t>
      </w:r>
      <w:r>
        <w:rPr>
          <w:noProof/>
        </w:rPr>
        <w:tab/>
      </w:r>
      <w:r>
        <w:rPr>
          <w:noProof/>
        </w:rPr>
        <w:fldChar w:fldCharType="begin"/>
      </w:r>
      <w:r>
        <w:rPr>
          <w:noProof/>
        </w:rPr>
        <w:instrText xml:space="preserve"> PAGEREF _Toc428435130 \h </w:instrText>
      </w:r>
      <w:r>
        <w:rPr>
          <w:noProof/>
        </w:rPr>
      </w:r>
      <w:r>
        <w:rPr>
          <w:noProof/>
        </w:rPr>
        <w:fldChar w:fldCharType="separate"/>
      </w:r>
      <w:r>
        <w:rPr>
          <w:noProof/>
        </w:rPr>
        <w:t>8</w:t>
      </w:r>
      <w:r>
        <w:rPr>
          <w:noProof/>
        </w:rPr>
        <w:fldChar w:fldCharType="end"/>
      </w:r>
    </w:p>
    <w:p w14:paraId="23AC6402" w14:textId="77777777" w:rsidR="00232104" w:rsidRDefault="00232104" w:rsidP="00232104">
      <w:pPr>
        <w:pStyle w:val="TOC3"/>
        <w:rPr>
          <w:rFonts w:asciiTheme="minorHAnsi" w:eastAsiaTheme="minorEastAsia" w:hAnsiTheme="minorHAnsi" w:cstheme="minorBidi"/>
          <w:noProof/>
          <w:sz w:val="22"/>
          <w:lang w:eastAsia="en-GB"/>
        </w:rPr>
      </w:pPr>
      <w:r>
        <w:rPr>
          <w:noProof/>
        </w:rPr>
        <w:t>Figure 5. Productivity gaps in Tanzania, 2010 (GGDC Africa sector database data)</w:t>
      </w:r>
      <w:r>
        <w:rPr>
          <w:noProof/>
        </w:rPr>
        <w:tab/>
      </w:r>
      <w:r>
        <w:rPr>
          <w:noProof/>
        </w:rPr>
        <w:fldChar w:fldCharType="begin"/>
      </w:r>
      <w:r>
        <w:rPr>
          <w:noProof/>
        </w:rPr>
        <w:instrText xml:space="preserve"> PAGEREF _Toc428435131 \h </w:instrText>
      </w:r>
      <w:r>
        <w:rPr>
          <w:noProof/>
        </w:rPr>
      </w:r>
      <w:r>
        <w:rPr>
          <w:noProof/>
        </w:rPr>
        <w:fldChar w:fldCharType="separate"/>
      </w:r>
      <w:r>
        <w:rPr>
          <w:noProof/>
        </w:rPr>
        <w:t>9</w:t>
      </w:r>
      <w:r>
        <w:rPr>
          <w:noProof/>
        </w:rPr>
        <w:fldChar w:fldCharType="end"/>
      </w:r>
    </w:p>
    <w:p w14:paraId="2785546E" w14:textId="7E32ECA7" w:rsidR="00232104" w:rsidRDefault="00232104" w:rsidP="00232104">
      <w:pPr>
        <w:pStyle w:val="TOC3"/>
        <w:rPr>
          <w:rFonts w:asciiTheme="minorHAnsi" w:eastAsiaTheme="minorEastAsia" w:hAnsiTheme="minorHAnsi" w:cstheme="minorBidi"/>
          <w:noProof/>
          <w:sz w:val="22"/>
          <w:lang w:eastAsia="en-GB"/>
        </w:rPr>
      </w:pPr>
      <w:r>
        <w:rPr>
          <w:noProof/>
        </w:rPr>
        <w:t xml:space="preserve">Figure 6. Productivity gaps in Tanzania, 2013 (UNSD/ILO WESO data)   </w:t>
      </w:r>
      <w:r w:rsidRPr="0051520E">
        <w:rPr>
          <w:noProof/>
          <w:color w:val="FF0000"/>
        </w:rPr>
        <w:t>NEW</w:t>
      </w:r>
      <w:r>
        <w:rPr>
          <w:noProof/>
        </w:rPr>
        <w:tab/>
      </w:r>
      <w:r>
        <w:rPr>
          <w:noProof/>
        </w:rPr>
        <w:fldChar w:fldCharType="begin"/>
      </w:r>
      <w:r>
        <w:rPr>
          <w:noProof/>
        </w:rPr>
        <w:instrText xml:space="preserve"> PAGEREF _Toc428435132 \h </w:instrText>
      </w:r>
      <w:r>
        <w:rPr>
          <w:noProof/>
        </w:rPr>
      </w:r>
      <w:r>
        <w:rPr>
          <w:noProof/>
        </w:rPr>
        <w:fldChar w:fldCharType="separate"/>
      </w:r>
      <w:r>
        <w:rPr>
          <w:noProof/>
        </w:rPr>
        <w:t>10</w:t>
      </w:r>
      <w:r>
        <w:rPr>
          <w:noProof/>
        </w:rPr>
        <w:fldChar w:fldCharType="end"/>
      </w:r>
    </w:p>
    <w:p w14:paraId="4104C02D" w14:textId="77777777" w:rsidR="00232104" w:rsidRDefault="00232104" w:rsidP="00232104">
      <w:pPr>
        <w:pStyle w:val="TOC3"/>
        <w:rPr>
          <w:rFonts w:asciiTheme="minorHAnsi" w:eastAsiaTheme="minorEastAsia" w:hAnsiTheme="minorHAnsi" w:cstheme="minorBidi"/>
          <w:noProof/>
          <w:sz w:val="22"/>
          <w:lang w:eastAsia="en-GB"/>
        </w:rPr>
      </w:pPr>
      <w:r>
        <w:rPr>
          <w:noProof/>
        </w:rPr>
        <w:t>Figure 7. Total employment by sex and broad sector, Tanzania (ILO GET data)</w:t>
      </w:r>
      <w:r>
        <w:rPr>
          <w:noProof/>
        </w:rPr>
        <w:tab/>
      </w:r>
      <w:r>
        <w:rPr>
          <w:noProof/>
        </w:rPr>
        <w:fldChar w:fldCharType="begin"/>
      </w:r>
      <w:r>
        <w:rPr>
          <w:noProof/>
        </w:rPr>
        <w:instrText xml:space="preserve"> PAGEREF _Toc428435133 \h </w:instrText>
      </w:r>
      <w:r>
        <w:rPr>
          <w:noProof/>
        </w:rPr>
      </w:r>
      <w:r>
        <w:rPr>
          <w:noProof/>
        </w:rPr>
        <w:fldChar w:fldCharType="separate"/>
      </w:r>
      <w:r>
        <w:rPr>
          <w:noProof/>
        </w:rPr>
        <w:t>11</w:t>
      </w:r>
      <w:r>
        <w:rPr>
          <w:noProof/>
        </w:rPr>
        <w:fldChar w:fldCharType="end"/>
      </w:r>
    </w:p>
    <w:p w14:paraId="6E4D4B5F" w14:textId="77777777" w:rsidR="00232104" w:rsidRDefault="00232104" w:rsidP="00232104">
      <w:pPr>
        <w:pStyle w:val="TOC3"/>
        <w:rPr>
          <w:rFonts w:asciiTheme="minorHAnsi" w:eastAsiaTheme="minorEastAsia" w:hAnsiTheme="minorHAnsi" w:cstheme="minorBidi"/>
          <w:noProof/>
          <w:sz w:val="22"/>
          <w:lang w:eastAsia="en-GB"/>
        </w:rPr>
      </w:pPr>
      <w:r>
        <w:rPr>
          <w:noProof/>
        </w:rPr>
        <w:t>Figure 8. Sectoral employment by sex, Tanzania (GGDC Africa sector database data)</w:t>
      </w:r>
      <w:r>
        <w:rPr>
          <w:noProof/>
        </w:rPr>
        <w:tab/>
      </w:r>
      <w:r>
        <w:rPr>
          <w:noProof/>
        </w:rPr>
        <w:fldChar w:fldCharType="begin"/>
      </w:r>
      <w:r>
        <w:rPr>
          <w:noProof/>
        </w:rPr>
        <w:instrText xml:space="preserve"> PAGEREF _Toc428435134 \h </w:instrText>
      </w:r>
      <w:r>
        <w:rPr>
          <w:noProof/>
        </w:rPr>
      </w:r>
      <w:r>
        <w:rPr>
          <w:noProof/>
        </w:rPr>
        <w:fldChar w:fldCharType="separate"/>
      </w:r>
      <w:r>
        <w:rPr>
          <w:noProof/>
        </w:rPr>
        <w:t>11</w:t>
      </w:r>
      <w:r>
        <w:rPr>
          <w:noProof/>
        </w:rPr>
        <w:fldChar w:fldCharType="end"/>
      </w:r>
    </w:p>
    <w:p w14:paraId="2651713A" w14:textId="5F47B4B0" w:rsidR="00232104" w:rsidRDefault="00232104" w:rsidP="00232104">
      <w:pPr>
        <w:pStyle w:val="TOC3"/>
        <w:rPr>
          <w:rFonts w:asciiTheme="minorHAnsi" w:eastAsiaTheme="minorEastAsia" w:hAnsiTheme="minorHAnsi" w:cstheme="minorBidi"/>
          <w:noProof/>
          <w:sz w:val="22"/>
          <w:lang w:eastAsia="en-GB"/>
        </w:rPr>
      </w:pPr>
      <w:r>
        <w:rPr>
          <w:noProof/>
        </w:rPr>
        <w:t xml:space="preserve">Figure 9. Sectoral employment by sex, Tanzania (ILO WESO data)   </w:t>
      </w:r>
      <w:r w:rsidRPr="0051520E">
        <w:rPr>
          <w:noProof/>
          <w:color w:val="FF0000"/>
        </w:rPr>
        <w:t>NEW</w:t>
      </w:r>
      <w:r>
        <w:rPr>
          <w:noProof/>
        </w:rPr>
        <w:tab/>
      </w:r>
      <w:r>
        <w:rPr>
          <w:noProof/>
        </w:rPr>
        <w:fldChar w:fldCharType="begin"/>
      </w:r>
      <w:r>
        <w:rPr>
          <w:noProof/>
        </w:rPr>
        <w:instrText xml:space="preserve"> PAGEREF _Toc428435135 \h </w:instrText>
      </w:r>
      <w:r>
        <w:rPr>
          <w:noProof/>
        </w:rPr>
      </w:r>
      <w:r>
        <w:rPr>
          <w:noProof/>
        </w:rPr>
        <w:fldChar w:fldCharType="separate"/>
      </w:r>
      <w:r>
        <w:rPr>
          <w:noProof/>
        </w:rPr>
        <w:t>13</w:t>
      </w:r>
      <w:r>
        <w:rPr>
          <w:noProof/>
        </w:rPr>
        <w:fldChar w:fldCharType="end"/>
      </w:r>
    </w:p>
    <w:p w14:paraId="1D717F56" w14:textId="77777777" w:rsidR="00232104" w:rsidRDefault="00232104" w:rsidP="00232104">
      <w:pPr>
        <w:pStyle w:val="TOC3"/>
        <w:rPr>
          <w:rFonts w:asciiTheme="minorHAnsi" w:eastAsiaTheme="minorEastAsia" w:hAnsiTheme="minorHAnsi" w:cstheme="minorBidi"/>
          <w:noProof/>
          <w:sz w:val="22"/>
          <w:lang w:eastAsia="en-GB"/>
        </w:rPr>
      </w:pPr>
      <w:r>
        <w:rPr>
          <w:noProof/>
        </w:rPr>
        <w:t>Figure 10. Percentage of workers (age 25+) in agriculture, Tanzania</w:t>
      </w:r>
      <w:r>
        <w:rPr>
          <w:noProof/>
        </w:rPr>
        <w:tab/>
      </w:r>
      <w:r>
        <w:rPr>
          <w:noProof/>
        </w:rPr>
        <w:fldChar w:fldCharType="begin"/>
      </w:r>
      <w:r>
        <w:rPr>
          <w:noProof/>
        </w:rPr>
        <w:instrText xml:space="preserve"> PAGEREF _Toc428435136 \h </w:instrText>
      </w:r>
      <w:r>
        <w:rPr>
          <w:noProof/>
        </w:rPr>
      </w:r>
      <w:r>
        <w:rPr>
          <w:noProof/>
        </w:rPr>
        <w:fldChar w:fldCharType="separate"/>
      </w:r>
      <w:r>
        <w:rPr>
          <w:noProof/>
        </w:rPr>
        <w:t>13</w:t>
      </w:r>
      <w:r>
        <w:rPr>
          <w:noProof/>
        </w:rPr>
        <w:fldChar w:fldCharType="end"/>
      </w:r>
    </w:p>
    <w:p w14:paraId="262EC1BD" w14:textId="77777777" w:rsidR="00232104" w:rsidRDefault="00232104">
      <w:pPr>
        <w:pStyle w:val="TOC1"/>
        <w:rPr>
          <w:rFonts w:asciiTheme="minorHAnsi" w:eastAsiaTheme="minorEastAsia" w:hAnsiTheme="minorHAnsi" w:cstheme="minorBidi"/>
          <w:b w:val="0"/>
          <w:noProof/>
          <w:color w:val="auto"/>
          <w:sz w:val="22"/>
          <w:lang w:eastAsia="en-GB"/>
        </w:rPr>
      </w:pPr>
      <w:r>
        <w:rPr>
          <w:noProof/>
        </w:rPr>
        <w:t>Trade</w:t>
      </w:r>
      <w:r>
        <w:rPr>
          <w:noProof/>
        </w:rPr>
        <w:tab/>
      </w:r>
      <w:r>
        <w:rPr>
          <w:noProof/>
        </w:rPr>
        <w:fldChar w:fldCharType="begin"/>
      </w:r>
      <w:r>
        <w:rPr>
          <w:noProof/>
        </w:rPr>
        <w:instrText xml:space="preserve"> PAGEREF _Toc428435137 \h </w:instrText>
      </w:r>
      <w:r>
        <w:rPr>
          <w:noProof/>
        </w:rPr>
      </w:r>
      <w:r>
        <w:rPr>
          <w:noProof/>
        </w:rPr>
        <w:fldChar w:fldCharType="separate"/>
      </w:r>
      <w:r>
        <w:rPr>
          <w:noProof/>
        </w:rPr>
        <w:t>14</w:t>
      </w:r>
      <w:r>
        <w:rPr>
          <w:noProof/>
        </w:rPr>
        <w:fldChar w:fldCharType="end"/>
      </w:r>
    </w:p>
    <w:p w14:paraId="6ACB2BAD" w14:textId="77777777" w:rsidR="00232104" w:rsidRDefault="00232104">
      <w:pPr>
        <w:pStyle w:val="TOC2"/>
        <w:rPr>
          <w:rFonts w:asciiTheme="minorHAnsi" w:eastAsiaTheme="minorEastAsia" w:hAnsiTheme="minorHAnsi" w:cstheme="minorBidi"/>
          <w:b w:val="0"/>
          <w:noProof/>
          <w:color w:val="auto"/>
          <w:sz w:val="22"/>
          <w:lang w:eastAsia="en-GB"/>
        </w:rPr>
      </w:pPr>
      <w:r>
        <w:rPr>
          <w:noProof/>
        </w:rPr>
        <w:t>Basic data</w:t>
      </w:r>
      <w:r>
        <w:rPr>
          <w:noProof/>
        </w:rPr>
        <w:tab/>
      </w:r>
      <w:r>
        <w:rPr>
          <w:noProof/>
        </w:rPr>
        <w:fldChar w:fldCharType="begin"/>
      </w:r>
      <w:r>
        <w:rPr>
          <w:noProof/>
        </w:rPr>
        <w:instrText xml:space="preserve"> PAGEREF _Toc428435138 \h </w:instrText>
      </w:r>
      <w:r>
        <w:rPr>
          <w:noProof/>
        </w:rPr>
      </w:r>
      <w:r>
        <w:rPr>
          <w:noProof/>
        </w:rPr>
        <w:fldChar w:fldCharType="separate"/>
      </w:r>
      <w:r>
        <w:rPr>
          <w:noProof/>
        </w:rPr>
        <w:t>14</w:t>
      </w:r>
      <w:r>
        <w:rPr>
          <w:noProof/>
        </w:rPr>
        <w:fldChar w:fldCharType="end"/>
      </w:r>
    </w:p>
    <w:p w14:paraId="0F5778A6" w14:textId="77777777" w:rsidR="00232104" w:rsidRDefault="00232104" w:rsidP="00232104">
      <w:pPr>
        <w:pStyle w:val="TOC3"/>
        <w:rPr>
          <w:rFonts w:asciiTheme="minorHAnsi" w:eastAsiaTheme="minorEastAsia" w:hAnsiTheme="minorHAnsi" w:cstheme="minorBidi"/>
          <w:noProof/>
          <w:sz w:val="22"/>
          <w:lang w:eastAsia="en-GB"/>
        </w:rPr>
      </w:pPr>
      <w:r>
        <w:rPr>
          <w:noProof/>
        </w:rPr>
        <w:t>Figure 11. Total value of trade, Tanzania, 2005–13</w:t>
      </w:r>
      <w:r>
        <w:rPr>
          <w:noProof/>
        </w:rPr>
        <w:tab/>
      </w:r>
      <w:r>
        <w:rPr>
          <w:noProof/>
        </w:rPr>
        <w:fldChar w:fldCharType="begin"/>
      </w:r>
      <w:r>
        <w:rPr>
          <w:noProof/>
        </w:rPr>
        <w:instrText xml:space="preserve"> PAGEREF _Toc428435139 \h </w:instrText>
      </w:r>
      <w:r>
        <w:rPr>
          <w:noProof/>
        </w:rPr>
      </w:r>
      <w:r>
        <w:rPr>
          <w:noProof/>
        </w:rPr>
        <w:fldChar w:fldCharType="separate"/>
      </w:r>
      <w:r>
        <w:rPr>
          <w:noProof/>
        </w:rPr>
        <w:t>14</w:t>
      </w:r>
      <w:r>
        <w:rPr>
          <w:noProof/>
        </w:rPr>
        <w:fldChar w:fldCharType="end"/>
      </w:r>
    </w:p>
    <w:p w14:paraId="29BC21E4" w14:textId="77777777" w:rsidR="00232104" w:rsidRDefault="00232104" w:rsidP="00232104">
      <w:pPr>
        <w:pStyle w:val="TOC3"/>
        <w:rPr>
          <w:rFonts w:asciiTheme="minorHAnsi" w:eastAsiaTheme="minorEastAsia" w:hAnsiTheme="minorHAnsi" w:cstheme="minorBidi"/>
          <w:noProof/>
          <w:sz w:val="22"/>
          <w:lang w:eastAsia="en-GB"/>
        </w:rPr>
      </w:pPr>
      <w:r>
        <w:rPr>
          <w:noProof/>
        </w:rPr>
        <w:t>Figure 12. Exports by broad HS Section, Tanzania, 2005–8 and 2009–13</w:t>
      </w:r>
      <w:r>
        <w:rPr>
          <w:noProof/>
        </w:rPr>
        <w:tab/>
      </w:r>
      <w:r>
        <w:rPr>
          <w:noProof/>
        </w:rPr>
        <w:fldChar w:fldCharType="begin"/>
      </w:r>
      <w:r>
        <w:rPr>
          <w:noProof/>
        </w:rPr>
        <w:instrText xml:space="preserve"> PAGEREF _Toc428435140 \h </w:instrText>
      </w:r>
      <w:r>
        <w:rPr>
          <w:noProof/>
        </w:rPr>
      </w:r>
      <w:r>
        <w:rPr>
          <w:noProof/>
        </w:rPr>
        <w:fldChar w:fldCharType="separate"/>
      </w:r>
      <w:r>
        <w:rPr>
          <w:noProof/>
        </w:rPr>
        <w:t>15</w:t>
      </w:r>
      <w:r>
        <w:rPr>
          <w:noProof/>
        </w:rPr>
        <w:fldChar w:fldCharType="end"/>
      </w:r>
    </w:p>
    <w:p w14:paraId="316CFA66" w14:textId="77777777" w:rsidR="00232104" w:rsidRDefault="00232104" w:rsidP="00232104">
      <w:pPr>
        <w:pStyle w:val="TOC3"/>
        <w:rPr>
          <w:rFonts w:asciiTheme="minorHAnsi" w:eastAsiaTheme="minorEastAsia" w:hAnsiTheme="minorHAnsi" w:cstheme="minorBidi"/>
          <w:noProof/>
          <w:sz w:val="22"/>
          <w:lang w:eastAsia="en-GB"/>
        </w:rPr>
      </w:pPr>
      <w:r>
        <w:rPr>
          <w:noProof/>
        </w:rPr>
        <w:t>Figure 13. Change in export share by HS Section, Tanzania, 2005–8 and 2009–13</w:t>
      </w:r>
      <w:r>
        <w:rPr>
          <w:noProof/>
        </w:rPr>
        <w:tab/>
      </w:r>
      <w:r>
        <w:rPr>
          <w:noProof/>
        </w:rPr>
        <w:fldChar w:fldCharType="begin"/>
      </w:r>
      <w:r>
        <w:rPr>
          <w:noProof/>
        </w:rPr>
        <w:instrText xml:space="preserve"> PAGEREF _Toc428435141 \h </w:instrText>
      </w:r>
      <w:r>
        <w:rPr>
          <w:noProof/>
        </w:rPr>
      </w:r>
      <w:r>
        <w:rPr>
          <w:noProof/>
        </w:rPr>
        <w:fldChar w:fldCharType="separate"/>
      </w:r>
      <w:r>
        <w:rPr>
          <w:noProof/>
        </w:rPr>
        <w:t>16</w:t>
      </w:r>
      <w:r>
        <w:rPr>
          <w:noProof/>
        </w:rPr>
        <w:fldChar w:fldCharType="end"/>
      </w:r>
    </w:p>
    <w:p w14:paraId="3CCEFB57" w14:textId="77777777" w:rsidR="00232104" w:rsidRDefault="00232104" w:rsidP="00232104">
      <w:pPr>
        <w:pStyle w:val="TOC3"/>
        <w:rPr>
          <w:rFonts w:asciiTheme="minorHAnsi" w:eastAsiaTheme="minorEastAsia" w:hAnsiTheme="minorHAnsi" w:cstheme="minorBidi"/>
          <w:noProof/>
          <w:sz w:val="22"/>
          <w:lang w:eastAsia="en-GB"/>
        </w:rPr>
      </w:pPr>
      <w:r>
        <w:rPr>
          <w:noProof/>
        </w:rPr>
        <w:t>Figure 14. Export visualisation, Tanzania, 2005 and 2012</w:t>
      </w:r>
      <w:r>
        <w:rPr>
          <w:noProof/>
        </w:rPr>
        <w:tab/>
      </w:r>
      <w:r>
        <w:rPr>
          <w:noProof/>
        </w:rPr>
        <w:fldChar w:fldCharType="begin"/>
      </w:r>
      <w:r>
        <w:rPr>
          <w:noProof/>
        </w:rPr>
        <w:instrText xml:space="preserve"> PAGEREF _Toc428435142 \h </w:instrText>
      </w:r>
      <w:r>
        <w:rPr>
          <w:noProof/>
        </w:rPr>
      </w:r>
      <w:r>
        <w:rPr>
          <w:noProof/>
        </w:rPr>
        <w:fldChar w:fldCharType="separate"/>
      </w:r>
      <w:r>
        <w:rPr>
          <w:noProof/>
        </w:rPr>
        <w:t>17</w:t>
      </w:r>
      <w:r>
        <w:rPr>
          <w:noProof/>
        </w:rPr>
        <w:fldChar w:fldCharType="end"/>
      </w:r>
    </w:p>
    <w:p w14:paraId="6B8CFBBD" w14:textId="77777777" w:rsidR="00232104" w:rsidRDefault="00232104" w:rsidP="00232104">
      <w:pPr>
        <w:pStyle w:val="TOC3"/>
        <w:rPr>
          <w:rFonts w:asciiTheme="minorHAnsi" w:eastAsiaTheme="minorEastAsia" w:hAnsiTheme="minorHAnsi" w:cstheme="minorBidi"/>
          <w:noProof/>
          <w:sz w:val="22"/>
          <w:lang w:eastAsia="en-GB"/>
        </w:rPr>
      </w:pPr>
      <w:r>
        <w:rPr>
          <w:noProof/>
        </w:rPr>
        <w:t>Figure 15. Top export products, Tanzania (average 2011–13)</w:t>
      </w:r>
      <w:r>
        <w:rPr>
          <w:noProof/>
        </w:rPr>
        <w:tab/>
      </w:r>
      <w:r>
        <w:rPr>
          <w:noProof/>
        </w:rPr>
        <w:fldChar w:fldCharType="begin"/>
      </w:r>
      <w:r>
        <w:rPr>
          <w:noProof/>
        </w:rPr>
        <w:instrText xml:space="preserve"> PAGEREF _Toc428435143 \h </w:instrText>
      </w:r>
      <w:r>
        <w:rPr>
          <w:noProof/>
        </w:rPr>
      </w:r>
      <w:r>
        <w:rPr>
          <w:noProof/>
        </w:rPr>
        <w:fldChar w:fldCharType="separate"/>
      </w:r>
      <w:r>
        <w:rPr>
          <w:noProof/>
        </w:rPr>
        <w:t>18</w:t>
      </w:r>
      <w:r>
        <w:rPr>
          <w:noProof/>
        </w:rPr>
        <w:fldChar w:fldCharType="end"/>
      </w:r>
    </w:p>
    <w:p w14:paraId="1AA27846" w14:textId="77777777" w:rsidR="00232104" w:rsidRDefault="00232104" w:rsidP="00232104">
      <w:pPr>
        <w:pStyle w:val="TOC3"/>
        <w:rPr>
          <w:rFonts w:asciiTheme="minorHAnsi" w:eastAsiaTheme="minorEastAsia" w:hAnsiTheme="minorHAnsi" w:cstheme="minorBidi"/>
          <w:noProof/>
          <w:sz w:val="22"/>
          <w:lang w:eastAsia="en-GB"/>
        </w:rPr>
      </w:pPr>
      <w:r>
        <w:rPr>
          <w:noProof/>
        </w:rPr>
        <w:lastRenderedPageBreak/>
        <w:t>Figure 16. Top export markets, Tanzania (average 2011–13)</w:t>
      </w:r>
      <w:r>
        <w:rPr>
          <w:noProof/>
        </w:rPr>
        <w:tab/>
      </w:r>
      <w:r>
        <w:rPr>
          <w:noProof/>
        </w:rPr>
        <w:fldChar w:fldCharType="begin"/>
      </w:r>
      <w:r>
        <w:rPr>
          <w:noProof/>
        </w:rPr>
        <w:instrText xml:space="preserve"> PAGEREF _Toc428435144 \h </w:instrText>
      </w:r>
      <w:r>
        <w:rPr>
          <w:noProof/>
        </w:rPr>
      </w:r>
      <w:r>
        <w:rPr>
          <w:noProof/>
        </w:rPr>
        <w:fldChar w:fldCharType="separate"/>
      </w:r>
      <w:r>
        <w:rPr>
          <w:noProof/>
        </w:rPr>
        <w:t>18</w:t>
      </w:r>
      <w:r>
        <w:rPr>
          <w:noProof/>
        </w:rPr>
        <w:fldChar w:fldCharType="end"/>
      </w:r>
    </w:p>
    <w:p w14:paraId="65ECDD95" w14:textId="77777777" w:rsidR="00232104" w:rsidRDefault="00232104" w:rsidP="00232104">
      <w:pPr>
        <w:pStyle w:val="TOC3"/>
        <w:rPr>
          <w:rFonts w:asciiTheme="minorHAnsi" w:eastAsiaTheme="minorEastAsia" w:hAnsiTheme="minorHAnsi" w:cstheme="minorBidi"/>
          <w:noProof/>
          <w:sz w:val="22"/>
          <w:lang w:eastAsia="en-GB"/>
        </w:rPr>
      </w:pPr>
      <w:r>
        <w:rPr>
          <w:noProof/>
        </w:rPr>
        <w:t>Figure 17. Imports by broad HS Section, Tanzania, 2005–8 and 2009–13</w:t>
      </w:r>
      <w:r>
        <w:rPr>
          <w:noProof/>
        </w:rPr>
        <w:tab/>
      </w:r>
      <w:r>
        <w:rPr>
          <w:noProof/>
        </w:rPr>
        <w:fldChar w:fldCharType="begin"/>
      </w:r>
      <w:r>
        <w:rPr>
          <w:noProof/>
        </w:rPr>
        <w:instrText xml:space="preserve"> PAGEREF _Toc428435145 \h </w:instrText>
      </w:r>
      <w:r>
        <w:rPr>
          <w:noProof/>
        </w:rPr>
      </w:r>
      <w:r>
        <w:rPr>
          <w:noProof/>
        </w:rPr>
        <w:fldChar w:fldCharType="separate"/>
      </w:r>
      <w:r>
        <w:rPr>
          <w:noProof/>
        </w:rPr>
        <w:t>19</w:t>
      </w:r>
      <w:r>
        <w:rPr>
          <w:noProof/>
        </w:rPr>
        <w:fldChar w:fldCharType="end"/>
      </w:r>
    </w:p>
    <w:p w14:paraId="4AFD9A42" w14:textId="77777777" w:rsidR="00232104" w:rsidRDefault="00232104" w:rsidP="00232104">
      <w:pPr>
        <w:pStyle w:val="TOC3"/>
        <w:rPr>
          <w:rFonts w:asciiTheme="minorHAnsi" w:eastAsiaTheme="minorEastAsia" w:hAnsiTheme="minorHAnsi" w:cstheme="minorBidi"/>
          <w:noProof/>
          <w:sz w:val="22"/>
          <w:lang w:eastAsia="en-GB"/>
        </w:rPr>
      </w:pPr>
      <w:r>
        <w:rPr>
          <w:noProof/>
        </w:rPr>
        <w:t>Figure 18. Change in import share by HS Section, Tanzania, 2005–8 and 2009–13</w:t>
      </w:r>
      <w:r>
        <w:rPr>
          <w:noProof/>
        </w:rPr>
        <w:tab/>
      </w:r>
      <w:r>
        <w:rPr>
          <w:noProof/>
        </w:rPr>
        <w:fldChar w:fldCharType="begin"/>
      </w:r>
      <w:r>
        <w:rPr>
          <w:noProof/>
        </w:rPr>
        <w:instrText xml:space="preserve"> PAGEREF _Toc428435146 \h </w:instrText>
      </w:r>
      <w:r>
        <w:rPr>
          <w:noProof/>
        </w:rPr>
      </w:r>
      <w:r>
        <w:rPr>
          <w:noProof/>
        </w:rPr>
        <w:fldChar w:fldCharType="separate"/>
      </w:r>
      <w:r>
        <w:rPr>
          <w:noProof/>
        </w:rPr>
        <w:t>20</w:t>
      </w:r>
      <w:r>
        <w:rPr>
          <w:noProof/>
        </w:rPr>
        <w:fldChar w:fldCharType="end"/>
      </w:r>
    </w:p>
    <w:p w14:paraId="7E13BCDA" w14:textId="77777777" w:rsidR="00232104" w:rsidRDefault="00232104" w:rsidP="00232104">
      <w:pPr>
        <w:pStyle w:val="TOC3"/>
        <w:rPr>
          <w:rFonts w:asciiTheme="minorHAnsi" w:eastAsiaTheme="minorEastAsia" w:hAnsiTheme="minorHAnsi" w:cstheme="minorBidi"/>
          <w:noProof/>
          <w:sz w:val="22"/>
          <w:lang w:eastAsia="en-GB"/>
        </w:rPr>
      </w:pPr>
      <w:r>
        <w:rPr>
          <w:noProof/>
        </w:rPr>
        <w:t>Figure 19. Import visualisation, Tanzania, 2005 and 2012</w:t>
      </w:r>
      <w:r>
        <w:rPr>
          <w:noProof/>
        </w:rPr>
        <w:tab/>
      </w:r>
      <w:r>
        <w:rPr>
          <w:noProof/>
        </w:rPr>
        <w:fldChar w:fldCharType="begin"/>
      </w:r>
      <w:r>
        <w:rPr>
          <w:noProof/>
        </w:rPr>
        <w:instrText xml:space="preserve"> PAGEREF _Toc428435147 \h </w:instrText>
      </w:r>
      <w:r>
        <w:rPr>
          <w:noProof/>
        </w:rPr>
      </w:r>
      <w:r>
        <w:rPr>
          <w:noProof/>
        </w:rPr>
        <w:fldChar w:fldCharType="separate"/>
      </w:r>
      <w:r>
        <w:rPr>
          <w:noProof/>
        </w:rPr>
        <w:t>21</w:t>
      </w:r>
      <w:r>
        <w:rPr>
          <w:noProof/>
        </w:rPr>
        <w:fldChar w:fldCharType="end"/>
      </w:r>
    </w:p>
    <w:p w14:paraId="5640E018" w14:textId="77777777" w:rsidR="00232104" w:rsidRDefault="00232104" w:rsidP="00232104">
      <w:pPr>
        <w:pStyle w:val="TOC3"/>
        <w:rPr>
          <w:rFonts w:asciiTheme="minorHAnsi" w:eastAsiaTheme="minorEastAsia" w:hAnsiTheme="minorHAnsi" w:cstheme="minorBidi"/>
          <w:noProof/>
          <w:sz w:val="22"/>
          <w:lang w:eastAsia="en-GB"/>
        </w:rPr>
      </w:pPr>
      <w:r>
        <w:rPr>
          <w:noProof/>
        </w:rPr>
        <w:t>Figure 20. Top import products, Tanzania (average 2011–13)</w:t>
      </w:r>
      <w:r>
        <w:rPr>
          <w:noProof/>
        </w:rPr>
        <w:tab/>
      </w:r>
      <w:r>
        <w:rPr>
          <w:noProof/>
        </w:rPr>
        <w:fldChar w:fldCharType="begin"/>
      </w:r>
      <w:r>
        <w:rPr>
          <w:noProof/>
        </w:rPr>
        <w:instrText xml:space="preserve"> PAGEREF _Toc428435148 \h </w:instrText>
      </w:r>
      <w:r>
        <w:rPr>
          <w:noProof/>
        </w:rPr>
      </w:r>
      <w:r>
        <w:rPr>
          <w:noProof/>
        </w:rPr>
        <w:fldChar w:fldCharType="separate"/>
      </w:r>
      <w:r>
        <w:rPr>
          <w:noProof/>
        </w:rPr>
        <w:t>22</w:t>
      </w:r>
      <w:r>
        <w:rPr>
          <w:noProof/>
        </w:rPr>
        <w:fldChar w:fldCharType="end"/>
      </w:r>
    </w:p>
    <w:p w14:paraId="11E1DDF3" w14:textId="77777777" w:rsidR="00232104" w:rsidRDefault="00232104" w:rsidP="00232104">
      <w:pPr>
        <w:pStyle w:val="TOC3"/>
        <w:rPr>
          <w:rFonts w:asciiTheme="minorHAnsi" w:eastAsiaTheme="minorEastAsia" w:hAnsiTheme="minorHAnsi" w:cstheme="minorBidi"/>
          <w:noProof/>
          <w:sz w:val="22"/>
          <w:lang w:eastAsia="en-GB"/>
        </w:rPr>
      </w:pPr>
      <w:r>
        <w:rPr>
          <w:noProof/>
        </w:rPr>
        <w:t>Figure 21. Top import sources, Tanzania (average 2011–13)</w:t>
      </w:r>
      <w:r>
        <w:rPr>
          <w:noProof/>
        </w:rPr>
        <w:tab/>
      </w:r>
      <w:r>
        <w:rPr>
          <w:noProof/>
        </w:rPr>
        <w:fldChar w:fldCharType="begin"/>
      </w:r>
      <w:r>
        <w:rPr>
          <w:noProof/>
        </w:rPr>
        <w:instrText xml:space="preserve"> PAGEREF _Toc428435149 \h </w:instrText>
      </w:r>
      <w:r>
        <w:rPr>
          <w:noProof/>
        </w:rPr>
      </w:r>
      <w:r>
        <w:rPr>
          <w:noProof/>
        </w:rPr>
        <w:fldChar w:fldCharType="separate"/>
      </w:r>
      <w:r>
        <w:rPr>
          <w:noProof/>
        </w:rPr>
        <w:t>22</w:t>
      </w:r>
      <w:r>
        <w:rPr>
          <w:noProof/>
        </w:rPr>
        <w:fldChar w:fldCharType="end"/>
      </w:r>
    </w:p>
    <w:p w14:paraId="210C75F7" w14:textId="77777777" w:rsidR="00232104" w:rsidRDefault="00232104">
      <w:pPr>
        <w:pStyle w:val="TOC2"/>
        <w:rPr>
          <w:rFonts w:asciiTheme="minorHAnsi" w:eastAsiaTheme="minorEastAsia" w:hAnsiTheme="minorHAnsi" w:cstheme="minorBidi"/>
          <w:b w:val="0"/>
          <w:noProof/>
          <w:color w:val="auto"/>
          <w:sz w:val="22"/>
          <w:lang w:eastAsia="en-GB"/>
        </w:rPr>
      </w:pPr>
      <w:r>
        <w:rPr>
          <w:noProof/>
        </w:rPr>
        <w:t>Diversification</w:t>
      </w:r>
      <w:r>
        <w:rPr>
          <w:noProof/>
        </w:rPr>
        <w:tab/>
      </w:r>
      <w:r>
        <w:rPr>
          <w:noProof/>
        </w:rPr>
        <w:fldChar w:fldCharType="begin"/>
      </w:r>
      <w:r>
        <w:rPr>
          <w:noProof/>
        </w:rPr>
        <w:instrText xml:space="preserve"> PAGEREF _Toc428435150 \h </w:instrText>
      </w:r>
      <w:r>
        <w:rPr>
          <w:noProof/>
        </w:rPr>
      </w:r>
      <w:r>
        <w:rPr>
          <w:noProof/>
        </w:rPr>
        <w:fldChar w:fldCharType="separate"/>
      </w:r>
      <w:r>
        <w:rPr>
          <w:noProof/>
        </w:rPr>
        <w:t>23</w:t>
      </w:r>
      <w:r>
        <w:rPr>
          <w:noProof/>
        </w:rPr>
        <w:fldChar w:fldCharType="end"/>
      </w:r>
    </w:p>
    <w:p w14:paraId="76165187" w14:textId="77777777" w:rsidR="00232104" w:rsidRDefault="00232104" w:rsidP="00232104">
      <w:pPr>
        <w:pStyle w:val="TOC3"/>
        <w:rPr>
          <w:rFonts w:asciiTheme="minorHAnsi" w:eastAsiaTheme="minorEastAsia" w:hAnsiTheme="minorHAnsi" w:cstheme="minorBidi"/>
          <w:noProof/>
          <w:sz w:val="22"/>
          <w:lang w:eastAsia="en-GB"/>
        </w:rPr>
      </w:pPr>
      <w:r>
        <w:rPr>
          <w:noProof/>
        </w:rPr>
        <w:t>Figure 22. Export diversification index, Tanzania, 1965–2010</w:t>
      </w:r>
      <w:r>
        <w:rPr>
          <w:noProof/>
        </w:rPr>
        <w:tab/>
      </w:r>
      <w:r>
        <w:rPr>
          <w:noProof/>
        </w:rPr>
        <w:fldChar w:fldCharType="begin"/>
      </w:r>
      <w:r>
        <w:rPr>
          <w:noProof/>
        </w:rPr>
        <w:instrText xml:space="preserve"> PAGEREF _Toc428435151 \h </w:instrText>
      </w:r>
      <w:r>
        <w:rPr>
          <w:noProof/>
        </w:rPr>
      </w:r>
      <w:r>
        <w:rPr>
          <w:noProof/>
        </w:rPr>
        <w:fldChar w:fldCharType="separate"/>
      </w:r>
      <w:r>
        <w:rPr>
          <w:noProof/>
        </w:rPr>
        <w:t>23</w:t>
      </w:r>
      <w:r>
        <w:rPr>
          <w:noProof/>
        </w:rPr>
        <w:fldChar w:fldCharType="end"/>
      </w:r>
    </w:p>
    <w:p w14:paraId="5142AF36" w14:textId="77777777" w:rsidR="00232104" w:rsidRDefault="00232104" w:rsidP="00232104">
      <w:pPr>
        <w:pStyle w:val="TOC3"/>
        <w:rPr>
          <w:rFonts w:asciiTheme="minorHAnsi" w:eastAsiaTheme="minorEastAsia" w:hAnsiTheme="minorHAnsi" w:cstheme="minorBidi"/>
          <w:noProof/>
          <w:sz w:val="22"/>
          <w:lang w:eastAsia="en-GB"/>
        </w:rPr>
      </w:pPr>
      <w:r>
        <w:rPr>
          <w:noProof/>
        </w:rPr>
        <w:t>Figure 23. Export quality index, Tanzania, 1966–2010</w:t>
      </w:r>
      <w:r>
        <w:rPr>
          <w:noProof/>
        </w:rPr>
        <w:tab/>
      </w:r>
      <w:r>
        <w:rPr>
          <w:noProof/>
        </w:rPr>
        <w:fldChar w:fldCharType="begin"/>
      </w:r>
      <w:r>
        <w:rPr>
          <w:noProof/>
        </w:rPr>
        <w:instrText xml:space="preserve"> PAGEREF _Toc428435152 \h </w:instrText>
      </w:r>
      <w:r>
        <w:rPr>
          <w:noProof/>
        </w:rPr>
      </w:r>
      <w:r>
        <w:rPr>
          <w:noProof/>
        </w:rPr>
        <w:fldChar w:fldCharType="separate"/>
      </w:r>
      <w:r>
        <w:rPr>
          <w:noProof/>
        </w:rPr>
        <w:t>23</w:t>
      </w:r>
      <w:r>
        <w:rPr>
          <w:noProof/>
        </w:rPr>
        <w:fldChar w:fldCharType="end"/>
      </w:r>
    </w:p>
    <w:p w14:paraId="06489E89" w14:textId="77777777" w:rsidR="00232104" w:rsidRDefault="00232104" w:rsidP="00232104">
      <w:pPr>
        <w:pStyle w:val="TOC3"/>
        <w:rPr>
          <w:rFonts w:asciiTheme="minorHAnsi" w:eastAsiaTheme="minorEastAsia" w:hAnsiTheme="minorHAnsi" w:cstheme="minorBidi"/>
          <w:noProof/>
          <w:sz w:val="22"/>
          <w:lang w:eastAsia="en-GB"/>
        </w:rPr>
      </w:pPr>
      <w:r>
        <w:rPr>
          <w:noProof/>
        </w:rPr>
        <w:t>Figure 24. Number of export items and markets, Tanzania, 2005–13</w:t>
      </w:r>
      <w:r>
        <w:rPr>
          <w:noProof/>
        </w:rPr>
        <w:tab/>
      </w:r>
      <w:r>
        <w:rPr>
          <w:noProof/>
        </w:rPr>
        <w:fldChar w:fldCharType="begin"/>
      </w:r>
      <w:r>
        <w:rPr>
          <w:noProof/>
        </w:rPr>
        <w:instrText xml:space="preserve"> PAGEREF _Toc428435153 \h </w:instrText>
      </w:r>
      <w:r>
        <w:rPr>
          <w:noProof/>
        </w:rPr>
      </w:r>
      <w:r>
        <w:rPr>
          <w:noProof/>
        </w:rPr>
        <w:fldChar w:fldCharType="separate"/>
      </w:r>
      <w:r>
        <w:rPr>
          <w:noProof/>
        </w:rPr>
        <w:t>24</w:t>
      </w:r>
      <w:r>
        <w:rPr>
          <w:noProof/>
        </w:rPr>
        <w:fldChar w:fldCharType="end"/>
      </w:r>
    </w:p>
    <w:p w14:paraId="2AF6A12C" w14:textId="77777777" w:rsidR="00232104" w:rsidRDefault="00232104" w:rsidP="00232104">
      <w:pPr>
        <w:pStyle w:val="TOC3"/>
        <w:rPr>
          <w:rFonts w:asciiTheme="minorHAnsi" w:eastAsiaTheme="minorEastAsia" w:hAnsiTheme="minorHAnsi" w:cstheme="minorBidi"/>
          <w:noProof/>
          <w:sz w:val="22"/>
          <w:lang w:eastAsia="en-GB"/>
        </w:rPr>
      </w:pPr>
      <w:r>
        <w:rPr>
          <w:noProof/>
        </w:rPr>
        <w:t>Figure 25. Number of import items and suppliers, Tanzania, 2005–13</w:t>
      </w:r>
      <w:r>
        <w:rPr>
          <w:noProof/>
        </w:rPr>
        <w:tab/>
      </w:r>
      <w:r>
        <w:rPr>
          <w:noProof/>
        </w:rPr>
        <w:fldChar w:fldCharType="begin"/>
      </w:r>
      <w:r>
        <w:rPr>
          <w:noProof/>
        </w:rPr>
        <w:instrText xml:space="preserve"> PAGEREF _Toc428435154 \h </w:instrText>
      </w:r>
      <w:r>
        <w:rPr>
          <w:noProof/>
        </w:rPr>
      </w:r>
      <w:r>
        <w:rPr>
          <w:noProof/>
        </w:rPr>
        <w:fldChar w:fldCharType="separate"/>
      </w:r>
      <w:r>
        <w:rPr>
          <w:noProof/>
        </w:rPr>
        <w:t>24</w:t>
      </w:r>
      <w:r>
        <w:rPr>
          <w:noProof/>
        </w:rPr>
        <w:fldChar w:fldCharType="end"/>
      </w:r>
    </w:p>
    <w:p w14:paraId="5291DFB0" w14:textId="77777777" w:rsidR="00232104" w:rsidRDefault="00232104">
      <w:pPr>
        <w:pStyle w:val="TOC2"/>
        <w:rPr>
          <w:rFonts w:asciiTheme="minorHAnsi" w:eastAsiaTheme="minorEastAsia" w:hAnsiTheme="minorHAnsi" w:cstheme="minorBidi"/>
          <w:b w:val="0"/>
          <w:noProof/>
          <w:color w:val="auto"/>
          <w:sz w:val="22"/>
          <w:lang w:eastAsia="en-GB"/>
        </w:rPr>
      </w:pPr>
      <w:r>
        <w:rPr>
          <w:noProof/>
        </w:rPr>
        <w:t>Revealed comparative advantage</w:t>
      </w:r>
      <w:r>
        <w:rPr>
          <w:noProof/>
        </w:rPr>
        <w:tab/>
      </w:r>
      <w:r>
        <w:rPr>
          <w:noProof/>
        </w:rPr>
        <w:fldChar w:fldCharType="begin"/>
      </w:r>
      <w:r>
        <w:rPr>
          <w:noProof/>
        </w:rPr>
        <w:instrText xml:space="preserve"> PAGEREF _Toc428435155 \h </w:instrText>
      </w:r>
      <w:r>
        <w:rPr>
          <w:noProof/>
        </w:rPr>
      </w:r>
      <w:r>
        <w:rPr>
          <w:noProof/>
        </w:rPr>
        <w:fldChar w:fldCharType="separate"/>
      </w:r>
      <w:r>
        <w:rPr>
          <w:noProof/>
        </w:rPr>
        <w:t>25</w:t>
      </w:r>
      <w:r>
        <w:rPr>
          <w:noProof/>
        </w:rPr>
        <w:fldChar w:fldCharType="end"/>
      </w:r>
    </w:p>
    <w:p w14:paraId="413F4073" w14:textId="77777777" w:rsidR="00232104" w:rsidRDefault="00232104" w:rsidP="00232104">
      <w:pPr>
        <w:pStyle w:val="TOC3"/>
        <w:rPr>
          <w:rFonts w:asciiTheme="minorHAnsi" w:eastAsiaTheme="minorEastAsia" w:hAnsiTheme="minorHAnsi" w:cstheme="minorBidi"/>
          <w:noProof/>
          <w:sz w:val="22"/>
          <w:lang w:eastAsia="en-GB"/>
        </w:rPr>
      </w:pPr>
      <w:r>
        <w:rPr>
          <w:noProof/>
        </w:rPr>
        <w:t>Table 5. Revealed comparative advantage by HS Section, Tanzania</w:t>
      </w:r>
      <w:r>
        <w:rPr>
          <w:noProof/>
        </w:rPr>
        <w:tab/>
      </w:r>
      <w:r>
        <w:rPr>
          <w:noProof/>
        </w:rPr>
        <w:fldChar w:fldCharType="begin"/>
      </w:r>
      <w:r>
        <w:rPr>
          <w:noProof/>
        </w:rPr>
        <w:instrText xml:space="preserve"> PAGEREF _Toc428435156 \h </w:instrText>
      </w:r>
      <w:r>
        <w:rPr>
          <w:noProof/>
        </w:rPr>
      </w:r>
      <w:r>
        <w:rPr>
          <w:noProof/>
        </w:rPr>
        <w:fldChar w:fldCharType="separate"/>
      </w:r>
      <w:r>
        <w:rPr>
          <w:noProof/>
        </w:rPr>
        <w:t>25</w:t>
      </w:r>
      <w:r>
        <w:rPr>
          <w:noProof/>
        </w:rPr>
        <w:fldChar w:fldCharType="end"/>
      </w:r>
    </w:p>
    <w:p w14:paraId="329849A1" w14:textId="77777777" w:rsidR="00232104" w:rsidRDefault="00232104">
      <w:pPr>
        <w:pStyle w:val="TOC2"/>
        <w:rPr>
          <w:rFonts w:asciiTheme="minorHAnsi" w:eastAsiaTheme="minorEastAsia" w:hAnsiTheme="minorHAnsi" w:cstheme="minorBidi"/>
          <w:b w:val="0"/>
          <w:noProof/>
          <w:color w:val="auto"/>
          <w:sz w:val="22"/>
          <w:lang w:eastAsia="en-GB"/>
        </w:rPr>
      </w:pPr>
      <w:r>
        <w:rPr>
          <w:noProof/>
        </w:rPr>
        <w:t>Trade in value added</w:t>
      </w:r>
      <w:r>
        <w:rPr>
          <w:noProof/>
        </w:rPr>
        <w:tab/>
      </w:r>
      <w:r>
        <w:rPr>
          <w:noProof/>
        </w:rPr>
        <w:fldChar w:fldCharType="begin"/>
      </w:r>
      <w:r>
        <w:rPr>
          <w:noProof/>
        </w:rPr>
        <w:instrText xml:space="preserve"> PAGEREF _Toc428435157 \h </w:instrText>
      </w:r>
      <w:r>
        <w:rPr>
          <w:noProof/>
        </w:rPr>
      </w:r>
      <w:r>
        <w:rPr>
          <w:noProof/>
        </w:rPr>
        <w:fldChar w:fldCharType="separate"/>
      </w:r>
      <w:r>
        <w:rPr>
          <w:noProof/>
        </w:rPr>
        <w:t>26</w:t>
      </w:r>
      <w:r>
        <w:rPr>
          <w:noProof/>
        </w:rPr>
        <w:fldChar w:fldCharType="end"/>
      </w:r>
    </w:p>
    <w:p w14:paraId="174D74C4" w14:textId="77777777" w:rsidR="00232104" w:rsidRDefault="00232104" w:rsidP="00232104">
      <w:pPr>
        <w:pStyle w:val="TOC3"/>
        <w:rPr>
          <w:rFonts w:asciiTheme="minorHAnsi" w:eastAsiaTheme="minorEastAsia" w:hAnsiTheme="minorHAnsi" w:cstheme="minorBidi"/>
          <w:noProof/>
          <w:sz w:val="22"/>
          <w:lang w:eastAsia="en-GB"/>
        </w:rPr>
      </w:pPr>
      <w:r>
        <w:rPr>
          <w:noProof/>
        </w:rPr>
        <w:t>Figure 26. Compound annual growth rate of domestic value added, foreign value added and exports, 1996-2011 and 2006-11, Tanzania</w:t>
      </w:r>
      <w:r>
        <w:rPr>
          <w:noProof/>
        </w:rPr>
        <w:tab/>
      </w:r>
      <w:r>
        <w:rPr>
          <w:noProof/>
        </w:rPr>
        <w:fldChar w:fldCharType="begin"/>
      </w:r>
      <w:r>
        <w:rPr>
          <w:noProof/>
        </w:rPr>
        <w:instrText xml:space="preserve"> PAGEREF _Toc428435158 \h </w:instrText>
      </w:r>
      <w:r>
        <w:rPr>
          <w:noProof/>
        </w:rPr>
      </w:r>
      <w:r>
        <w:rPr>
          <w:noProof/>
        </w:rPr>
        <w:fldChar w:fldCharType="separate"/>
      </w:r>
      <w:r>
        <w:rPr>
          <w:noProof/>
        </w:rPr>
        <w:t>26</w:t>
      </w:r>
      <w:r>
        <w:rPr>
          <w:noProof/>
        </w:rPr>
        <w:fldChar w:fldCharType="end"/>
      </w:r>
    </w:p>
    <w:p w14:paraId="11853D6D" w14:textId="77777777" w:rsidR="00232104" w:rsidRDefault="00232104" w:rsidP="00232104">
      <w:pPr>
        <w:pStyle w:val="TOC3"/>
        <w:rPr>
          <w:rFonts w:asciiTheme="minorHAnsi" w:eastAsiaTheme="minorEastAsia" w:hAnsiTheme="minorHAnsi" w:cstheme="minorBidi"/>
          <w:noProof/>
          <w:sz w:val="22"/>
          <w:lang w:eastAsia="en-GB"/>
        </w:rPr>
      </w:pPr>
      <w:r>
        <w:rPr>
          <w:noProof/>
        </w:rPr>
        <w:t>Figure 27.</w:t>
      </w:r>
      <w:r w:rsidRPr="0051520E">
        <w:rPr>
          <w:noProof/>
        </w:rPr>
        <w:t xml:space="preserve"> Domestic and foreign value added content of gross exports as share of gross exports, 1996, 2000, 2006 and 2011</w:t>
      </w:r>
      <w:r>
        <w:rPr>
          <w:noProof/>
        </w:rPr>
        <w:t>, Tanzania</w:t>
      </w:r>
      <w:r>
        <w:rPr>
          <w:noProof/>
        </w:rPr>
        <w:tab/>
      </w:r>
      <w:r>
        <w:rPr>
          <w:noProof/>
        </w:rPr>
        <w:fldChar w:fldCharType="begin"/>
      </w:r>
      <w:r>
        <w:rPr>
          <w:noProof/>
        </w:rPr>
        <w:instrText xml:space="preserve"> PAGEREF _Toc428435159 \h </w:instrText>
      </w:r>
      <w:r>
        <w:rPr>
          <w:noProof/>
        </w:rPr>
      </w:r>
      <w:r>
        <w:rPr>
          <w:noProof/>
        </w:rPr>
        <w:fldChar w:fldCharType="separate"/>
      </w:r>
      <w:r>
        <w:rPr>
          <w:noProof/>
        </w:rPr>
        <w:t>26</w:t>
      </w:r>
      <w:r>
        <w:rPr>
          <w:noProof/>
        </w:rPr>
        <w:fldChar w:fldCharType="end"/>
      </w:r>
    </w:p>
    <w:p w14:paraId="3F92373E" w14:textId="77777777" w:rsidR="00232104" w:rsidRDefault="00232104" w:rsidP="00232104">
      <w:pPr>
        <w:pStyle w:val="TOC3"/>
        <w:rPr>
          <w:rFonts w:asciiTheme="minorHAnsi" w:eastAsiaTheme="minorEastAsia" w:hAnsiTheme="minorHAnsi" w:cstheme="minorBidi"/>
          <w:noProof/>
          <w:sz w:val="22"/>
          <w:lang w:eastAsia="en-GB"/>
        </w:rPr>
      </w:pPr>
      <w:r w:rsidRPr="0051520E">
        <w:rPr>
          <w:noProof/>
        </w:rPr>
        <w:t>Figure 28. Overall value of domestic and foreign value added, 1996, 2000, 2006 and 2011 (in USD 1,000)</w:t>
      </w:r>
      <w:r>
        <w:rPr>
          <w:noProof/>
        </w:rPr>
        <w:t xml:space="preserve"> , Tanzania</w:t>
      </w:r>
      <w:r>
        <w:rPr>
          <w:noProof/>
        </w:rPr>
        <w:tab/>
      </w:r>
      <w:r>
        <w:rPr>
          <w:noProof/>
        </w:rPr>
        <w:fldChar w:fldCharType="begin"/>
      </w:r>
      <w:r>
        <w:rPr>
          <w:noProof/>
        </w:rPr>
        <w:instrText xml:space="preserve"> PAGEREF _Toc428435160 \h </w:instrText>
      </w:r>
      <w:r>
        <w:rPr>
          <w:noProof/>
        </w:rPr>
      </w:r>
      <w:r>
        <w:rPr>
          <w:noProof/>
        </w:rPr>
        <w:fldChar w:fldCharType="separate"/>
      </w:r>
      <w:r>
        <w:rPr>
          <w:noProof/>
        </w:rPr>
        <w:t>26</w:t>
      </w:r>
      <w:r>
        <w:rPr>
          <w:noProof/>
        </w:rPr>
        <w:fldChar w:fldCharType="end"/>
      </w:r>
    </w:p>
    <w:p w14:paraId="675E2BA6" w14:textId="77777777" w:rsidR="00232104" w:rsidRDefault="00232104" w:rsidP="00232104">
      <w:pPr>
        <w:pStyle w:val="TOC3"/>
        <w:rPr>
          <w:rFonts w:asciiTheme="minorHAnsi" w:eastAsiaTheme="minorEastAsia" w:hAnsiTheme="minorHAnsi" w:cstheme="minorBidi"/>
          <w:noProof/>
          <w:sz w:val="22"/>
          <w:lang w:eastAsia="en-GB"/>
        </w:rPr>
      </w:pPr>
      <w:r w:rsidRPr="0051520E">
        <w:rPr>
          <w:noProof/>
        </w:rPr>
        <w:t>Figure 29. Compound annual growth rate of DVA embodied in gross exports by sector, 1996-2011 and 2006-2011</w:t>
      </w:r>
      <w:r>
        <w:rPr>
          <w:noProof/>
        </w:rPr>
        <w:t>, Tanzania</w:t>
      </w:r>
      <w:r>
        <w:rPr>
          <w:noProof/>
        </w:rPr>
        <w:tab/>
      </w:r>
      <w:r>
        <w:rPr>
          <w:noProof/>
        </w:rPr>
        <w:fldChar w:fldCharType="begin"/>
      </w:r>
      <w:r>
        <w:rPr>
          <w:noProof/>
        </w:rPr>
        <w:instrText xml:space="preserve"> PAGEREF _Toc428435161 \h </w:instrText>
      </w:r>
      <w:r>
        <w:rPr>
          <w:noProof/>
        </w:rPr>
      </w:r>
      <w:r>
        <w:rPr>
          <w:noProof/>
        </w:rPr>
        <w:fldChar w:fldCharType="separate"/>
      </w:r>
      <w:r>
        <w:rPr>
          <w:noProof/>
        </w:rPr>
        <w:t>27</w:t>
      </w:r>
      <w:r>
        <w:rPr>
          <w:noProof/>
        </w:rPr>
        <w:fldChar w:fldCharType="end"/>
      </w:r>
    </w:p>
    <w:p w14:paraId="22BD6F40" w14:textId="77777777" w:rsidR="00232104" w:rsidRDefault="00232104" w:rsidP="00232104">
      <w:pPr>
        <w:pStyle w:val="TOC3"/>
        <w:rPr>
          <w:rFonts w:asciiTheme="minorHAnsi" w:eastAsiaTheme="minorEastAsia" w:hAnsiTheme="minorHAnsi" w:cstheme="minorBidi"/>
          <w:noProof/>
          <w:sz w:val="22"/>
          <w:lang w:eastAsia="en-GB"/>
        </w:rPr>
      </w:pPr>
      <w:r>
        <w:rPr>
          <w:noProof/>
        </w:rPr>
        <w:t>Figure 30.</w:t>
      </w:r>
      <w:r w:rsidRPr="0051520E">
        <w:rPr>
          <w:noProof/>
        </w:rPr>
        <w:t xml:space="preserve"> Sectoral DVA embodied in exports as a share of sectoral gross exports, 2000 and 2011</w:t>
      </w:r>
      <w:r>
        <w:rPr>
          <w:noProof/>
        </w:rPr>
        <w:t>, Tanzania</w:t>
      </w:r>
      <w:r>
        <w:rPr>
          <w:noProof/>
        </w:rPr>
        <w:tab/>
      </w:r>
      <w:r>
        <w:rPr>
          <w:noProof/>
        </w:rPr>
        <w:fldChar w:fldCharType="begin"/>
      </w:r>
      <w:r>
        <w:rPr>
          <w:noProof/>
        </w:rPr>
        <w:instrText xml:space="preserve"> PAGEREF _Toc428435162 \h </w:instrText>
      </w:r>
      <w:r>
        <w:rPr>
          <w:noProof/>
        </w:rPr>
      </w:r>
      <w:r>
        <w:rPr>
          <w:noProof/>
        </w:rPr>
        <w:fldChar w:fldCharType="separate"/>
      </w:r>
      <w:r>
        <w:rPr>
          <w:noProof/>
        </w:rPr>
        <w:t>27</w:t>
      </w:r>
      <w:r>
        <w:rPr>
          <w:noProof/>
        </w:rPr>
        <w:fldChar w:fldCharType="end"/>
      </w:r>
    </w:p>
    <w:p w14:paraId="5861ABF6" w14:textId="77777777" w:rsidR="00232104" w:rsidRDefault="00232104" w:rsidP="00232104">
      <w:pPr>
        <w:pStyle w:val="TOC3"/>
        <w:rPr>
          <w:rFonts w:asciiTheme="minorHAnsi" w:eastAsiaTheme="minorEastAsia" w:hAnsiTheme="minorHAnsi" w:cstheme="minorBidi"/>
          <w:noProof/>
          <w:sz w:val="22"/>
          <w:lang w:eastAsia="en-GB"/>
        </w:rPr>
      </w:pPr>
      <w:r>
        <w:rPr>
          <w:noProof/>
        </w:rPr>
        <w:t>Figure 31.</w:t>
      </w:r>
      <w:r w:rsidRPr="0051520E">
        <w:rPr>
          <w:rFonts w:cs="Arial"/>
          <w:noProof/>
        </w:rPr>
        <w:t xml:space="preserve"> Sectoral DVA as a share of total DVA, 2000 and 2011</w:t>
      </w:r>
      <w:r>
        <w:rPr>
          <w:noProof/>
        </w:rPr>
        <w:t>, Tanzania</w:t>
      </w:r>
      <w:r>
        <w:rPr>
          <w:noProof/>
        </w:rPr>
        <w:tab/>
      </w:r>
      <w:r>
        <w:rPr>
          <w:noProof/>
        </w:rPr>
        <w:fldChar w:fldCharType="begin"/>
      </w:r>
      <w:r>
        <w:rPr>
          <w:noProof/>
        </w:rPr>
        <w:instrText xml:space="preserve"> PAGEREF _Toc428435163 \h </w:instrText>
      </w:r>
      <w:r>
        <w:rPr>
          <w:noProof/>
        </w:rPr>
      </w:r>
      <w:r>
        <w:rPr>
          <w:noProof/>
        </w:rPr>
        <w:fldChar w:fldCharType="separate"/>
      </w:r>
      <w:r>
        <w:rPr>
          <w:noProof/>
        </w:rPr>
        <w:t>28</w:t>
      </w:r>
      <w:r>
        <w:rPr>
          <w:noProof/>
        </w:rPr>
        <w:fldChar w:fldCharType="end"/>
      </w:r>
    </w:p>
    <w:p w14:paraId="360EE1AC" w14:textId="77777777" w:rsidR="00232104" w:rsidRDefault="00232104" w:rsidP="00232104">
      <w:pPr>
        <w:pStyle w:val="TOC3"/>
        <w:rPr>
          <w:rFonts w:asciiTheme="minorHAnsi" w:eastAsiaTheme="minorEastAsia" w:hAnsiTheme="minorHAnsi" w:cstheme="minorBidi"/>
          <w:noProof/>
          <w:sz w:val="22"/>
          <w:lang w:eastAsia="en-GB"/>
        </w:rPr>
      </w:pPr>
      <w:r w:rsidRPr="0051520E">
        <w:rPr>
          <w:noProof/>
        </w:rPr>
        <w:t>Figure 32. Compound annual growth rate of FVA embodied in gross exports by sector, 1996-2011 and 2006-2011</w:t>
      </w:r>
      <w:r>
        <w:rPr>
          <w:noProof/>
        </w:rPr>
        <w:t>, Tanzania</w:t>
      </w:r>
      <w:r>
        <w:rPr>
          <w:noProof/>
        </w:rPr>
        <w:tab/>
      </w:r>
      <w:r>
        <w:rPr>
          <w:noProof/>
        </w:rPr>
        <w:fldChar w:fldCharType="begin"/>
      </w:r>
      <w:r>
        <w:rPr>
          <w:noProof/>
        </w:rPr>
        <w:instrText xml:space="preserve"> PAGEREF _Toc428435164 \h </w:instrText>
      </w:r>
      <w:r>
        <w:rPr>
          <w:noProof/>
        </w:rPr>
      </w:r>
      <w:r>
        <w:rPr>
          <w:noProof/>
        </w:rPr>
        <w:fldChar w:fldCharType="separate"/>
      </w:r>
      <w:r>
        <w:rPr>
          <w:noProof/>
        </w:rPr>
        <w:t>29</w:t>
      </w:r>
      <w:r>
        <w:rPr>
          <w:noProof/>
        </w:rPr>
        <w:fldChar w:fldCharType="end"/>
      </w:r>
    </w:p>
    <w:p w14:paraId="73F44D23" w14:textId="77777777" w:rsidR="00232104" w:rsidRDefault="00232104" w:rsidP="00232104">
      <w:pPr>
        <w:pStyle w:val="TOC3"/>
        <w:rPr>
          <w:rFonts w:asciiTheme="minorHAnsi" w:eastAsiaTheme="minorEastAsia" w:hAnsiTheme="minorHAnsi" w:cstheme="minorBidi"/>
          <w:noProof/>
          <w:sz w:val="22"/>
          <w:lang w:eastAsia="en-GB"/>
        </w:rPr>
      </w:pPr>
      <w:r>
        <w:rPr>
          <w:noProof/>
        </w:rPr>
        <w:t>Figure 33.</w:t>
      </w:r>
      <w:r w:rsidRPr="0051520E">
        <w:rPr>
          <w:noProof/>
        </w:rPr>
        <w:t xml:space="preserve"> Sectoral FVA embodied in exports as a share of sectoral gross exports, 2000 and 2011</w:t>
      </w:r>
      <w:r>
        <w:rPr>
          <w:noProof/>
        </w:rPr>
        <w:t>, Tanzania</w:t>
      </w:r>
      <w:r>
        <w:rPr>
          <w:noProof/>
        </w:rPr>
        <w:tab/>
      </w:r>
      <w:r>
        <w:rPr>
          <w:noProof/>
        </w:rPr>
        <w:fldChar w:fldCharType="begin"/>
      </w:r>
      <w:r>
        <w:rPr>
          <w:noProof/>
        </w:rPr>
        <w:instrText xml:space="preserve"> PAGEREF _Toc428435165 \h </w:instrText>
      </w:r>
      <w:r>
        <w:rPr>
          <w:noProof/>
        </w:rPr>
      </w:r>
      <w:r>
        <w:rPr>
          <w:noProof/>
        </w:rPr>
        <w:fldChar w:fldCharType="separate"/>
      </w:r>
      <w:r>
        <w:rPr>
          <w:noProof/>
        </w:rPr>
        <w:t>29</w:t>
      </w:r>
      <w:r>
        <w:rPr>
          <w:noProof/>
        </w:rPr>
        <w:fldChar w:fldCharType="end"/>
      </w:r>
    </w:p>
    <w:p w14:paraId="7E4026C1" w14:textId="77777777" w:rsidR="00232104" w:rsidRDefault="00232104" w:rsidP="00232104">
      <w:pPr>
        <w:pStyle w:val="TOC3"/>
        <w:rPr>
          <w:rFonts w:asciiTheme="minorHAnsi" w:eastAsiaTheme="minorEastAsia" w:hAnsiTheme="minorHAnsi" w:cstheme="minorBidi"/>
          <w:noProof/>
          <w:sz w:val="22"/>
          <w:lang w:eastAsia="en-GB"/>
        </w:rPr>
      </w:pPr>
      <w:r>
        <w:rPr>
          <w:noProof/>
        </w:rPr>
        <w:t>Figure 34.</w:t>
      </w:r>
      <w:r w:rsidRPr="0051520E">
        <w:rPr>
          <w:rFonts w:cs="Arial"/>
          <w:noProof/>
        </w:rPr>
        <w:t xml:space="preserve"> Sectoral FVA as a share of total FVA, 2000 and 2011</w:t>
      </w:r>
      <w:r>
        <w:rPr>
          <w:noProof/>
        </w:rPr>
        <w:t>, Tanzania</w:t>
      </w:r>
      <w:r>
        <w:rPr>
          <w:noProof/>
        </w:rPr>
        <w:tab/>
      </w:r>
      <w:r>
        <w:rPr>
          <w:noProof/>
        </w:rPr>
        <w:fldChar w:fldCharType="begin"/>
      </w:r>
      <w:r>
        <w:rPr>
          <w:noProof/>
        </w:rPr>
        <w:instrText xml:space="preserve"> PAGEREF _Toc428435166 \h </w:instrText>
      </w:r>
      <w:r>
        <w:rPr>
          <w:noProof/>
        </w:rPr>
      </w:r>
      <w:r>
        <w:rPr>
          <w:noProof/>
        </w:rPr>
        <w:fldChar w:fldCharType="separate"/>
      </w:r>
      <w:r>
        <w:rPr>
          <w:noProof/>
        </w:rPr>
        <w:t>30</w:t>
      </w:r>
      <w:r>
        <w:rPr>
          <w:noProof/>
        </w:rPr>
        <w:fldChar w:fldCharType="end"/>
      </w:r>
    </w:p>
    <w:p w14:paraId="7E1BC1A8" w14:textId="77777777" w:rsidR="00232104" w:rsidRDefault="00232104">
      <w:pPr>
        <w:pStyle w:val="TOC2"/>
        <w:rPr>
          <w:rFonts w:asciiTheme="minorHAnsi" w:eastAsiaTheme="minorEastAsia" w:hAnsiTheme="minorHAnsi" w:cstheme="minorBidi"/>
          <w:b w:val="0"/>
          <w:noProof/>
          <w:color w:val="auto"/>
          <w:sz w:val="22"/>
          <w:lang w:eastAsia="en-GB"/>
        </w:rPr>
      </w:pPr>
      <w:r>
        <w:rPr>
          <w:noProof/>
        </w:rPr>
        <w:t>Trade in services</w:t>
      </w:r>
      <w:r>
        <w:rPr>
          <w:noProof/>
        </w:rPr>
        <w:tab/>
      </w:r>
      <w:r>
        <w:rPr>
          <w:noProof/>
        </w:rPr>
        <w:fldChar w:fldCharType="begin"/>
      </w:r>
      <w:r>
        <w:rPr>
          <w:noProof/>
        </w:rPr>
        <w:instrText xml:space="preserve"> PAGEREF _Toc428435167 \h </w:instrText>
      </w:r>
      <w:r>
        <w:rPr>
          <w:noProof/>
        </w:rPr>
      </w:r>
      <w:r>
        <w:rPr>
          <w:noProof/>
        </w:rPr>
        <w:fldChar w:fldCharType="separate"/>
      </w:r>
      <w:r>
        <w:rPr>
          <w:noProof/>
        </w:rPr>
        <w:t>31</w:t>
      </w:r>
      <w:r>
        <w:rPr>
          <w:noProof/>
        </w:rPr>
        <w:fldChar w:fldCharType="end"/>
      </w:r>
    </w:p>
    <w:p w14:paraId="09E13A81" w14:textId="77777777" w:rsidR="00232104" w:rsidRDefault="00232104" w:rsidP="00232104">
      <w:pPr>
        <w:pStyle w:val="TOC3"/>
        <w:rPr>
          <w:rFonts w:asciiTheme="minorHAnsi" w:eastAsiaTheme="minorEastAsia" w:hAnsiTheme="minorHAnsi" w:cstheme="minorBidi"/>
          <w:noProof/>
          <w:sz w:val="22"/>
          <w:lang w:eastAsia="en-GB"/>
        </w:rPr>
      </w:pPr>
      <w:r>
        <w:rPr>
          <w:noProof/>
        </w:rPr>
        <w:t>Figure 35. Exports of goods and services, Tanzania</w:t>
      </w:r>
      <w:r>
        <w:rPr>
          <w:noProof/>
        </w:rPr>
        <w:tab/>
      </w:r>
      <w:r>
        <w:rPr>
          <w:noProof/>
        </w:rPr>
        <w:fldChar w:fldCharType="begin"/>
      </w:r>
      <w:r>
        <w:rPr>
          <w:noProof/>
        </w:rPr>
        <w:instrText xml:space="preserve"> PAGEREF _Toc428435168 \h </w:instrText>
      </w:r>
      <w:r>
        <w:rPr>
          <w:noProof/>
        </w:rPr>
      </w:r>
      <w:r>
        <w:rPr>
          <w:noProof/>
        </w:rPr>
        <w:fldChar w:fldCharType="separate"/>
      </w:r>
      <w:r>
        <w:rPr>
          <w:noProof/>
        </w:rPr>
        <w:t>31</w:t>
      </w:r>
      <w:r>
        <w:rPr>
          <w:noProof/>
        </w:rPr>
        <w:fldChar w:fldCharType="end"/>
      </w:r>
    </w:p>
    <w:p w14:paraId="208E0CB4" w14:textId="77777777" w:rsidR="00232104" w:rsidRDefault="00232104" w:rsidP="00232104">
      <w:pPr>
        <w:pStyle w:val="TOC3"/>
        <w:rPr>
          <w:rFonts w:asciiTheme="minorHAnsi" w:eastAsiaTheme="minorEastAsia" w:hAnsiTheme="minorHAnsi" w:cstheme="minorBidi"/>
          <w:noProof/>
          <w:sz w:val="22"/>
          <w:lang w:eastAsia="en-GB"/>
        </w:rPr>
      </w:pPr>
      <w:r>
        <w:rPr>
          <w:noProof/>
        </w:rPr>
        <w:t>Figure 36. Sectoral shares of services exports, Tanzania</w:t>
      </w:r>
      <w:r>
        <w:rPr>
          <w:noProof/>
        </w:rPr>
        <w:tab/>
      </w:r>
      <w:r>
        <w:rPr>
          <w:noProof/>
        </w:rPr>
        <w:fldChar w:fldCharType="begin"/>
      </w:r>
      <w:r>
        <w:rPr>
          <w:noProof/>
        </w:rPr>
        <w:instrText xml:space="preserve"> PAGEREF _Toc428435169 \h </w:instrText>
      </w:r>
      <w:r>
        <w:rPr>
          <w:noProof/>
        </w:rPr>
      </w:r>
      <w:r>
        <w:rPr>
          <w:noProof/>
        </w:rPr>
        <w:fldChar w:fldCharType="separate"/>
      </w:r>
      <w:r>
        <w:rPr>
          <w:noProof/>
        </w:rPr>
        <w:t>31</w:t>
      </w:r>
      <w:r>
        <w:rPr>
          <w:noProof/>
        </w:rPr>
        <w:fldChar w:fldCharType="end"/>
      </w:r>
    </w:p>
    <w:p w14:paraId="048A24D2" w14:textId="77777777" w:rsidR="00232104" w:rsidRDefault="00232104">
      <w:pPr>
        <w:pStyle w:val="TOC1"/>
        <w:rPr>
          <w:rFonts w:asciiTheme="minorHAnsi" w:eastAsiaTheme="minorEastAsia" w:hAnsiTheme="minorHAnsi" w:cstheme="minorBidi"/>
          <w:b w:val="0"/>
          <w:noProof/>
          <w:color w:val="auto"/>
          <w:sz w:val="22"/>
          <w:lang w:eastAsia="en-GB"/>
        </w:rPr>
      </w:pPr>
      <w:r>
        <w:rPr>
          <w:noProof/>
        </w:rPr>
        <w:t>Estimates of total factor productivity at firm level</w:t>
      </w:r>
      <w:r>
        <w:rPr>
          <w:noProof/>
        </w:rPr>
        <w:tab/>
      </w:r>
      <w:r>
        <w:rPr>
          <w:noProof/>
        </w:rPr>
        <w:fldChar w:fldCharType="begin"/>
      </w:r>
      <w:r>
        <w:rPr>
          <w:noProof/>
        </w:rPr>
        <w:instrText xml:space="preserve"> PAGEREF _Toc428435170 \h </w:instrText>
      </w:r>
      <w:r>
        <w:rPr>
          <w:noProof/>
        </w:rPr>
      </w:r>
      <w:r>
        <w:rPr>
          <w:noProof/>
        </w:rPr>
        <w:fldChar w:fldCharType="separate"/>
      </w:r>
      <w:r>
        <w:rPr>
          <w:noProof/>
        </w:rPr>
        <w:t>32</w:t>
      </w:r>
      <w:r>
        <w:rPr>
          <w:noProof/>
        </w:rPr>
        <w:fldChar w:fldCharType="end"/>
      </w:r>
    </w:p>
    <w:p w14:paraId="42B32E15" w14:textId="77777777" w:rsidR="00232104" w:rsidRDefault="00232104" w:rsidP="00232104">
      <w:pPr>
        <w:pStyle w:val="TOC3"/>
        <w:rPr>
          <w:rFonts w:asciiTheme="minorHAnsi" w:eastAsiaTheme="minorEastAsia" w:hAnsiTheme="minorHAnsi" w:cstheme="minorBidi"/>
          <w:noProof/>
          <w:sz w:val="22"/>
          <w:lang w:eastAsia="en-GB"/>
        </w:rPr>
      </w:pPr>
      <w:r>
        <w:rPr>
          <w:noProof/>
        </w:rPr>
        <w:t>Figure 37. Dispersion in productivity across firms by sector – Tanzania</w:t>
      </w:r>
      <w:r>
        <w:rPr>
          <w:noProof/>
        </w:rPr>
        <w:tab/>
      </w:r>
      <w:r>
        <w:rPr>
          <w:noProof/>
        </w:rPr>
        <w:fldChar w:fldCharType="begin"/>
      </w:r>
      <w:r>
        <w:rPr>
          <w:noProof/>
        </w:rPr>
        <w:instrText xml:space="preserve"> PAGEREF _Toc428435171 \h </w:instrText>
      </w:r>
      <w:r>
        <w:rPr>
          <w:noProof/>
        </w:rPr>
      </w:r>
      <w:r>
        <w:rPr>
          <w:noProof/>
        </w:rPr>
        <w:fldChar w:fldCharType="separate"/>
      </w:r>
      <w:r>
        <w:rPr>
          <w:noProof/>
        </w:rPr>
        <w:t>32</w:t>
      </w:r>
      <w:r>
        <w:rPr>
          <w:noProof/>
        </w:rPr>
        <w:fldChar w:fldCharType="end"/>
      </w:r>
    </w:p>
    <w:p w14:paraId="6EFBB265" w14:textId="77777777" w:rsidR="00232104" w:rsidRDefault="00232104" w:rsidP="00232104">
      <w:pPr>
        <w:pStyle w:val="TOC3"/>
        <w:rPr>
          <w:rFonts w:asciiTheme="minorHAnsi" w:eastAsiaTheme="minorEastAsia" w:hAnsiTheme="minorHAnsi" w:cstheme="minorBidi"/>
          <w:noProof/>
          <w:sz w:val="22"/>
          <w:lang w:eastAsia="en-GB"/>
        </w:rPr>
      </w:pPr>
      <w:r>
        <w:rPr>
          <w:noProof/>
        </w:rPr>
        <w:t>Figure 38. Distribution in productivity in Tanzania – comparing kernel and normal distributions</w:t>
      </w:r>
      <w:r>
        <w:rPr>
          <w:noProof/>
        </w:rPr>
        <w:tab/>
      </w:r>
      <w:r>
        <w:rPr>
          <w:noProof/>
        </w:rPr>
        <w:fldChar w:fldCharType="begin"/>
      </w:r>
      <w:r>
        <w:rPr>
          <w:noProof/>
        </w:rPr>
        <w:instrText xml:space="preserve"> PAGEREF _Toc428435172 \h </w:instrText>
      </w:r>
      <w:r>
        <w:rPr>
          <w:noProof/>
        </w:rPr>
      </w:r>
      <w:r>
        <w:rPr>
          <w:noProof/>
        </w:rPr>
        <w:fldChar w:fldCharType="separate"/>
      </w:r>
      <w:r>
        <w:rPr>
          <w:noProof/>
        </w:rPr>
        <w:t>33</w:t>
      </w:r>
      <w:r>
        <w:rPr>
          <w:noProof/>
        </w:rPr>
        <w:fldChar w:fldCharType="end"/>
      </w:r>
    </w:p>
    <w:p w14:paraId="77FDBAC0" w14:textId="77777777" w:rsidR="004B0FE9" w:rsidRPr="00C46CD7" w:rsidRDefault="00104401">
      <w:pPr>
        <w:sectPr w:rsidR="004B0FE9" w:rsidRPr="00C46CD7" w:rsidSect="00B0147A">
          <w:headerReference w:type="default" r:id="rId13"/>
          <w:footerReference w:type="default" r:id="rId14"/>
          <w:headerReference w:type="first" r:id="rId15"/>
          <w:footerReference w:type="first" r:id="rId16"/>
          <w:pgSz w:w="11907" w:h="16839" w:code="9"/>
          <w:pgMar w:top="1469" w:right="2102" w:bottom="1368" w:left="965" w:header="706" w:footer="706" w:gutter="0"/>
          <w:pgNumType w:start="1"/>
          <w:cols w:space="708"/>
          <w:titlePg/>
          <w:docGrid w:linePitch="360"/>
        </w:sectPr>
      </w:pPr>
      <w:r w:rsidRPr="00D67539">
        <w:rPr>
          <w:rFonts w:ascii="Arial" w:hAnsi="Arial" w:cs="Arial"/>
          <w:b/>
          <w:color w:val="006C67" w:themeColor="accent1"/>
        </w:rPr>
        <w:fldChar w:fldCharType="end"/>
      </w:r>
    </w:p>
    <w:p w14:paraId="77FDBAC1" w14:textId="77777777" w:rsidR="001228CD" w:rsidRDefault="00B12AEC" w:rsidP="00B12AEC">
      <w:pPr>
        <w:pStyle w:val="Heading1"/>
      </w:pPr>
      <w:bookmarkStart w:id="1" w:name="Start"/>
      <w:bookmarkStart w:id="2" w:name="_Toc406585294"/>
      <w:bookmarkStart w:id="3" w:name="_Toc428435122"/>
      <w:bookmarkStart w:id="4" w:name="_Toc404327254"/>
      <w:bookmarkStart w:id="5" w:name="_Toc404327348"/>
      <w:bookmarkStart w:id="6" w:name="_Toc404327524"/>
      <w:bookmarkStart w:id="7" w:name="_Toc404327736"/>
      <w:bookmarkEnd w:id="1"/>
      <w:r>
        <w:lastRenderedPageBreak/>
        <w:t>Economic structure</w:t>
      </w:r>
      <w:bookmarkEnd w:id="2"/>
      <w:r w:rsidR="000637FF">
        <w:t>s</w:t>
      </w:r>
      <w:bookmarkEnd w:id="3"/>
    </w:p>
    <w:p w14:paraId="77FDBAC2" w14:textId="77777777" w:rsidR="001228CD" w:rsidRDefault="001228CD" w:rsidP="00127793">
      <w:pPr>
        <w:pStyle w:val="Caption"/>
      </w:pPr>
    </w:p>
    <w:p w14:paraId="77FDBAC3" w14:textId="77777777" w:rsidR="001228CD" w:rsidRDefault="001228CD" w:rsidP="00127793">
      <w:pPr>
        <w:pStyle w:val="Caption"/>
      </w:pPr>
    </w:p>
    <w:p w14:paraId="77FDBAC4" w14:textId="6B2B3DB0" w:rsidR="0030081A" w:rsidRDefault="00E65B70" w:rsidP="00BA5FA0">
      <w:pPr>
        <w:pStyle w:val="TableHeading"/>
      </w:pPr>
      <w:bookmarkStart w:id="8" w:name="_Toc404582441"/>
      <w:bookmarkStart w:id="9" w:name="_Toc406411739"/>
      <w:bookmarkStart w:id="10" w:name="_Toc406585295"/>
      <w:bookmarkStart w:id="11" w:name="_Toc428435123"/>
      <w:r>
        <w:t xml:space="preserve">GDP, </w:t>
      </w:r>
      <w:r w:rsidRPr="00E65B70">
        <w:t>employment</w:t>
      </w:r>
      <w:r>
        <w:t xml:space="preserve"> and relative productivity levels, </w:t>
      </w:r>
      <w:r w:rsidR="00EA21D5">
        <w:t>Tanzania</w:t>
      </w:r>
      <w:r>
        <w:t>, 196</w:t>
      </w:r>
      <w:r w:rsidR="00EA21D5">
        <w:t>1</w:t>
      </w:r>
      <w:r>
        <w:t>–2010</w:t>
      </w:r>
      <w:bookmarkEnd w:id="4"/>
      <w:bookmarkEnd w:id="5"/>
      <w:bookmarkEnd w:id="6"/>
      <w:bookmarkEnd w:id="7"/>
      <w:bookmarkEnd w:id="8"/>
      <w:bookmarkEnd w:id="9"/>
      <w:bookmarkEnd w:id="10"/>
      <w:r w:rsidR="00996F64">
        <w:t xml:space="preserve"> (</w:t>
      </w:r>
      <w:proofErr w:type="spellStart"/>
      <w:r w:rsidR="00996F64">
        <w:t>GGDC</w:t>
      </w:r>
      <w:proofErr w:type="spellEnd"/>
      <w:r w:rsidR="00996F64">
        <w:t xml:space="preserve"> Africa sector database data)</w:t>
      </w:r>
      <w:bookmarkEnd w:id="11"/>
    </w:p>
    <w:tbl>
      <w:tblPr>
        <w:tblStyle w:val="ODITable"/>
        <w:tblW w:w="5000" w:type="pct"/>
        <w:tblInd w:w="0" w:type="dxa"/>
        <w:tblLayout w:type="fixed"/>
        <w:tblCellMar>
          <w:top w:w="14" w:type="dxa"/>
          <w:left w:w="0" w:type="dxa"/>
          <w:bottom w:w="14" w:type="dxa"/>
          <w:right w:w="0" w:type="dxa"/>
        </w:tblCellMar>
        <w:tblLook w:val="04A0" w:firstRow="1" w:lastRow="0" w:firstColumn="1" w:lastColumn="0" w:noHBand="0" w:noVBand="1"/>
      </w:tblPr>
      <w:tblGrid>
        <w:gridCol w:w="2700"/>
        <w:gridCol w:w="627"/>
        <w:gridCol w:w="628"/>
        <w:gridCol w:w="628"/>
        <w:gridCol w:w="628"/>
        <w:gridCol w:w="628"/>
        <w:gridCol w:w="628"/>
        <w:gridCol w:w="628"/>
        <w:gridCol w:w="628"/>
        <w:gridCol w:w="628"/>
        <w:gridCol w:w="627"/>
        <w:gridCol w:w="628"/>
        <w:gridCol w:w="628"/>
        <w:gridCol w:w="628"/>
        <w:gridCol w:w="628"/>
        <w:gridCol w:w="628"/>
        <w:gridCol w:w="628"/>
        <w:gridCol w:w="628"/>
        <w:gridCol w:w="628"/>
      </w:tblGrid>
      <w:tr w:rsidR="00FC45D4" w:rsidRPr="00E65B70" w14:paraId="77FDBAC9" w14:textId="77777777" w:rsidTr="00FC45D4">
        <w:trPr>
          <w:cnfStyle w:val="100000000000" w:firstRow="1" w:lastRow="0" w:firstColumn="0" w:lastColumn="0" w:oddVBand="0" w:evenVBand="0" w:oddHBand="0" w:evenHBand="0" w:firstRowFirstColumn="0" w:firstRowLastColumn="0" w:lastRowFirstColumn="0" w:lastRowLastColumn="0"/>
        </w:trPr>
        <w:tc>
          <w:tcPr>
            <w:tcW w:w="2700" w:type="dxa"/>
            <w:tcBorders>
              <w:right w:val="single" w:sz="4" w:space="0" w:color="auto"/>
            </w:tcBorders>
            <w:noWrap/>
            <w:hideMark/>
          </w:tcPr>
          <w:p w14:paraId="77FDBAC5" w14:textId="77777777" w:rsidR="00DD4551" w:rsidRPr="00E65B70" w:rsidRDefault="00DD4551" w:rsidP="00E65B70">
            <w:pPr>
              <w:pStyle w:val="TableText"/>
              <w:jc w:val="center"/>
              <w:rPr>
                <w:rFonts w:asciiTheme="majorHAnsi" w:hAnsiTheme="majorHAnsi" w:cstheme="majorHAnsi"/>
                <w:szCs w:val="17"/>
                <w:lang w:eastAsia="en-GB"/>
              </w:rPr>
            </w:pPr>
          </w:p>
        </w:tc>
        <w:tc>
          <w:tcPr>
            <w:tcW w:w="3767" w:type="dxa"/>
            <w:gridSpan w:val="6"/>
            <w:tcBorders>
              <w:left w:val="single" w:sz="4" w:space="0" w:color="auto"/>
              <w:right w:val="single" w:sz="4" w:space="0" w:color="auto"/>
            </w:tcBorders>
            <w:noWrap/>
            <w:hideMark/>
          </w:tcPr>
          <w:p w14:paraId="77FDBAC6" w14:textId="77777777" w:rsidR="00DD4551" w:rsidRPr="00E65B70" w:rsidRDefault="00DD4551" w:rsidP="00E65B70">
            <w:pPr>
              <w:pStyle w:val="TableText"/>
              <w:jc w:val="center"/>
              <w:rPr>
                <w:rFonts w:asciiTheme="majorHAnsi" w:hAnsiTheme="majorHAnsi" w:cstheme="majorHAnsi"/>
                <w:szCs w:val="17"/>
                <w:lang w:eastAsia="en-GB"/>
              </w:rPr>
            </w:pPr>
            <w:r w:rsidRPr="00E65B70">
              <w:rPr>
                <w:rFonts w:asciiTheme="majorHAnsi" w:hAnsiTheme="majorHAnsi" w:cstheme="majorHAnsi"/>
                <w:szCs w:val="17"/>
                <w:lang w:eastAsia="en-GB"/>
              </w:rPr>
              <w:t>Gross value added (%)</w:t>
            </w:r>
            <w:r w:rsidR="00062C4C" w:rsidRPr="00062C4C">
              <w:rPr>
                <w:rFonts w:asciiTheme="majorHAnsi" w:hAnsiTheme="majorHAnsi" w:cstheme="majorHAnsi"/>
                <w:szCs w:val="17"/>
                <w:vertAlign w:val="superscript"/>
                <w:lang w:eastAsia="en-GB"/>
              </w:rPr>
              <w:t xml:space="preserve"> a</w:t>
            </w:r>
          </w:p>
        </w:tc>
        <w:tc>
          <w:tcPr>
            <w:tcW w:w="3767" w:type="dxa"/>
            <w:gridSpan w:val="6"/>
            <w:tcBorders>
              <w:left w:val="single" w:sz="4" w:space="0" w:color="auto"/>
              <w:right w:val="single" w:sz="4" w:space="0" w:color="auto"/>
            </w:tcBorders>
            <w:noWrap/>
            <w:hideMark/>
          </w:tcPr>
          <w:p w14:paraId="77FDBAC7" w14:textId="77777777" w:rsidR="00DD4551" w:rsidRPr="00E65B70" w:rsidRDefault="00DD4551" w:rsidP="00E65B70">
            <w:pPr>
              <w:pStyle w:val="TableText"/>
              <w:jc w:val="center"/>
              <w:rPr>
                <w:rFonts w:asciiTheme="majorHAnsi" w:hAnsiTheme="majorHAnsi" w:cstheme="majorHAnsi"/>
                <w:szCs w:val="17"/>
                <w:lang w:eastAsia="en-GB"/>
              </w:rPr>
            </w:pPr>
            <w:r w:rsidRPr="00E65B70">
              <w:rPr>
                <w:rFonts w:asciiTheme="majorHAnsi" w:hAnsiTheme="majorHAnsi" w:cstheme="majorHAnsi"/>
                <w:szCs w:val="17"/>
                <w:lang w:eastAsia="en-GB"/>
              </w:rPr>
              <w:t>Number of persons engaged (%)</w:t>
            </w:r>
            <w:r w:rsidR="00062C4C" w:rsidRPr="00062C4C">
              <w:rPr>
                <w:rFonts w:asciiTheme="majorHAnsi" w:hAnsiTheme="majorHAnsi" w:cstheme="majorHAnsi"/>
                <w:szCs w:val="17"/>
                <w:vertAlign w:val="superscript"/>
                <w:lang w:eastAsia="en-GB"/>
              </w:rPr>
              <w:t xml:space="preserve"> b</w:t>
            </w:r>
          </w:p>
        </w:tc>
        <w:tc>
          <w:tcPr>
            <w:tcW w:w="3768" w:type="dxa"/>
            <w:gridSpan w:val="6"/>
            <w:tcBorders>
              <w:left w:val="single" w:sz="4" w:space="0" w:color="auto"/>
            </w:tcBorders>
            <w:noWrap/>
            <w:hideMark/>
          </w:tcPr>
          <w:p w14:paraId="77FDBAC8" w14:textId="77777777" w:rsidR="00DD4551" w:rsidRPr="00E65B70" w:rsidRDefault="00DD4551" w:rsidP="00E65B70">
            <w:pPr>
              <w:pStyle w:val="TableText"/>
              <w:jc w:val="center"/>
              <w:rPr>
                <w:rFonts w:asciiTheme="majorHAnsi" w:hAnsiTheme="majorHAnsi" w:cstheme="majorHAnsi"/>
                <w:szCs w:val="17"/>
                <w:lang w:eastAsia="en-GB"/>
              </w:rPr>
            </w:pPr>
            <w:r w:rsidRPr="00E65B70">
              <w:rPr>
                <w:rFonts w:asciiTheme="majorHAnsi" w:hAnsiTheme="majorHAnsi" w:cstheme="majorHAnsi"/>
                <w:szCs w:val="17"/>
                <w:lang w:eastAsia="en-GB"/>
              </w:rPr>
              <w:t>Relative productivity levels</w:t>
            </w:r>
            <w:r w:rsidR="00062C4C" w:rsidRPr="00062C4C">
              <w:rPr>
                <w:rFonts w:asciiTheme="majorHAnsi" w:hAnsiTheme="majorHAnsi" w:cstheme="majorHAnsi"/>
                <w:szCs w:val="17"/>
                <w:vertAlign w:val="superscript"/>
                <w:lang w:eastAsia="en-GB"/>
              </w:rPr>
              <w:t xml:space="preserve"> c</w:t>
            </w:r>
          </w:p>
        </w:tc>
      </w:tr>
      <w:tr w:rsidR="0046635F" w:rsidRPr="00E65B70" w14:paraId="77FDBADD" w14:textId="77777777" w:rsidTr="00FC45D4">
        <w:trPr>
          <w:cnfStyle w:val="000000100000" w:firstRow="0" w:lastRow="0" w:firstColumn="0" w:lastColumn="0" w:oddVBand="0" w:evenVBand="0" w:oddHBand="1" w:evenHBand="0" w:firstRowFirstColumn="0" w:firstRowLastColumn="0" w:lastRowFirstColumn="0" w:lastRowLastColumn="0"/>
        </w:trPr>
        <w:tc>
          <w:tcPr>
            <w:tcW w:w="2700" w:type="dxa"/>
            <w:tcBorders>
              <w:top w:val="nil"/>
              <w:right w:val="single" w:sz="4" w:space="0" w:color="auto"/>
            </w:tcBorders>
            <w:shd w:val="clear" w:color="auto" w:fill="E0E0E0" w:themeFill="accent4"/>
            <w:noWrap/>
            <w:hideMark/>
          </w:tcPr>
          <w:p w14:paraId="77FDBACA" w14:textId="77777777" w:rsidR="00DD4551" w:rsidRPr="00E65B70" w:rsidRDefault="00DD4551" w:rsidP="00E65B70">
            <w:pPr>
              <w:pStyle w:val="TableText"/>
              <w:jc w:val="center"/>
              <w:rPr>
                <w:rFonts w:asciiTheme="majorHAnsi" w:hAnsiTheme="majorHAnsi" w:cstheme="majorHAnsi"/>
                <w:i/>
                <w:szCs w:val="17"/>
                <w:lang w:eastAsia="en-GB"/>
              </w:rPr>
            </w:pPr>
          </w:p>
        </w:tc>
        <w:tc>
          <w:tcPr>
            <w:tcW w:w="627" w:type="dxa"/>
            <w:tcBorders>
              <w:top w:val="nil"/>
              <w:left w:val="single" w:sz="4" w:space="0" w:color="auto"/>
            </w:tcBorders>
            <w:shd w:val="clear" w:color="auto" w:fill="E0E0E0" w:themeFill="accent4"/>
            <w:noWrap/>
            <w:hideMark/>
          </w:tcPr>
          <w:p w14:paraId="77FDBACB" w14:textId="77777777" w:rsidR="00DD4551" w:rsidRPr="00E65B70" w:rsidRDefault="00DD4551" w:rsidP="00E65B70">
            <w:pPr>
              <w:pStyle w:val="TableText"/>
              <w:jc w:val="center"/>
              <w:rPr>
                <w:rFonts w:asciiTheme="majorHAnsi" w:hAnsiTheme="majorHAnsi" w:cstheme="majorHAnsi"/>
                <w:i/>
                <w:color w:val="000000"/>
                <w:szCs w:val="17"/>
                <w:lang w:eastAsia="en-GB"/>
              </w:rPr>
            </w:pPr>
            <w:r w:rsidRPr="00E65B70">
              <w:rPr>
                <w:rFonts w:asciiTheme="majorHAnsi" w:hAnsiTheme="majorHAnsi" w:cstheme="majorHAnsi"/>
                <w:i/>
                <w:color w:val="000000"/>
                <w:szCs w:val="17"/>
                <w:lang w:eastAsia="en-GB"/>
              </w:rPr>
              <w:t>1960</w:t>
            </w:r>
          </w:p>
        </w:tc>
        <w:tc>
          <w:tcPr>
            <w:tcW w:w="628" w:type="dxa"/>
            <w:tcBorders>
              <w:top w:val="nil"/>
            </w:tcBorders>
            <w:shd w:val="clear" w:color="auto" w:fill="E0E0E0" w:themeFill="accent4"/>
            <w:noWrap/>
            <w:hideMark/>
          </w:tcPr>
          <w:p w14:paraId="77FDBACC" w14:textId="77777777" w:rsidR="00DD4551" w:rsidRPr="00E65B70" w:rsidRDefault="00DD4551" w:rsidP="00E65B70">
            <w:pPr>
              <w:pStyle w:val="TableText"/>
              <w:jc w:val="center"/>
              <w:rPr>
                <w:rFonts w:asciiTheme="majorHAnsi" w:hAnsiTheme="majorHAnsi" w:cstheme="majorHAnsi"/>
                <w:i/>
                <w:color w:val="000000"/>
                <w:szCs w:val="17"/>
                <w:lang w:eastAsia="en-GB"/>
              </w:rPr>
            </w:pPr>
            <w:r w:rsidRPr="00E65B70">
              <w:rPr>
                <w:rFonts w:asciiTheme="majorHAnsi" w:hAnsiTheme="majorHAnsi" w:cstheme="majorHAnsi"/>
                <w:i/>
                <w:color w:val="000000"/>
                <w:szCs w:val="17"/>
                <w:lang w:eastAsia="en-GB"/>
              </w:rPr>
              <w:t>1975</w:t>
            </w:r>
          </w:p>
        </w:tc>
        <w:tc>
          <w:tcPr>
            <w:tcW w:w="628" w:type="dxa"/>
            <w:tcBorders>
              <w:top w:val="nil"/>
            </w:tcBorders>
            <w:shd w:val="clear" w:color="auto" w:fill="E0E0E0" w:themeFill="accent4"/>
            <w:noWrap/>
            <w:hideMark/>
          </w:tcPr>
          <w:p w14:paraId="77FDBACD" w14:textId="77777777" w:rsidR="00DD4551" w:rsidRPr="00E65B70" w:rsidRDefault="00DD4551" w:rsidP="00E65B70">
            <w:pPr>
              <w:pStyle w:val="TableText"/>
              <w:jc w:val="center"/>
              <w:rPr>
                <w:rFonts w:asciiTheme="majorHAnsi" w:hAnsiTheme="majorHAnsi" w:cstheme="majorHAnsi"/>
                <w:i/>
                <w:color w:val="000000"/>
                <w:szCs w:val="17"/>
                <w:lang w:eastAsia="en-GB"/>
              </w:rPr>
            </w:pPr>
            <w:r w:rsidRPr="00E65B70">
              <w:rPr>
                <w:rFonts w:asciiTheme="majorHAnsi" w:hAnsiTheme="majorHAnsi" w:cstheme="majorHAnsi"/>
                <w:i/>
                <w:color w:val="000000"/>
                <w:szCs w:val="17"/>
                <w:lang w:eastAsia="en-GB"/>
              </w:rPr>
              <w:t>1990</w:t>
            </w:r>
          </w:p>
        </w:tc>
        <w:tc>
          <w:tcPr>
            <w:tcW w:w="628" w:type="dxa"/>
            <w:tcBorders>
              <w:top w:val="nil"/>
            </w:tcBorders>
            <w:shd w:val="clear" w:color="auto" w:fill="E0E0E0" w:themeFill="accent4"/>
            <w:noWrap/>
            <w:hideMark/>
          </w:tcPr>
          <w:p w14:paraId="77FDBACE" w14:textId="77777777" w:rsidR="00DD4551" w:rsidRPr="00E65B70" w:rsidRDefault="00DD4551" w:rsidP="00E65B70">
            <w:pPr>
              <w:pStyle w:val="TableText"/>
              <w:jc w:val="center"/>
              <w:rPr>
                <w:rFonts w:asciiTheme="majorHAnsi" w:hAnsiTheme="majorHAnsi" w:cstheme="majorHAnsi"/>
                <w:i/>
                <w:color w:val="000000"/>
                <w:szCs w:val="17"/>
                <w:lang w:eastAsia="en-GB"/>
              </w:rPr>
            </w:pPr>
            <w:r w:rsidRPr="00E65B70">
              <w:rPr>
                <w:rFonts w:asciiTheme="majorHAnsi" w:hAnsiTheme="majorHAnsi" w:cstheme="majorHAnsi"/>
                <w:i/>
                <w:color w:val="000000"/>
                <w:szCs w:val="17"/>
                <w:lang w:eastAsia="en-GB"/>
              </w:rPr>
              <w:t>2000</w:t>
            </w:r>
          </w:p>
        </w:tc>
        <w:tc>
          <w:tcPr>
            <w:tcW w:w="628" w:type="dxa"/>
            <w:tcBorders>
              <w:top w:val="nil"/>
            </w:tcBorders>
            <w:shd w:val="clear" w:color="auto" w:fill="E0E0E0" w:themeFill="accent4"/>
            <w:noWrap/>
            <w:hideMark/>
          </w:tcPr>
          <w:p w14:paraId="77FDBACF" w14:textId="77777777" w:rsidR="00DD4551" w:rsidRPr="00E65B70" w:rsidRDefault="00DD4551" w:rsidP="00E65B70">
            <w:pPr>
              <w:pStyle w:val="TableText"/>
              <w:jc w:val="center"/>
              <w:rPr>
                <w:rFonts w:asciiTheme="majorHAnsi" w:hAnsiTheme="majorHAnsi" w:cstheme="majorHAnsi"/>
                <w:i/>
                <w:color w:val="000000"/>
                <w:szCs w:val="17"/>
                <w:lang w:eastAsia="en-GB"/>
              </w:rPr>
            </w:pPr>
            <w:r w:rsidRPr="00E65B70">
              <w:rPr>
                <w:rFonts w:asciiTheme="majorHAnsi" w:hAnsiTheme="majorHAnsi" w:cstheme="majorHAnsi"/>
                <w:i/>
                <w:color w:val="000000"/>
                <w:szCs w:val="17"/>
                <w:lang w:eastAsia="en-GB"/>
              </w:rPr>
              <w:t>2005</w:t>
            </w:r>
          </w:p>
        </w:tc>
        <w:tc>
          <w:tcPr>
            <w:tcW w:w="628" w:type="dxa"/>
            <w:tcBorders>
              <w:top w:val="nil"/>
              <w:right w:val="single" w:sz="4" w:space="0" w:color="auto"/>
            </w:tcBorders>
            <w:shd w:val="clear" w:color="auto" w:fill="E0E0E0" w:themeFill="accent4"/>
            <w:noWrap/>
            <w:hideMark/>
          </w:tcPr>
          <w:p w14:paraId="77FDBAD0" w14:textId="77777777" w:rsidR="00DD4551" w:rsidRPr="00E65B70" w:rsidRDefault="00DD4551" w:rsidP="00E65B70">
            <w:pPr>
              <w:pStyle w:val="TableText"/>
              <w:jc w:val="center"/>
              <w:rPr>
                <w:rFonts w:asciiTheme="majorHAnsi" w:hAnsiTheme="majorHAnsi" w:cstheme="majorHAnsi"/>
                <w:i/>
                <w:color w:val="000000"/>
                <w:szCs w:val="17"/>
                <w:lang w:eastAsia="en-GB"/>
              </w:rPr>
            </w:pPr>
            <w:r w:rsidRPr="00E65B70">
              <w:rPr>
                <w:rFonts w:asciiTheme="majorHAnsi" w:hAnsiTheme="majorHAnsi" w:cstheme="majorHAnsi"/>
                <w:i/>
                <w:color w:val="000000"/>
                <w:szCs w:val="17"/>
                <w:lang w:eastAsia="en-GB"/>
              </w:rPr>
              <w:t>2010</w:t>
            </w:r>
          </w:p>
        </w:tc>
        <w:tc>
          <w:tcPr>
            <w:tcW w:w="628" w:type="dxa"/>
            <w:tcBorders>
              <w:top w:val="nil"/>
              <w:left w:val="single" w:sz="4" w:space="0" w:color="auto"/>
            </w:tcBorders>
            <w:shd w:val="clear" w:color="auto" w:fill="E0E0E0" w:themeFill="accent4"/>
            <w:noWrap/>
            <w:hideMark/>
          </w:tcPr>
          <w:p w14:paraId="77FDBAD1" w14:textId="77777777" w:rsidR="00DD4551" w:rsidRPr="00E65B70" w:rsidRDefault="00DD4551" w:rsidP="00EA21D5">
            <w:pPr>
              <w:pStyle w:val="TableText"/>
              <w:jc w:val="center"/>
              <w:rPr>
                <w:rFonts w:asciiTheme="majorHAnsi" w:hAnsiTheme="majorHAnsi" w:cstheme="majorHAnsi"/>
                <w:i/>
                <w:color w:val="000000"/>
                <w:szCs w:val="17"/>
                <w:lang w:eastAsia="en-GB"/>
              </w:rPr>
            </w:pPr>
            <w:r w:rsidRPr="00E65B70">
              <w:rPr>
                <w:rFonts w:asciiTheme="majorHAnsi" w:hAnsiTheme="majorHAnsi" w:cstheme="majorHAnsi"/>
                <w:i/>
                <w:color w:val="000000"/>
                <w:szCs w:val="17"/>
                <w:lang w:eastAsia="en-GB"/>
              </w:rPr>
              <w:t>196</w:t>
            </w:r>
            <w:r w:rsidR="00EA21D5">
              <w:rPr>
                <w:rFonts w:asciiTheme="majorHAnsi" w:hAnsiTheme="majorHAnsi" w:cstheme="majorHAnsi"/>
                <w:i/>
                <w:color w:val="000000"/>
                <w:szCs w:val="17"/>
                <w:lang w:eastAsia="en-GB"/>
              </w:rPr>
              <w:t>1</w:t>
            </w:r>
          </w:p>
        </w:tc>
        <w:tc>
          <w:tcPr>
            <w:tcW w:w="628" w:type="dxa"/>
            <w:tcBorders>
              <w:top w:val="nil"/>
            </w:tcBorders>
            <w:shd w:val="clear" w:color="auto" w:fill="E0E0E0" w:themeFill="accent4"/>
            <w:noWrap/>
            <w:hideMark/>
          </w:tcPr>
          <w:p w14:paraId="77FDBAD2" w14:textId="77777777" w:rsidR="00DD4551" w:rsidRPr="00E65B70" w:rsidRDefault="00DD4551" w:rsidP="00E65B70">
            <w:pPr>
              <w:pStyle w:val="TableText"/>
              <w:jc w:val="center"/>
              <w:rPr>
                <w:rFonts w:asciiTheme="majorHAnsi" w:hAnsiTheme="majorHAnsi" w:cstheme="majorHAnsi"/>
                <w:i/>
                <w:color w:val="000000"/>
                <w:szCs w:val="17"/>
                <w:lang w:eastAsia="en-GB"/>
              </w:rPr>
            </w:pPr>
            <w:r w:rsidRPr="00E65B70">
              <w:rPr>
                <w:rFonts w:asciiTheme="majorHAnsi" w:hAnsiTheme="majorHAnsi" w:cstheme="majorHAnsi"/>
                <w:i/>
                <w:color w:val="000000"/>
                <w:szCs w:val="17"/>
                <w:lang w:eastAsia="en-GB"/>
              </w:rPr>
              <w:t>1975</w:t>
            </w:r>
          </w:p>
        </w:tc>
        <w:tc>
          <w:tcPr>
            <w:tcW w:w="628" w:type="dxa"/>
            <w:tcBorders>
              <w:top w:val="nil"/>
            </w:tcBorders>
            <w:shd w:val="clear" w:color="auto" w:fill="E0E0E0" w:themeFill="accent4"/>
            <w:noWrap/>
            <w:hideMark/>
          </w:tcPr>
          <w:p w14:paraId="77FDBAD3" w14:textId="77777777" w:rsidR="00DD4551" w:rsidRPr="00E65B70" w:rsidRDefault="00DD4551" w:rsidP="00E65B70">
            <w:pPr>
              <w:pStyle w:val="TableText"/>
              <w:jc w:val="center"/>
              <w:rPr>
                <w:rFonts w:asciiTheme="majorHAnsi" w:hAnsiTheme="majorHAnsi" w:cstheme="majorHAnsi"/>
                <w:i/>
                <w:color w:val="000000"/>
                <w:szCs w:val="17"/>
                <w:lang w:eastAsia="en-GB"/>
              </w:rPr>
            </w:pPr>
            <w:r w:rsidRPr="00E65B70">
              <w:rPr>
                <w:rFonts w:asciiTheme="majorHAnsi" w:hAnsiTheme="majorHAnsi" w:cstheme="majorHAnsi"/>
                <w:i/>
                <w:color w:val="000000"/>
                <w:szCs w:val="17"/>
                <w:lang w:eastAsia="en-GB"/>
              </w:rPr>
              <w:t>1990</w:t>
            </w:r>
          </w:p>
        </w:tc>
        <w:tc>
          <w:tcPr>
            <w:tcW w:w="627" w:type="dxa"/>
            <w:tcBorders>
              <w:top w:val="nil"/>
            </w:tcBorders>
            <w:shd w:val="clear" w:color="auto" w:fill="E0E0E0" w:themeFill="accent4"/>
            <w:noWrap/>
            <w:hideMark/>
          </w:tcPr>
          <w:p w14:paraId="77FDBAD4" w14:textId="77777777" w:rsidR="00DD4551" w:rsidRPr="00E65B70" w:rsidRDefault="00DD4551" w:rsidP="00E65B70">
            <w:pPr>
              <w:pStyle w:val="TableText"/>
              <w:jc w:val="center"/>
              <w:rPr>
                <w:rFonts w:asciiTheme="majorHAnsi" w:hAnsiTheme="majorHAnsi" w:cstheme="majorHAnsi"/>
                <w:i/>
                <w:color w:val="000000"/>
                <w:szCs w:val="17"/>
                <w:lang w:eastAsia="en-GB"/>
              </w:rPr>
            </w:pPr>
            <w:r w:rsidRPr="00E65B70">
              <w:rPr>
                <w:rFonts w:asciiTheme="majorHAnsi" w:hAnsiTheme="majorHAnsi" w:cstheme="majorHAnsi"/>
                <w:i/>
                <w:color w:val="000000"/>
                <w:szCs w:val="17"/>
                <w:lang w:eastAsia="en-GB"/>
              </w:rPr>
              <w:t>2000</w:t>
            </w:r>
          </w:p>
        </w:tc>
        <w:tc>
          <w:tcPr>
            <w:tcW w:w="628" w:type="dxa"/>
            <w:tcBorders>
              <w:top w:val="nil"/>
            </w:tcBorders>
            <w:shd w:val="clear" w:color="auto" w:fill="E0E0E0" w:themeFill="accent4"/>
            <w:noWrap/>
            <w:hideMark/>
          </w:tcPr>
          <w:p w14:paraId="77FDBAD5" w14:textId="77777777" w:rsidR="00DD4551" w:rsidRPr="00E65B70" w:rsidRDefault="00DD4551" w:rsidP="00E65B70">
            <w:pPr>
              <w:pStyle w:val="TableText"/>
              <w:jc w:val="center"/>
              <w:rPr>
                <w:rFonts w:asciiTheme="majorHAnsi" w:hAnsiTheme="majorHAnsi" w:cstheme="majorHAnsi"/>
                <w:i/>
                <w:color w:val="000000"/>
                <w:szCs w:val="17"/>
                <w:lang w:eastAsia="en-GB"/>
              </w:rPr>
            </w:pPr>
            <w:r w:rsidRPr="00E65B70">
              <w:rPr>
                <w:rFonts w:asciiTheme="majorHAnsi" w:hAnsiTheme="majorHAnsi" w:cstheme="majorHAnsi"/>
                <w:i/>
                <w:color w:val="000000"/>
                <w:szCs w:val="17"/>
                <w:lang w:eastAsia="en-GB"/>
              </w:rPr>
              <w:t>2005</w:t>
            </w:r>
          </w:p>
        </w:tc>
        <w:tc>
          <w:tcPr>
            <w:tcW w:w="628" w:type="dxa"/>
            <w:tcBorders>
              <w:top w:val="nil"/>
              <w:right w:val="single" w:sz="4" w:space="0" w:color="auto"/>
            </w:tcBorders>
            <w:shd w:val="clear" w:color="auto" w:fill="E0E0E0" w:themeFill="accent4"/>
            <w:noWrap/>
            <w:hideMark/>
          </w:tcPr>
          <w:p w14:paraId="77FDBAD6" w14:textId="77777777" w:rsidR="00DD4551" w:rsidRPr="00E65B70" w:rsidRDefault="00DD4551" w:rsidP="00E65B70">
            <w:pPr>
              <w:pStyle w:val="TableText"/>
              <w:jc w:val="center"/>
              <w:rPr>
                <w:rFonts w:asciiTheme="majorHAnsi" w:hAnsiTheme="majorHAnsi" w:cstheme="majorHAnsi"/>
                <w:i/>
                <w:color w:val="000000"/>
                <w:szCs w:val="17"/>
                <w:lang w:eastAsia="en-GB"/>
              </w:rPr>
            </w:pPr>
            <w:r w:rsidRPr="00E65B70">
              <w:rPr>
                <w:rFonts w:asciiTheme="majorHAnsi" w:hAnsiTheme="majorHAnsi" w:cstheme="majorHAnsi"/>
                <w:i/>
                <w:color w:val="000000"/>
                <w:szCs w:val="17"/>
                <w:lang w:eastAsia="en-GB"/>
              </w:rPr>
              <w:t>2010</w:t>
            </w:r>
          </w:p>
        </w:tc>
        <w:tc>
          <w:tcPr>
            <w:tcW w:w="628" w:type="dxa"/>
            <w:tcBorders>
              <w:top w:val="nil"/>
              <w:left w:val="single" w:sz="4" w:space="0" w:color="auto"/>
            </w:tcBorders>
            <w:shd w:val="clear" w:color="auto" w:fill="E0E0E0" w:themeFill="accent4"/>
            <w:noWrap/>
            <w:hideMark/>
          </w:tcPr>
          <w:p w14:paraId="77FDBAD7" w14:textId="77777777" w:rsidR="00DD4551" w:rsidRPr="00E65B70" w:rsidRDefault="00DD4551" w:rsidP="00EA21D5">
            <w:pPr>
              <w:pStyle w:val="TableText"/>
              <w:jc w:val="center"/>
              <w:rPr>
                <w:rFonts w:asciiTheme="majorHAnsi" w:hAnsiTheme="majorHAnsi" w:cstheme="majorHAnsi"/>
                <w:i/>
                <w:color w:val="000000"/>
                <w:szCs w:val="17"/>
                <w:lang w:eastAsia="en-GB"/>
              </w:rPr>
            </w:pPr>
            <w:r w:rsidRPr="00E65B70">
              <w:rPr>
                <w:rFonts w:asciiTheme="majorHAnsi" w:hAnsiTheme="majorHAnsi" w:cstheme="majorHAnsi"/>
                <w:i/>
                <w:color w:val="000000"/>
                <w:szCs w:val="17"/>
                <w:lang w:eastAsia="en-GB"/>
              </w:rPr>
              <w:t>196</w:t>
            </w:r>
            <w:r w:rsidR="00EA21D5">
              <w:rPr>
                <w:rFonts w:asciiTheme="majorHAnsi" w:hAnsiTheme="majorHAnsi" w:cstheme="majorHAnsi"/>
                <w:i/>
                <w:color w:val="000000"/>
                <w:szCs w:val="17"/>
                <w:lang w:eastAsia="en-GB"/>
              </w:rPr>
              <w:t>1</w:t>
            </w:r>
          </w:p>
        </w:tc>
        <w:tc>
          <w:tcPr>
            <w:tcW w:w="628" w:type="dxa"/>
            <w:tcBorders>
              <w:top w:val="nil"/>
            </w:tcBorders>
            <w:shd w:val="clear" w:color="auto" w:fill="E0E0E0" w:themeFill="accent4"/>
            <w:noWrap/>
            <w:hideMark/>
          </w:tcPr>
          <w:p w14:paraId="77FDBAD8" w14:textId="77777777" w:rsidR="00DD4551" w:rsidRPr="00E65B70" w:rsidRDefault="00DD4551" w:rsidP="00E65B70">
            <w:pPr>
              <w:pStyle w:val="TableText"/>
              <w:jc w:val="center"/>
              <w:rPr>
                <w:rFonts w:asciiTheme="majorHAnsi" w:hAnsiTheme="majorHAnsi" w:cstheme="majorHAnsi"/>
                <w:i/>
                <w:color w:val="000000"/>
                <w:szCs w:val="17"/>
                <w:lang w:eastAsia="en-GB"/>
              </w:rPr>
            </w:pPr>
            <w:r w:rsidRPr="00E65B70">
              <w:rPr>
                <w:rFonts w:asciiTheme="majorHAnsi" w:hAnsiTheme="majorHAnsi" w:cstheme="majorHAnsi"/>
                <w:i/>
                <w:color w:val="000000"/>
                <w:szCs w:val="17"/>
                <w:lang w:eastAsia="en-GB"/>
              </w:rPr>
              <w:t>1975</w:t>
            </w:r>
          </w:p>
        </w:tc>
        <w:tc>
          <w:tcPr>
            <w:tcW w:w="628" w:type="dxa"/>
            <w:tcBorders>
              <w:top w:val="nil"/>
            </w:tcBorders>
            <w:shd w:val="clear" w:color="auto" w:fill="E0E0E0" w:themeFill="accent4"/>
            <w:noWrap/>
            <w:hideMark/>
          </w:tcPr>
          <w:p w14:paraId="77FDBAD9" w14:textId="77777777" w:rsidR="00DD4551" w:rsidRPr="00E65B70" w:rsidRDefault="00DD4551" w:rsidP="00E65B70">
            <w:pPr>
              <w:pStyle w:val="TableText"/>
              <w:jc w:val="center"/>
              <w:rPr>
                <w:rFonts w:asciiTheme="majorHAnsi" w:hAnsiTheme="majorHAnsi" w:cstheme="majorHAnsi"/>
                <w:i/>
                <w:color w:val="000000"/>
                <w:szCs w:val="17"/>
                <w:lang w:eastAsia="en-GB"/>
              </w:rPr>
            </w:pPr>
            <w:r w:rsidRPr="00E65B70">
              <w:rPr>
                <w:rFonts w:asciiTheme="majorHAnsi" w:hAnsiTheme="majorHAnsi" w:cstheme="majorHAnsi"/>
                <w:i/>
                <w:color w:val="000000"/>
                <w:szCs w:val="17"/>
                <w:lang w:eastAsia="en-GB"/>
              </w:rPr>
              <w:t>1990</w:t>
            </w:r>
          </w:p>
        </w:tc>
        <w:tc>
          <w:tcPr>
            <w:tcW w:w="628" w:type="dxa"/>
            <w:tcBorders>
              <w:top w:val="nil"/>
            </w:tcBorders>
            <w:shd w:val="clear" w:color="auto" w:fill="E0E0E0" w:themeFill="accent4"/>
            <w:noWrap/>
            <w:hideMark/>
          </w:tcPr>
          <w:p w14:paraId="77FDBADA" w14:textId="77777777" w:rsidR="00DD4551" w:rsidRPr="00E65B70" w:rsidRDefault="00DD4551" w:rsidP="00E65B70">
            <w:pPr>
              <w:pStyle w:val="TableText"/>
              <w:jc w:val="center"/>
              <w:rPr>
                <w:rFonts w:asciiTheme="majorHAnsi" w:hAnsiTheme="majorHAnsi" w:cstheme="majorHAnsi"/>
                <w:i/>
                <w:color w:val="000000"/>
                <w:szCs w:val="17"/>
                <w:lang w:eastAsia="en-GB"/>
              </w:rPr>
            </w:pPr>
            <w:r w:rsidRPr="00E65B70">
              <w:rPr>
                <w:rFonts w:asciiTheme="majorHAnsi" w:hAnsiTheme="majorHAnsi" w:cstheme="majorHAnsi"/>
                <w:i/>
                <w:color w:val="000000"/>
                <w:szCs w:val="17"/>
                <w:lang w:eastAsia="en-GB"/>
              </w:rPr>
              <w:t>2000</w:t>
            </w:r>
          </w:p>
        </w:tc>
        <w:tc>
          <w:tcPr>
            <w:tcW w:w="628" w:type="dxa"/>
            <w:tcBorders>
              <w:top w:val="nil"/>
            </w:tcBorders>
            <w:shd w:val="clear" w:color="auto" w:fill="E0E0E0" w:themeFill="accent4"/>
            <w:noWrap/>
            <w:hideMark/>
          </w:tcPr>
          <w:p w14:paraId="77FDBADB" w14:textId="77777777" w:rsidR="00DD4551" w:rsidRPr="00E65B70" w:rsidRDefault="00DD4551" w:rsidP="00E65B70">
            <w:pPr>
              <w:pStyle w:val="TableText"/>
              <w:jc w:val="center"/>
              <w:rPr>
                <w:rFonts w:asciiTheme="majorHAnsi" w:hAnsiTheme="majorHAnsi" w:cstheme="majorHAnsi"/>
                <w:i/>
                <w:color w:val="000000"/>
                <w:szCs w:val="17"/>
                <w:lang w:eastAsia="en-GB"/>
              </w:rPr>
            </w:pPr>
            <w:r w:rsidRPr="00E65B70">
              <w:rPr>
                <w:rFonts w:asciiTheme="majorHAnsi" w:hAnsiTheme="majorHAnsi" w:cstheme="majorHAnsi"/>
                <w:i/>
                <w:color w:val="000000"/>
                <w:szCs w:val="17"/>
                <w:lang w:eastAsia="en-GB"/>
              </w:rPr>
              <w:t>2005</w:t>
            </w:r>
          </w:p>
        </w:tc>
        <w:tc>
          <w:tcPr>
            <w:tcW w:w="628" w:type="dxa"/>
            <w:tcBorders>
              <w:top w:val="nil"/>
            </w:tcBorders>
            <w:shd w:val="clear" w:color="auto" w:fill="E0E0E0" w:themeFill="accent4"/>
            <w:noWrap/>
            <w:hideMark/>
          </w:tcPr>
          <w:p w14:paraId="77FDBADC" w14:textId="77777777" w:rsidR="00DD4551" w:rsidRPr="00E65B70" w:rsidRDefault="00DD4551" w:rsidP="00E65B70">
            <w:pPr>
              <w:pStyle w:val="TableText"/>
              <w:jc w:val="center"/>
              <w:rPr>
                <w:rFonts w:asciiTheme="majorHAnsi" w:hAnsiTheme="majorHAnsi" w:cstheme="majorHAnsi"/>
                <w:i/>
                <w:color w:val="000000"/>
                <w:szCs w:val="17"/>
                <w:lang w:eastAsia="en-GB"/>
              </w:rPr>
            </w:pPr>
            <w:r w:rsidRPr="00E65B70">
              <w:rPr>
                <w:rFonts w:asciiTheme="majorHAnsi" w:hAnsiTheme="majorHAnsi" w:cstheme="majorHAnsi"/>
                <w:i/>
                <w:color w:val="000000"/>
                <w:szCs w:val="17"/>
                <w:lang w:eastAsia="en-GB"/>
              </w:rPr>
              <w:t>2010</w:t>
            </w:r>
          </w:p>
        </w:tc>
      </w:tr>
      <w:tr w:rsidR="00EA21D5" w:rsidRPr="00EA21D5" w14:paraId="77FDBAF1" w14:textId="77777777" w:rsidTr="00EA21D5">
        <w:trPr>
          <w:cnfStyle w:val="000000010000" w:firstRow="0" w:lastRow="0" w:firstColumn="0" w:lastColumn="0" w:oddVBand="0" w:evenVBand="0" w:oddHBand="0" w:evenHBand="1" w:firstRowFirstColumn="0" w:firstRowLastColumn="0" w:lastRowFirstColumn="0" w:lastRowLastColumn="0"/>
        </w:trPr>
        <w:tc>
          <w:tcPr>
            <w:tcW w:w="2700" w:type="dxa"/>
            <w:tcBorders>
              <w:bottom w:val="single" w:sz="4" w:space="0" w:color="auto"/>
              <w:right w:val="single" w:sz="4" w:space="0" w:color="auto"/>
            </w:tcBorders>
            <w:noWrap/>
            <w:hideMark/>
          </w:tcPr>
          <w:p w14:paraId="77FDBADE" w14:textId="77777777" w:rsidR="00EA21D5" w:rsidRPr="00EA21D5" w:rsidRDefault="00EA21D5" w:rsidP="00DD4551">
            <w:pPr>
              <w:pStyle w:val="TableText"/>
              <w:rPr>
                <w:rFonts w:asciiTheme="majorHAnsi" w:hAnsiTheme="majorHAnsi" w:cstheme="majorHAnsi"/>
                <w:b/>
                <w:color w:val="000000"/>
                <w:szCs w:val="17"/>
                <w:lang w:eastAsia="en-GB"/>
              </w:rPr>
            </w:pPr>
            <w:r w:rsidRPr="00EA21D5">
              <w:rPr>
                <w:rFonts w:asciiTheme="majorHAnsi" w:hAnsiTheme="majorHAnsi" w:cstheme="majorHAnsi"/>
                <w:b/>
                <w:color w:val="000000"/>
                <w:szCs w:val="17"/>
                <w:lang w:eastAsia="en-GB"/>
              </w:rPr>
              <w:t>Agriculture</w:t>
            </w:r>
          </w:p>
        </w:tc>
        <w:tc>
          <w:tcPr>
            <w:tcW w:w="627" w:type="dxa"/>
            <w:tcBorders>
              <w:left w:val="single" w:sz="4" w:space="0" w:color="auto"/>
              <w:bottom w:val="single" w:sz="4" w:space="0" w:color="auto"/>
            </w:tcBorders>
            <w:noWrap/>
            <w:vAlign w:val="bottom"/>
          </w:tcPr>
          <w:p w14:paraId="77FDBADF"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26.3</w:t>
            </w:r>
          </w:p>
        </w:tc>
        <w:tc>
          <w:tcPr>
            <w:tcW w:w="628" w:type="dxa"/>
            <w:tcBorders>
              <w:bottom w:val="single" w:sz="4" w:space="0" w:color="auto"/>
            </w:tcBorders>
            <w:noWrap/>
            <w:vAlign w:val="bottom"/>
          </w:tcPr>
          <w:p w14:paraId="77FDBAE0"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17.1</w:t>
            </w:r>
          </w:p>
        </w:tc>
        <w:tc>
          <w:tcPr>
            <w:tcW w:w="628" w:type="dxa"/>
            <w:tcBorders>
              <w:bottom w:val="single" w:sz="4" w:space="0" w:color="auto"/>
            </w:tcBorders>
            <w:noWrap/>
            <w:vAlign w:val="bottom"/>
          </w:tcPr>
          <w:p w14:paraId="77FDBAE1"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31.0</w:t>
            </w:r>
          </w:p>
        </w:tc>
        <w:tc>
          <w:tcPr>
            <w:tcW w:w="628" w:type="dxa"/>
            <w:tcBorders>
              <w:bottom w:val="single" w:sz="4" w:space="0" w:color="auto"/>
            </w:tcBorders>
            <w:noWrap/>
            <w:vAlign w:val="bottom"/>
          </w:tcPr>
          <w:p w14:paraId="77FDBAE2"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36.2</w:t>
            </w:r>
          </w:p>
        </w:tc>
        <w:tc>
          <w:tcPr>
            <w:tcW w:w="628" w:type="dxa"/>
            <w:tcBorders>
              <w:bottom w:val="single" w:sz="4" w:space="0" w:color="auto"/>
            </w:tcBorders>
            <w:noWrap/>
            <w:vAlign w:val="bottom"/>
          </w:tcPr>
          <w:p w14:paraId="77FDBAE3"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34.2</w:t>
            </w:r>
          </w:p>
        </w:tc>
        <w:tc>
          <w:tcPr>
            <w:tcW w:w="628" w:type="dxa"/>
            <w:tcBorders>
              <w:bottom w:val="single" w:sz="4" w:space="0" w:color="auto"/>
              <w:right w:val="single" w:sz="4" w:space="0" w:color="auto"/>
            </w:tcBorders>
            <w:noWrap/>
            <w:vAlign w:val="bottom"/>
          </w:tcPr>
          <w:p w14:paraId="77FDBAE4"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30.1</w:t>
            </w:r>
          </w:p>
        </w:tc>
        <w:tc>
          <w:tcPr>
            <w:tcW w:w="628" w:type="dxa"/>
            <w:tcBorders>
              <w:left w:val="single" w:sz="4" w:space="0" w:color="auto"/>
              <w:bottom w:val="single" w:sz="4" w:space="0" w:color="auto"/>
            </w:tcBorders>
            <w:noWrap/>
            <w:vAlign w:val="bottom"/>
          </w:tcPr>
          <w:p w14:paraId="77FDBAE5"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89.5</w:t>
            </w:r>
          </w:p>
        </w:tc>
        <w:tc>
          <w:tcPr>
            <w:tcW w:w="628" w:type="dxa"/>
            <w:tcBorders>
              <w:bottom w:val="single" w:sz="4" w:space="0" w:color="auto"/>
            </w:tcBorders>
            <w:noWrap/>
            <w:vAlign w:val="bottom"/>
          </w:tcPr>
          <w:p w14:paraId="77FDBAE6"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89.1</w:t>
            </w:r>
          </w:p>
        </w:tc>
        <w:tc>
          <w:tcPr>
            <w:tcW w:w="628" w:type="dxa"/>
            <w:tcBorders>
              <w:bottom w:val="single" w:sz="4" w:space="0" w:color="auto"/>
            </w:tcBorders>
            <w:noWrap/>
            <w:vAlign w:val="bottom"/>
          </w:tcPr>
          <w:p w14:paraId="77FDBAE7"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86.1</w:t>
            </w:r>
          </w:p>
        </w:tc>
        <w:tc>
          <w:tcPr>
            <w:tcW w:w="627" w:type="dxa"/>
            <w:tcBorders>
              <w:bottom w:val="single" w:sz="4" w:space="0" w:color="auto"/>
            </w:tcBorders>
            <w:noWrap/>
            <w:vAlign w:val="bottom"/>
          </w:tcPr>
          <w:p w14:paraId="77FDBAE8"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83.5</w:t>
            </w:r>
          </w:p>
        </w:tc>
        <w:tc>
          <w:tcPr>
            <w:tcW w:w="628" w:type="dxa"/>
            <w:tcBorders>
              <w:bottom w:val="single" w:sz="4" w:space="0" w:color="auto"/>
            </w:tcBorders>
            <w:noWrap/>
            <w:vAlign w:val="bottom"/>
          </w:tcPr>
          <w:p w14:paraId="77FDBAE9"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78.7</w:t>
            </w:r>
          </w:p>
        </w:tc>
        <w:tc>
          <w:tcPr>
            <w:tcW w:w="628" w:type="dxa"/>
            <w:tcBorders>
              <w:bottom w:val="single" w:sz="4" w:space="0" w:color="auto"/>
              <w:right w:val="single" w:sz="4" w:space="0" w:color="auto"/>
            </w:tcBorders>
            <w:noWrap/>
            <w:vAlign w:val="bottom"/>
          </w:tcPr>
          <w:p w14:paraId="77FDBAEA"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73.4</w:t>
            </w:r>
          </w:p>
        </w:tc>
        <w:tc>
          <w:tcPr>
            <w:tcW w:w="628" w:type="dxa"/>
            <w:tcBorders>
              <w:left w:val="single" w:sz="4" w:space="0" w:color="auto"/>
              <w:bottom w:val="single" w:sz="4" w:space="0" w:color="auto"/>
            </w:tcBorders>
            <w:noWrap/>
            <w:vAlign w:val="bottom"/>
          </w:tcPr>
          <w:p w14:paraId="77FDBAEB"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0.5</w:t>
            </w:r>
          </w:p>
        </w:tc>
        <w:tc>
          <w:tcPr>
            <w:tcW w:w="628" w:type="dxa"/>
            <w:tcBorders>
              <w:bottom w:val="single" w:sz="4" w:space="0" w:color="auto"/>
            </w:tcBorders>
            <w:noWrap/>
            <w:vAlign w:val="bottom"/>
          </w:tcPr>
          <w:p w14:paraId="77FDBAEC"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0.4</w:t>
            </w:r>
          </w:p>
        </w:tc>
        <w:tc>
          <w:tcPr>
            <w:tcW w:w="628" w:type="dxa"/>
            <w:tcBorders>
              <w:bottom w:val="single" w:sz="4" w:space="0" w:color="auto"/>
            </w:tcBorders>
            <w:noWrap/>
            <w:vAlign w:val="bottom"/>
          </w:tcPr>
          <w:p w14:paraId="77FDBAED"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0.4</w:t>
            </w:r>
          </w:p>
        </w:tc>
        <w:tc>
          <w:tcPr>
            <w:tcW w:w="628" w:type="dxa"/>
            <w:tcBorders>
              <w:bottom w:val="single" w:sz="4" w:space="0" w:color="auto"/>
            </w:tcBorders>
            <w:noWrap/>
            <w:vAlign w:val="bottom"/>
          </w:tcPr>
          <w:p w14:paraId="77FDBAEE"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0.5</w:t>
            </w:r>
          </w:p>
        </w:tc>
        <w:tc>
          <w:tcPr>
            <w:tcW w:w="628" w:type="dxa"/>
            <w:tcBorders>
              <w:bottom w:val="single" w:sz="4" w:space="0" w:color="auto"/>
            </w:tcBorders>
            <w:noWrap/>
            <w:vAlign w:val="bottom"/>
          </w:tcPr>
          <w:p w14:paraId="77FDBAEF"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0.4</w:t>
            </w:r>
          </w:p>
        </w:tc>
        <w:tc>
          <w:tcPr>
            <w:tcW w:w="628" w:type="dxa"/>
            <w:tcBorders>
              <w:bottom w:val="single" w:sz="4" w:space="0" w:color="auto"/>
            </w:tcBorders>
            <w:noWrap/>
            <w:vAlign w:val="bottom"/>
          </w:tcPr>
          <w:p w14:paraId="77FDBAF0"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0.4</w:t>
            </w:r>
          </w:p>
        </w:tc>
      </w:tr>
      <w:tr w:rsidR="00EA21D5" w:rsidRPr="00EA21D5" w14:paraId="77FDBB05" w14:textId="77777777" w:rsidTr="00EA21D5">
        <w:trPr>
          <w:cnfStyle w:val="000000100000" w:firstRow="0" w:lastRow="0" w:firstColumn="0" w:lastColumn="0" w:oddVBand="0" w:evenVBand="0" w:oddHBand="1" w:evenHBand="0" w:firstRowFirstColumn="0" w:firstRowLastColumn="0" w:lastRowFirstColumn="0" w:lastRowLastColumn="0"/>
        </w:trPr>
        <w:tc>
          <w:tcPr>
            <w:tcW w:w="2700" w:type="dxa"/>
            <w:tcBorders>
              <w:top w:val="single" w:sz="4" w:space="0" w:color="auto"/>
              <w:bottom w:val="nil"/>
              <w:right w:val="single" w:sz="4" w:space="0" w:color="auto"/>
            </w:tcBorders>
            <w:noWrap/>
            <w:hideMark/>
          </w:tcPr>
          <w:p w14:paraId="77FDBAF2" w14:textId="77777777" w:rsidR="00EA21D5" w:rsidRPr="00EA21D5" w:rsidRDefault="00EA21D5" w:rsidP="00DD4551">
            <w:pPr>
              <w:pStyle w:val="TableText"/>
              <w:rPr>
                <w:rFonts w:asciiTheme="majorHAnsi" w:hAnsiTheme="majorHAnsi" w:cstheme="majorHAnsi"/>
                <w:b/>
                <w:color w:val="000000"/>
                <w:szCs w:val="17"/>
                <w:lang w:eastAsia="en-GB"/>
              </w:rPr>
            </w:pPr>
            <w:r w:rsidRPr="00EA21D5">
              <w:rPr>
                <w:rFonts w:asciiTheme="majorHAnsi" w:hAnsiTheme="majorHAnsi" w:cstheme="majorHAnsi"/>
                <w:b/>
                <w:color w:val="000000"/>
                <w:szCs w:val="17"/>
                <w:lang w:eastAsia="en-GB"/>
              </w:rPr>
              <w:t>Industry</w:t>
            </w:r>
          </w:p>
        </w:tc>
        <w:tc>
          <w:tcPr>
            <w:tcW w:w="627" w:type="dxa"/>
            <w:tcBorders>
              <w:top w:val="single" w:sz="4" w:space="0" w:color="auto"/>
              <w:left w:val="single" w:sz="4" w:space="0" w:color="auto"/>
              <w:bottom w:val="nil"/>
            </w:tcBorders>
            <w:noWrap/>
            <w:vAlign w:val="bottom"/>
          </w:tcPr>
          <w:p w14:paraId="77FDBAF3"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22.6</w:t>
            </w:r>
          </w:p>
        </w:tc>
        <w:tc>
          <w:tcPr>
            <w:tcW w:w="628" w:type="dxa"/>
            <w:tcBorders>
              <w:top w:val="single" w:sz="4" w:space="0" w:color="auto"/>
              <w:bottom w:val="nil"/>
            </w:tcBorders>
            <w:noWrap/>
            <w:vAlign w:val="bottom"/>
          </w:tcPr>
          <w:p w14:paraId="77FDBAF4"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29.2</w:t>
            </w:r>
          </w:p>
        </w:tc>
        <w:tc>
          <w:tcPr>
            <w:tcW w:w="628" w:type="dxa"/>
            <w:tcBorders>
              <w:top w:val="single" w:sz="4" w:space="0" w:color="auto"/>
              <w:bottom w:val="nil"/>
            </w:tcBorders>
            <w:noWrap/>
            <w:vAlign w:val="bottom"/>
          </w:tcPr>
          <w:p w14:paraId="77FDBAF5"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20.1</w:t>
            </w:r>
          </w:p>
        </w:tc>
        <w:tc>
          <w:tcPr>
            <w:tcW w:w="628" w:type="dxa"/>
            <w:tcBorders>
              <w:top w:val="single" w:sz="4" w:space="0" w:color="auto"/>
              <w:bottom w:val="nil"/>
            </w:tcBorders>
            <w:noWrap/>
            <w:vAlign w:val="bottom"/>
          </w:tcPr>
          <w:p w14:paraId="77FDBAF6"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20.7</w:t>
            </w:r>
          </w:p>
        </w:tc>
        <w:tc>
          <w:tcPr>
            <w:tcW w:w="628" w:type="dxa"/>
            <w:tcBorders>
              <w:top w:val="single" w:sz="4" w:space="0" w:color="auto"/>
              <w:bottom w:val="nil"/>
            </w:tcBorders>
            <w:noWrap/>
            <w:vAlign w:val="bottom"/>
          </w:tcPr>
          <w:p w14:paraId="77FDBAF7"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24.4</w:t>
            </w:r>
          </w:p>
        </w:tc>
        <w:tc>
          <w:tcPr>
            <w:tcW w:w="628" w:type="dxa"/>
            <w:tcBorders>
              <w:top w:val="single" w:sz="4" w:space="0" w:color="auto"/>
              <w:bottom w:val="nil"/>
              <w:right w:val="single" w:sz="4" w:space="0" w:color="auto"/>
            </w:tcBorders>
            <w:noWrap/>
            <w:vAlign w:val="bottom"/>
          </w:tcPr>
          <w:p w14:paraId="77FDBAF8"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26.4</w:t>
            </w:r>
          </w:p>
        </w:tc>
        <w:tc>
          <w:tcPr>
            <w:tcW w:w="628" w:type="dxa"/>
            <w:tcBorders>
              <w:top w:val="single" w:sz="4" w:space="0" w:color="auto"/>
              <w:left w:val="single" w:sz="4" w:space="0" w:color="auto"/>
              <w:bottom w:val="nil"/>
            </w:tcBorders>
            <w:noWrap/>
            <w:vAlign w:val="bottom"/>
          </w:tcPr>
          <w:p w14:paraId="77FDBAF9"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1.4</w:t>
            </w:r>
          </w:p>
        </w:tc>
        <w:tc>
          <w:tcPr>
            <w:tcW w:w="628" w:type="dxa"/>
            <w:tcBorders>
              <w:top w:val="single" w:sz="4" w:space="0" w:color="auto"/>
              <w:bottom w:val="nil"/>
            </w:tcBorders>
            <w:noWrap/>
            <w:vAlign w:val="bottom"/>
          </w:tcPr>
          <w:p w14:paraId="77FDBAFA"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2.8</w:t>
            </w:r>
          </w:p>
        </w:tc>
        <w:tc>
          <w:tcPr>
            <w:tcW w:w="628" w:type="dxa"/>
            <w:tcBorders>
              <w:top w:val="single" w:sz="4" w:space="0" w:color="auto"/>
              <w:bottom w:val="nil"/>
            </w:tcBorders>
            <w:noWrap/>
            <w:vAlign w:val="bottom"/>
          </w:tcPr>
          <w:p w14:paraId="77FDBAFB"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2.7</w:t>
            </w:r>
          </w:p>
        </w:tc>
        <w:tc>
          <w:tcPr>
            <w:tcW w:w="627" w:type="dxa"/>
            <w:tcBorders>
              <w:top w:val="single" w:sz="4" w:space="0" w:color="auto"/>
              <w:bottom w:val="nil"/>
            </w:tcBorders>
            <w:noWrap/>
            <w:vAlign w:val="bottom"/>
          </w:tcPr>
          <w:p w14:paraId="77FDBAFC"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3.2</w:t>
            </w:r>
          </w:p>
        </w:tc>
        <w:tc>
          <w:tcPr>
            <w:tcW w:w="628" w:type="dxa"/>
            <w:tcBorders>
              <w:top w:val="single" w:sz="4" w:space="0" w:color="auto"/>
              <w:bottom w:val="nil"/>
            </w:tcBorders>
            <w:noWrap/>
            <w:vAlign w:val="bottom"/>
          </w:tcPr>
          <w:p w14:paraId="77FDBAFD"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4.5</w:t>
            </w:r>
          </w:p>
        </w:tc>
        <w:tc>
          <w:tcPr>
            <w:tcW w:w="628" w:type="dxa"/>
            <w:tcBorders>
              <w:top w:val="single" w:sz="4" w:space="0" w:color="auto"/>
              <w:bottom w:val="nil"/>
              <w:right w:val="single" w:sz="4" w:space="0" w:color="auto"/>
            </w:tcBorders>
            <w:noWrap/>
            <w:vAlign w:val="bottom"/>
          </w:tcPr>
          <w:p w14:paraId="77FDBAFE"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6.0</w:t>
            </w:r>
          </w:p>
        </w:tc>
        <w:tc>
          <w:tcPr>
            <w:tcW w:w="628" w:type="dxa"/>
            <w:tcBorders>
              <w:top w:val="single" w:sz="4" w:space="0" w:color="auto"/>
              <w:left w:val="single" w:sz="4" w:space="0" w:color="auto"/>
              <w:bottom w:val="nil"/>
            </w:tcBorders>
            <w:noWrap/>
            <w:vAlign w:val="bottom"/>
          </w:tcPr>
          <w:p w14:paraId="77FDBAFF"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16.0</w:t>
            </w:r>
          </w:p>
        </w:tc>
        <w:tc>
          <w:tcPr>
            <w:tcW w:w="628" w:type="dxa"/>
            <w:tcBorders>
              <w:top w:val="single" w:sz="4" w:space="0" w:color="auto"/>
              <w:bottom w:val="nil"/>
            </w:tcBorders>
            <w:noWrap/>
            <w:vAlign w:val="bottom"/>
          </w:tcPr>
          <w:p w14:paraId="77FDBB00"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8.6</w:t>
            </w:r>
          </w:p>
        </w:tc>
        <w:tc>
          <w:tcPr>
            <w:tcW w:w="628" w:type="dxa"/>
            <w:tcBorders>
              <w:top w:val="single" w:sz="4" w:space="0" w:color="auto"/>
              <w:bottom w:val="nil"/>
            </w:tcBorders>
            <w:noWrap/>
            <w:vAlign w:val="bottom"/>
          </w:tcPr>
          <w:p w14:paraId="77FDBB01"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8.2</w:t>
            </w:r>
          </w:p>
        </w:tc>
        <w:tc>
          <w:tcPr>
            <w:tcW w:w="628" w:type="dxa"/>
            <w:tcBorders>
              <w:top w:val="single" w:sz="4" w:space="0" w:color="auto"/>
              <w:bottom w:val="nil"/>
            </w:tcBorders>
            <w:noWrap/>
            <w:vAlign w:val="bottom"/>
          </w:tcPr>
          <w:p w14:paraId="77FDBB02"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6.6</w:t>
            </w:r>
          </w:p>
        </w:tc>
        <w:tc>
          <w:tcPr>
            <w:tcW w:w="628" w:type="dxa"/>
            <w:tcBorders>
              <w:top w:val="single" w:sz="4" w:space="0" w:color="auto"/>
              <w:bottom w:val="nil"/>
            </w:tcBorders>
            <w:noWrap/>
            <w:vAlign w:val="bottom"/>
          </w:tcPr>
          <w:p w14:paraId="77FDBB03"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5.4</w:t>
            </w:r>
          </w:p>
        </w:tc>
        <w:tc>
          <w:tcPr>
            <w:tcW w:w="628" w:type="dxa"/>
            <w:tcBorders>
              <w:top w:val="single" w:sz="4" w:space="0" w:color="auto"/>
              <w:bottom w:val="nil"/>
            </w:tcBorders>
            <w:noWrap/>
            <w:vAlign w:val="bottom"/>
          </w:tcPr>
          <w:p w14:paraId="77FDBB04"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4.4</w:t>
            </w:r>
          </w:p>
        </w:tc>
      </w:tr>
      <w:tr w:rsidR="00EA21D5" w:rsidRPr="00EA21D5" w14:paraId="77FDBB19" w14:textId="77777777" w:rsidTr="00EA21D5">
        <w:trPr>
          <w:cnfStyle w:val="000000010000" w:firstRow="0" w:lastRow="0" w:firstColumn="0" w:lastColumn="0" w:oddVBand="0" w:evenVBand="0" w:oddHBand="0" w:evenHBand="1" w:firstRowFirstColumn="0" w:firstRowLastColumn="0" w:lastRowFirstColumn="0" w:lastRowLastColumn="0"/>
        </w:trPr>
        <w:tc>
          <w:tcPr>
            <w:tcW w:w="2700" w:type="dxa"/>
            <w:tcBorders>
              <w:top w:val="nil"/>
              <w:bottom w:val="nil"/>
              <w:right w:val="single" w:sz="4" w:space="0" w:color="auto"/>
            </w:tcBorders>
            <w:noWrap/>
            <w:hideMark/>
          </w:tcPr>
          <w:p w14:paraId="77FDBB06" w14:textId="77777777" w:rsidR="00EA21D5" w:rsidRPr="00E65B70" w:rsidRDefault="00EA21D5" w:rsidP="00E65B70">
            <w:pPr>
              <w:pStyle w:val="TableText"/>
              <w:ind w:left="144"/>
              <w:rPr>
                <w:rFonts w:asciiTheme="majorHAnsi" w:hAnsiTheme="majorHAnsi" w:cstheme="majorHAnsi"/>
                <w:color w:val="000000"/>
                <w:szCs w:val="17"/>
                <w:lang w:eastAsia="en-GB"/>
              </w:rPr>
            </w:pPr>
            <w:r w:rsidRPr="00E65B70">
              <w:rPr>
                <w:rFonts w:asciiTheme="majorHAnsi" w:hAnsiTheme="majorHAnsi" w:cstheme="majorHAnsi"/>
                <w:color w:val="000000"/>
                <w:szCs w:val="17"/>
                <w:lang w:eastAsia="en-GB"/>
              </w:rPr>
              <w:t>Mining</w:t>
            </w:r>
          </w:p>
        </w:tc>
        <w:tc>
          <w:tcPr>
            <w:tcW w:w="627" w:type="dxa"/>
            <w:tcBorders>
              <w:top w:val="nil"/>
              <w:left w:val="single" w:sz="4" w:space="0" w:color="auto"/>
              <w:bottom w:val="nil"/>
            </w:tcBorders>
            <w:noWrap/>
            <w:vAlign w:val="bottom"/>
          </w:tcPr>
          <w:p w14:paraId="77FDBB07"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3.3</w:t>
            </w:r>
          </w:p>
        </w:tc>
        <w:tc>
          <w:tcPr>
            <w:tcW w:w="628" w:type="dxa"/>
            <w:tcBorders>
              <w:top w:val="nil"/>
              <w:bottom w:val="nil"/>
            </w:tcBorders>
            <w:noWrap/>
            <w:vAlign w:val="bottom"/>
          </w:tcPr>
          <w:p w14:paraId="77FDBB08"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0.6</w:t>
            </w:r>
          </w:p>
        </w:tc>
        <w:tc>
          <w:tcPr>
            <w:tcW w:w="628" w:type="dxa"/>
            <w:tcBorders>
              <w:top w:val="nil"/>
              <w:bottom w:val="nil"/>
            </w:tcBorders>
            <w:noWrap/>
            <w:vAlign w:val="bottom"/>
          </w:tcPr>
          <w:p w14:paraId="77FDBB09"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0.7</w:t>
            </w:r>
          </w:p>
        </w:tc>
        <w:tc>
          <w:tcPr>
            <w:tcW w:w="628" w:type="dxa"/>
            <w:tcBorders>
              <w:top w:val="nil"/>
              <w:bottom w:val="nil"/>
            </w:tcBorders>
            <w:noWrap/>
            <w:vAlign w:val="bottom"/>
          </w:tcPr>
          <w:p w14:paraId="77FDBB0A"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1.7</w:t>
            </w:r>
          </w:p>
        </w:tc>
        <w:tc>
          <w:tcPr>
            <w:tcW w:w="628" w:type="dxa"/>
            <w:tcBorders>
              <w:top w:val="nil"/>
              <w:bottom w:val="nil"/>
            </w:tcBorders>
            <w:noWrap/>
            <w:vAlign w:val="bottom"/>
          </w:tcPr>
          <w:p w14:paraId="77FDBB0B"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3.4</w:t>
            </w:r>
          </w:p>
        </w:tc>
        <w:tc>
          <w:tcPr>
            <w:tcW w:w="628" w:type="dxa"/>
            <w:tcBorders>
              <w:top w:val="nil"/>
              <w:bottom w:val="nil"/>
              <w:right w:val="single" w:sz="4" w:space="0" w:color="auto"/>
            </w:tcBorders>
            <w:noWrap/>
            <w:vAlign w:val="bottom"/>
          </w:tcPr>
          <w:p w14:paraId="77FDBB0C"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3.9</w:t>
            </w:r>
          </w:p>
        </w:tc>
        <w:tc>
          <w:tcPr>
            <w:tcW w:w="628" w:type="dxa"/>
            <w:tcBorders>
              <w:top w:val="nil"/>
              <w:left w:val="single" w:sz="4" w:space="0" w:color="auto"/>
              <w:bottom w:val="nil"/>
            </w:tcBorders>
            <w:noWrap/>
            <w:vAlign w:val="bottom"/>
          </w:tcPr>
          <w:p w14:paraId="77FDBB0D"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0.1</w:t>
            </w:r>
          </w:p>
        </w:tc>
        <w:tc>
          <w:tcPr>
            <w:tcW w:w="628" w:type="dxa"/>
            <w:tcBorders>
              <w:top w:val="nil"/>
              <w:bottom w:val="nil"/>
            </w:tcBorders>
            <w:noWrap/>
            <w:vAlign w:val="bottom"/>
          </w:tcPr>
          <w:p w14:paraId="77FDBB0E"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0.3</w:t>
            </w:r>
          </w:p>
        </w:tc>
        <w:tc>
          <w:tcPr>
            <w:tcW w:w="628" w:type="dxa"/>
            <w:tcBorders>
              <w:top w:val="nil"/>
              <w:bottom w:val="nil"/>
            </w:tcBorders>
            <w:noWrap/>
            <w:vAlign w:val="bottom"/>
          </w:tcPr>
          <w:p w14:paraId="77FDBB0F"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0.4</w:t>
            </w:r>
          </w:p>
        </w:tc>
        <w:tc>
          <w:tcPr>
            <w:tcW w:w="627" w:type="dxa"/>
            <w:tcBorders>
              <w:top w:val="nil"/>
              <w:bottom w:val="nil"/>
            </w:tcBorders>
            <w:noWrap/>
            <w:vAlign w:val="bottom"/>
          </w:tcPr>
          <w:p w14:paraId="77FDBB10"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0.5</w:t>
            </w:r>
          </w:p>
        </w:tc>
        <w:tc>
          <w:tcPr>
            <w:tcW w:w="628" w:type="dxa"/>
            <w:tcBorders>
              <w:top w:val="nil"/>
              <w:bottom w:val="nil"/>
            </w:tcBorders>
            <w:noWrap/>
            <w:vAlign w:val="bottom"/>
          </w:tcPr>
          <w:p w14:paraId="77FDBB11"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0.5</w:t>
            </w:r>
          </w:p>
        </w:tc>
        <w:tc>
          <w:tcPr>
            <w:tcW w:w="628" w:type="dxa"/>
            <w:tcBorders>
              <w:top w:val="nil"/>
              <w:bottom w:val="nil"/>
              <w:right w:val="single" w:sz="4" w:space="0" w:color="auto"/>
            </w:tcBorders>
            <w:noWrap/>
            <w:vAlign w:val="bottom"/>
          </w:tcPr>
          <w:p w14:paraId="77FDBB12"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0.3</w:t>
            </w:r>
          </w:p>
        </w:tc>
        <w:tc>
          <w:tcPr>
            <w:tcW w:w="628" w:type="dxa"/>
            <w:tcBorders>
              <w:top w:val="nil"/>
              <w:left w:val="single" w:sz="4" w:space="0" w:color="auto"/>
              <w:bottom w:val="nil"/>
            </w:tcBorders>
            <w:noWrap/>
            <w:vAlign w:val="bottom"/>
          </w:tcPr>
          <w:p w14:paraId="77FDBB13"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35.0</w:t>
            </w:r>
          </w:p>
        </w:tc>
        <w:tc>
          <w:tcPr>
            <w:tcW w:w="628" w:type="dxa"/>
            <w:tcBorders>
              <w:top w:val="nil"/>
              <w:bottom w:val="nil"/>
            </w:tcBorders>
            <w:noWrap/>
            <w:vAlign w:val="bottom"/>
          </w:tcPr>
          <w:p w14:paraId="77FDBB14"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3.4</w:t>
            </w:r>
          </w:p>
        </w:tc>
        <w:tc>
          <w:tcPr>
            <w:tcW w:w="628" w:type="dxa"/>
            <w:tcBorders>
              <w:top w:val="nil"/>
              <w:bottom w:val="nil"/>
            </w:tcBorders>
            <w:noWrap/>
            <w:vAlign w:val="bottom"/>
          </w:tcPr>
          <w:p w14:paraId="77FDBB15"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1.4</w:t>
            </w:r>
          </w:p>
        </w:tc>
        <w:tc>
          <w:tcPr>
            <w:tcW w:w="628" w:type="dxa"/>
            <w:tcBorders>
              <w:top w:val="nil"/>
              <w:bottom w:val="nil"/>
            </w:tcBorders>
            <w:noWrap/>
            <w:vAlign w:val="bottom"/>
          </w:tcPr>
          <w:p w14:paraId="77FDBB16"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4.5</w:t>
            </w:r>
          </w:p>
        </w:tc>
        <w:tc>
          <w:tcPr>
            <w:tcW w:w="628" w:type="dxa"/>
            <w:tcBorders>
              <w:top w:val="nil"/>
              <w:bottom w:val="nil"/>
            </w:tcBorders>
            <w:noWrap/>
            <w:vAlign w:val="bottom"/>
          </w:tcPr>
          <w:p w14:paraId="77FDBB17"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6.8</w:t>
            </w:r>
          </w:p>
        </w:tc>
        <w:tc>
          <w:tcPr>
            <w:tcW w:w="628" w:type="dxa"/>
            <w:tcBorders>
              <w:top w:val="nil"/>
              <w:bottom w:val="nil"/>
            </w:tcBorders>
            <w:noWrap/>
            <w:vAlign w:val="bottom"/>
          </w:tcPr>
          <w:p w14:paraId="77FDBB18"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10.9</w:t>
            </w:r>
          </w:p>
        </w:tc>
      </w:tr>
      <w:tr w:rsidR="00EA21D5" w:rsidRPr="00EA21D5" w14:paraId="77FDBB2D" w14:textId="77777777" w:rsidTr="00EA21D5">
        <w:trPr>
          <w:cnfStyle w:val="000000100000" w:firstRow="0" w:lastRow="0" w:firstColumn="0" w:lastColumn="0" w:oddVBand="0" w:evenVBand="0" w:oddHBand="1" w:evenHBand="0" w:firstRowFirstColumn="0" w:firstRowLastColumn="0" w:lastRowFirstColumn="0" w:lastRowLastColumn="0"/>
        </w:trPr>
        <w:tc>
          <w:tcPr>
            <w:tcW w:w="2700" w:type="dxa"/>
            <w:tcBorders>
              <w:top w:val="nil"/>
              <w:bottom w:val="nil"/>
              <w:right w:val="single" w:sz="4" w:space="0" w:color="auto"/>
            </w:tcBorders>
            <w:noWrap/>
            <w:hideMark/>
          </w:tcPr>
          <w:p w14:paraId="77FDBB1A" w14:textId="77777777" w:rsidR="00EA21D5" w:rsidRPr="00E65B70" w:rsidRDefault="00EA21D5" w:rsidP="00E65B70">
            <w:pPr>
              <w:pStyle w:val="TableText"/>
              <w:ind w:left="144"/>
              <w:rPr>
                <w:rFonts w:asciiTheme="majorHAnsi" w:hAnsiTheme="majorHAnsi" w:cstheme="majorHAnsi"/>
                <w:color w:val="000000"/>
                <w:szCs w:val="17"/>
                <w:lang w:eastAsia="en-GB"/>
              </w:rPr>
            </w:pPr>
            <w:r w:rsidRPr="00E65B70">
              <w:rPr>
                <w:rFonts w:asciiTheme="majorHAnsi" w:hAnsiTheme="majorHAnsi" w:cstheme="majorHAnsi"/>
                <w:color w:val="000000"/>
                <w:szCs w:val="17"/>
                <w:lang w:eastAsia="en-GB"/>
              </w:rPr>
              <w:t>Manufacturing</w:t>
            </w:r>
          </w:p>
        </w:tc>
        <w:tc>
          <w:tcPr>
            <w:tcW w:w="627" w:type="dxa"/>
            <w:tcBorders>
              <w:top w:val="nil"/>
              <w:left w:val="single" w:sz="4" w:space="0" w:color="auto"/>
              <w:bottom w:val="nil"/>
            </w:tcBorders>
            <w:noWrap/>
            <w:vAlign w:val="bottom"/>
          </w:tcPr>
          <w:p w14:paraId="77FDBB1B"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14.6</w:t>
            </w:r>
          </w:p>
        </w:tc>
        <w:tc>
          <w:tcPr>
            <w:tcW w:w="628" w:type="dxa"/>
            <w:tcBorders>
              <w:top w:val="nil"/>
              <w:bottom w:val="nil"/>
            </w:tcBorders>
            <w:noWrap/>
            <w:vAlign w:val="bottom"/>
          </w:tcPr>
          <w:p w14:paraId="77FDBB1C"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22.3</w:t>
            </w:r>
          </w:p>
        </w:tc>
        <w:tc>
          <w:tcPr>
            <w:tcW w:w="628" w:type="dxa"/>
            <w:tcBorders>
              <w:top w:val="nil"/>
              <w:bottom w:val="nil"/>
            </w:tcBorders>
            <w:noWrap/>
            <w:vAlign w:val="bottom"/>
          </w:tcPr>
          <w:p w14:paraId="77FDBB1D"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10.0</w:t>
            </w:r>
          </w:p>
        </w:tc>
        <w:tc>
          <w:tcPr>
            <w:tcW w:w="628" w:type="dxa"/>
            <w:tcBorders>
              <w:top w:val="nil"/>
              <w:bottom w:val="nil"/>
            </w:tcBorders>
            <w:noWrap/>
            <w:vAlign w:val="bottom"/>
          </w:tcPr>
          <w:p w14:paraId="77FDBB1E"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10.1</w:t>
            </w:r>
          </w:p>
        </w:tc>
        <w:tc>
          <w:tcPr>
            <w:tcW w:w="628" w:type="dxa"/>
            <w:tcBorders>
              <w:top w:val="nil"/>
              <w:bottom w:val="nil"/>
            </w:tcBorders>
            <w:noWrap/>
            <w:vAlign w:val="bottom"/>
          </w:tcPr>
          <w:p w14:paraId="77FDBB1F"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9.4</w:t>
            </w:r>
          </w:p>
        </w:tc>
        <w:tc>
          <w:tcPr>
            <w:tcW w:w="628" w:type="dxa"/>
            <w:tcBorders>
              <w:top w:val="nil"/>
              <w:bottom w:val="nil"/>
              <w:right w:val="single" w:sz="4" w:space="0" w:color="auto"/>
            </w:tcBorders>
            <w:noWrap/>
            <w:vAlign w:val="bottom"/>
          </w:tcPr>
          <w:p w14:paraId="77FDBB20"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10.6</w:t>
            </w:r>
          </w:p>
        </w:tc>
        <w:tc>
          <w:tcPr>
            <w:tcW w:w="628" w:type="dxa"/>
            <w:tcBorders>
              <w:top w:val="nil"/>
              <w:left w:val="single" w:sz="4" w:space="0" w:color="auto"/>
              <w:bottom w:val="nil"/>
            </w:tcBorders>
            <w:noWrap/>
            <w:vAlign w:val="bottom"/>
          </w:tcPr>
          <w:p w14:paraId="77FDBB21"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1.1</w:t>
            </w:r>
          </w:p>
        </w:tc>
        <w:tc>
          <w:tcPr>
            <w:tcW w:w="628" w:type="dxa"/>
            <w:tcBorders>
              <w:top w:val="nil"/>
              <w:bottom w:val="nil"/>
            </w:tcBorders>
            <w:noWrap/>
            <w:vAlign w:val="bottom"/>
          </w:tcPr>
          <w:p w14:paraId="77FDBB22"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1.6</w:t>
            </w:r>
          </w:p>
        </w:tc>
        <w:tc>
          <w:tcPr>
            <w:tcW w:w="628" w:type="dxa"/>
            <w:tcBorders>
              <w:top w:val="nil"/>
              <w:bottom w:val="nil"/>
            </w:tcBorders>
            <w:noWrap/>
            <w:vAlign w:val="bottom"/>
          </w:tcPr>
          <w:p w14:paraId="77FDBB23"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1.4</w:t>
            </w:r>
          </w:p>
        </w:tc>
        <w:tc>
          <w:tcPr>
            <w:tcW w:w="627" w:type="dxa"/>
            <w:tcBorders>
              <w:top w:val="nil"/>
              <w:bottom w:val="nil"/>
            </w:tcBorders>
            <w:noWrap/>
            <w:vAlign w:val="bottom"/>
          </w:tcPr>
          <w:p w14:paraId="77FDBB24"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1.7</w:t>
            </w:r>
          </w:p>
        </w:tc>
        <w:tc>
          <w:tcPr>
            <w:tcW w:w="628" w:type="dxa"/>
            <w:tcBorders>
              <w:top w:val="nil"/>
              <w:bottom w:val="nil"/>
            </w:tcBorders>
            <w:noWrap/>
            <w:vAlign w:val="bottom"/>
          </w:tcPr>
          <w:p w14:paraId="77FDBB25"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2.1</w:t>
            </w:r>
          </w:p>
        </w:tc>
        <w:tc>
          <w:tcPr>
            <w:tcW w:w="628" w:type="dxa"/>
            <w:tcBorders>
              <w:top w:val="nil"/>
              <w:bottom w:val="nil"/>
              <w:right w:val="single" w:sz="4" w:space="0" w:color="auto"/>
            </w:tcBorders>
            <w:noWrap/>
            <w:vAlign w:val="bottom"/>
          </w:tcPr>
          <w:p w14:paraId="77FDBB26"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2.7</w:t>
            </w:r>
          </w:p>
        </w:tc>
        <w:tc>
          <w:tcPr>
            <w:tcW w:w="628" w:type="dxa"/>
            <w:tcBorders>
              <w:top w:val="nil"/>
              <w:left w:val="single" w:sz="4" w:space="0" w:color="auto"/>
              <w:bottom w:val="nil"/>
            </w:tcBorders>
            <w:noWrap/>
            <w:vAlign w:val="bottom"/>
          </w:tcPr>
          <w:p w14:paraId="77FDBB27"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8.2</w:t>
            </w:r>
          </w:p>
        </w:tc>
        <w:tc>
          <w:tcPr>
            <w:tcW w:w="628" w:type="dxa"/>
            <w:tcBorders>
              <w:top w:val="nil"/>
              <w:bottom w:val="nil"/>
            </w:tcBorders>
            <w:noWrap/>
            <w:vAlign w:val="bottom"/>
          </w:tcPr>
          <w:p w14:paraId="77FDBB28"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7.1</w:t>
            </w:r>
          </w:p>
        </w:tc>
        <w:tc>
          <w:tcPr>
            <w:tcW w:w="628" w:type="dxa"/>
            <w:tcBorders>
              <w:top w:val="nil"/>
              <w:bottom w:val="nil"/>
            </w:tcBorders>
            <w:noWrap/>
            <w:vAlign w:val="bottom"/>
          </w:tcPr>
          <w:p w14:paraId="77FDBB29"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5.7</w:t>
            </w:r>
          </w:p>
        </w:tc>
        <w:tc>
          <w:tcPr>
            <w:tcW w:w="628" w:type="dxa"/>
            <w:tcBorders>
              <w:top w:val="nil"/>
              <w:bottom w:val="nil"/>
            </w:tcBorders>
            <w:noWrap/>
            <w:vAlign w:val="bottom"/>
          </w:tcPr>
          <w:p w14:paraId="77FDBB2A"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5.3</w:t>
            </w:r>
          </w:p>
        </w:tc>
        <w:tc>
          <w:tcPr>
            <w:tcW w:w="628" w:type="dxa"/>
            <w:tcBorders>
              <w:top w:val="nil"/>
              <w:bottom w:val="nil"/>
            </w:tcBorders>
            <w:noWrap/>
            <w:vAlign w:val="bottom"/>
          </w:tcPr>
          <w:p w14:paraId="77FDBB2B"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4.4</w:t>
            </w:r>
          </w:p>
        </w:tc>
        <w:tc>
          <w:tcPr>
            <w:tcW w:w="628" w:type="dxa"/>
            <w:tcBorders>
              <w:top w:val="nil"/>
              <w:bottom w:val="nil"/>
            </w:tcBorders>
            <w:noWrap/>
            <w:vAlign w:val="bottom"/>
          </w:tcPr>
          <w:p w14:paraId="77FDBB2C"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3.8</w:t>
            </w:r>
          </w:p>
        </w:tc>
      </w:tr>
      <w:tr w:rsidR="00EA21D5" w:rsidRPr="00EA21D5" w14:paraId="77FDBB41" w14:textId="77777777" w:rsidTr="00EA21D5">
        <w:trPr>
          <w:cnfStyle w:val="000000010000" w:firstRow="0" w:lastRow="0" w:firstColumn="0" w:lastColumn="0" w:oddVBand="0" w:evenVBand="0" w:oddHBand="0" w:evenHBand="1" w:firstRowFirstColumn="0" w:firstRowLastColumn="0" w:lastRowFirstColumn="0" w:lastRowLastColumn="0"/>
        </w:trPr>
        <w:tc>
          <w:tcPr>
            <w:tcW w:w="2700" w:type="dxa"/>
            <w:tcBorders>
              <w:top w:val="nil"/>
              <w:bottom w:val="single" w:sz="4" w:space="0" w:color="auto"/>
              <w:right w:val="single" w:sz="4" w:space="0" w:color="auto"/>
            </w:tcBorders>
            <w:noWrap/>
            <w:hideMark/>
          </w:tcPr>
          <w:p w14:paraId="77FDBB2E" w14:textId="77777777" w:rsidR="00EA21D5" w:rsidRPr="00E65B70" w:rsidRDefault="00EA21D5" w:rsidP="00E65B70">
            <w:pPr>
              <w:pStyle w:val="TableText"/>
              <w:ind w:left="144"/>
              <w:rPr>
                <w:rFonts w:asciiTheme="majorHAnsi" w:hAnsiTheme="majorHAnsi" w:cstheme="majorHAnsi"/>
                <w:color w:val="000000"/>
                <w:szCs w:val="17"/>
                <w:lang w:eastAsia="en-GB"/>
              </w:rPr>
            </w:pPr>
            <w:r w:rsidRPr="00E65B70">
              <w:rPr>
                <w:rFonts w:asciiTheme="majorHAnsi" w:hAnsiTheme="majorHAnsi" w:cstheme="majorHAnsi"/>
                <w:color w:val="000000"/>
                <w:szCs w:val="17"/>
                <w:lang w:eastAsia="en-GB"/>
              </w:rPr>
              <w:t>Other</w:t>
            </w:r>
            <w:r>
              <w:rPr>
                <w:rFonts w:asciiTheme="majorHAnsi" w:hAnsiTheme="majorHAnsi" w:cstheme="majorHAnsi"/>
                <w:color w:val="000000"/>
                <w:szCs w:val="17"/>
                <w:lang w:eastAsia="en-GB"/>
              </w:rPr>
              <w:t xml:space="preserve"> industry</w:t>
            </w:r>
            <w:r w:rsidRPr="00062C4C">
              <w:rPr>
                <w:rFonts w:asciiTheme="majorHAnsi" w:hAnsiTheme="majorHAnsi" w:cstheme="majorHAnsi"/>
                <w:color w:val="000000"/>
                <w:szCs w:val="17"/>
                <w:vertAlign w:val="superscript"/>
                <w:lang w:eastAsia="en-GB"/>
              </w:rPr>
              <w:t xml:space="preserve"> d</w:t>
            </w:r>
          </w:p>
        </w:tc>
        <w:tc>
          <w:tcPr>
            <w:tcW w:w="627" w:type="dxa"/>
            <w:tcBorders>
              <w:top w:val="nil"/>
              <w:left w:val="single" w:sz="4" w:space="0" w:color="auto"/>
              <w:bottom w:val="single" w:sz="4" w:space="0" w:color="auto"/>
            </w:tcBorders>
            <w:noWrap/>
            <w:vAlign w:val="bottom"/>
          </w:tcPr>
          <w:p w14:paraId="77FDBB2F"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4.7</w:t>
            </w:r>
          </w:p>
        </w:tc>
        <w:tc>
          <w:tcPr>
            <w:tcW w:w="628" w:type="dxa"/>
            <w:tcBorders>
              <w:top w:val="nil"/>
              <w:bottom w:val="single" w:sz="4" w:space="0" w:color="auto"/>
            </w:tcBorders>
            <w:noWrap/>
            <w:vAlign w:val="bottom"/>
          </w:tcPr>
          <w:p w14:paraId="77FDBB30"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6.3</w:t>
            </w:r>
          </w:p>
        </w:tc>
        <w:tc>
          <w:tcPr>
            <w:tcW w:w="628" w:type="dxa"/>
            <w:tcBorders>
              <w:top w:val="nil"/>
              <w:bottom w:val="single" w:sz="4" w:space="0" w:color="auto"/>
            </w:tcBorders>
            <w:noWrap/>
            <w:vAlign w:val="bottom"/>
          </w:tcPr>
          <w:p w14:paraId="77FDBB31"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9.3</w:t>
            </w:r>
          </w:p>
        </w:tc>
        <w:tc>
          <w:tcPr>
            <w:tcW w:w="628" w:type="dxa"/>
            <w:tcBorders>
              <w:top w:val="nil"/>
              <w:bottom w:val="single" w:sz="4" w:space="0" w:color="auto"/>
            </w:tcBorders>
            <w:noWrap/>
            <w:vAlign w:val="bottom"/>
          </w:tcPr>
          <w:p w14:paraId="77FDBB32"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8.9</w:t>
            </w:r>
          </w:p>
        </w:tc>
        <w:tc>
          <w:tcPr>
            <w:tcW w:w="628" w:type="dxa"/>
            <w:tcBorders>
              <w:top w:val="nil"/>
              <w:bottom w:val="single" w:sz="4" w:space="0" w:color="auto"/>
            </w:tcBorders>
            <w:noWrap/>
            <w:vAlign w:val="bottom"/>
          </w:tcPr>
          <w:p w14:paraId="77FDBB33"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11.7</w:t>
            </w:r>
          </w:p>
        </w:tc>
        <w:tc>
          <w:tcPr>
            <w:tcW w:w="628" w:type="dxa"/>
            <w:tcBorders>
              <w:top w:val="nil"/>
              <w:bottom w:val="single" w:sz="4" w:space="0" w:color="auto"/>
              <w:right w:val="single" w:sz="4" w:space="0" w:color="auto"/>
            </w:tcBorders>
            <w:noWrap/>
            <w:vAlign w:val="bottom"/>
          </w:tcPr>
          <w:p w14:paraId="77FDBB34"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11.9</w:t>
            </w:r>
          </w:p>
        </w:tc>
        <w:tc>
          <w:tcPr>
            <w:tcW w:w="628" w:type="dxa"/>
            <w:tcBorders>
              <w:top w:val="nil"/>
              <w:left w:val="single" w:sz="4" w:space="0" w:color="auto"/>
              <w:bottom w:val="single" w:sz="4" w:space="0" w:color="auto"/>
            </w:tcBorders>
            <w:noWrap/>
            <w:vAlign w:val="bottom"/>
          </w:tcPr>
          <w:p w14:paraId="77FDBB35"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0.2</w:t>
            </w:r>
          </w:p>
        </w:tc>
        <w:tc>
          <w:tcPr>
            <w:tcW w:w="628" w:type="dxa"/>
            <w:tcBorders>
              <w:top w:val="nil"/>
              <w:bottom w:val="single" w:sz="4" w:space="0" w:color="auto"/>
            </w:tcBorders>
            <w:noWrap/>
            <w:vAlign w:val="bottom"/>
          </w:tcPr>
          <w:p w14:paraId="77FDBB36"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0.9</w:t>
            </w:r>
          </w:p>
        </w:tc>
        <w:tc>
          <w:tcPr>
            <w:tcW w:w="628" w:type="dxa"/>
            <w:tcBorders>
              <w:top w:val="nil"/>
              <w:bottom w:val="single" w:sz="4" w:space="0" w:color="auto"/>
            </w:tcBorders>
            <w:noWrap/>
            <w:vAlign w:val="bottom"/>
          </w:tcPr>
          <w:p w14:paraId="77FDBB37"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0.8</w:t>
            </w:r>
          </w:p>
        </w:tc>
        <w:tc>
          <w:tcPr>
            <w:tcW w:w="627" w:type="dxa"/>
            <w:tcBorders>
              <w:top w:val="nil"/>
              <w:bottom w:val="single" w:sz="4" w:space="0" w:color="auto"/>
            </w:tcBorders>
            <w:noWrap/>
            <w:vAlign w:val="bottom"/>
          </w:tcPr>
          <w:p w14:paraId="77FDBB38"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1.1</w:t>
            </w:r>
          </w:p>
        </w:tc>
        <w:tc>
          <w:tcPr>
            <w:tcW w:w="628" w:type="dxa"/>
            <w:tcBorders>
              <w:top w:val="nil"/>
              <w:bottom w:val="single" w:sz="4" w:space="0" w:color="auto"/>
            </w:tcBorders>
            <w:noWrap/>
            <w:vAlign w:val="bottom"/>
          </w:tcPr>
          <w:p w14:paraId="77FDBB39"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1.9</w:t>
            </w:r>
          </w:p>
        </w:tc>
        <w:tc>
          <w:tcPr>
            <w:tcW w:w="628" w:type="dxa"/>
            <w:tcBorders>
              <w:top w:val="nil"/>
              <w:bottom w:val="single" w:sz="4" w:space="0" w:color="auto"/>
              <w:right w:val="single" w:sz="4" w:space="0" w:color="auto"/>
            </w:tcBorders>
            <w:noWrap/>
            <w:vAlign w:val="bottom"/>
          </w:tcPr>
          <w:p w14:paraId="77FDBB3A"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3.0</w:t>
            </w:r>
          </w:p>
        </w:tc>
        <w:tc>
          <w:tcPr>
            <w:tcW w:w="628" w:type="dxa"/>
            <w:tcBorders>
              <w:top w:val="nil"/>
              <w:left w:val="single" w:sz="4" w:space="0" w:color="auto"/>
              <w:bottom w:val="single" w:sz="4" w:space="0" w:color="auto"/>
            </w:tcBorders>
            <w:noWrap/>
            <w:vAlign w:val="bottom"/>
          </w:tcPr>
          <w:p w14:paraId="77FDBB3B"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42.1</w:t>
            </w:r>
          </w:p>
        </w:tc>
        <w:tc>
          <w:tcPr>
            <w:tcW w:w="628" w:type="dxa"/>
            <w:tcBorders>
              <w:top w:val="nil"/>
              <w:bottom w:val="single" w:sz="4" w:space="0" w:color="auto"/>
            </w:tcBorders>
            <w:noWrap/>
            <w:vAlign w:val="bottom"/>
          </w:tcPr>
          <w:p w14:paraId="77FDBB3C"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12.9</w:t>
            </w:r>
          </w:p>
        </w:tc>
        <w:tc>
          <w:tcPr>
            <w:tcW w:w="628" w:type="dxa"/>
            <w:tcBorders>
              <w:top w:val="nil"/>
              <w:bottom w:val="single" w:sz="4" w:space="0" w:color="auto"/>
            </w:tcBorders>
            <w:noWrap/>
            <w:vAlign w:val="bottom"/>
          </w:tcPr>
          <w:p w14:paraId="77FDBB3D"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15.7</w:t>
            </w:r>
          </w:p>
        </w:tc>
        <w:tc>
          <w:tcPr>
            <w:tcW w:w="628" w:type="dxa"/>
            <w:tcBorders>
              <w:top w:val="nil"/>
              <w:bottom w:val="single" w:sz="4" w:space="0" w:color="auto"/>
            </w:tcBorders>
            <w:noWrap/>
            <w:vAlign w:val="bottom"/>
          </w:tcPr>
          <w:p w14:paraId="77FDBB3E"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9.6</w:t>
            </w:r>
          </w:p>
        </w:tc>
        <w:tc>
          <w:tcPr>
            <w:tcW w:w="628" w:type="dxa"/>
            <w:tcBorders>
              <w:top w:val="nil"/>
              <w:bottom w:val="single" w:sz="4" w:space="0" w:color="auto"/>
            </w:tcBorders>
            <w:noWrap/>
            <w:vAlign w:val="bottom"/>
          </w:tcPr>
          <w:p w14:paraId="77FDBB3F"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6.2</w:t>
            </w:r>
          </w:p>
        </w:tc>
        <w:tc>
          <w:tcPr>
            <w:tcW w:w="628" w:type="dxa"/>
            <w:tcBorders>
              <w:top w:val="nil"/>
              <w:bottom w:val="single" w:sz="4" w:space="0" w:color="auto"/>
            </w:tcBorders>
            <w:noWrap/>
            <w:vAlign w:val="bottom"/>
          </w:tcPr>
          <w:p w14:paraId="77FDBB40"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4.3</w:t>
            </w:r>
          </w:p>
        </w:tc>
      </w:tr>
      <w:tr w:rsidR="00EA21D5" w:rsidRPr="00EA21D5" w14:paraId="77FDBB55" w14:textId="77777777" w:rsidTr="00EA21D5">
        <w:trPr>
          <w:cnfStyle w:val="000000100000" w:firstRow="0" w:lastRow="0" w:firstColumn="0" w:lastColumn="0" w:oddVBand="0" w:evenVBand="0" w:oddHBand="1" w:evenHBand="0" w:firstRowFirstColumn="0" w:firstRowLastColumn="0" w:lastRowFirstColumn="0" w:lastRowLastColumn="0"/>
        </w:trPr>
        <w:tc>
          <w:tcPr>
            <w:tcW w:w="2700" w:type="dxa"/>
            <w:tcBorders>
              <w:top w:val="single" w:sz="4" w:space="0" w:color="auto"/>
              <w:bottom w:val="nil"/>
              <w:right w:val="single" w:sz="4" w:space="0" w:color="auto"/>
            </w:tcBorders>
            <w:noWrap/>
            <w:hideMark/>
          </w:tcPr>
          <w:p w14:paraId="77FDBB42" w14:textId="77777777" w:rsidR="00EA21D5" w:rsidRPr="00EA21D5" w:rsidRDefault="00EA21D5" w:rsidP="00DD4551">
            <w:pPr>
              <w:pStyle w:val="TableText"/>
              <w:rPr>
                <w:rFonts w:asciiTheme="majorHAnsi" w:hAnsiTheme="majorHAnsi" w:cstheme="majorHAnsi"/>
                <w:b/>
                <w:color w:val="000000"/>
                <w:szCs w:val="17"/>
                <w:lang w:eastAsia="en-GB"/>
              </w:rPr>
            </w:pPr>
            <w:r w:rsidRPr="00EA21D5">
              <w:rPr>
                <w:rFonts w:asciiTheme="majorHAnsi" w:hAnsiTheme="majorHAnsi" w:cstheme="majorHAnsi"/>
                <w:b/>
                <w:color w:val="000000"/>
                <w:szCs w:val="17"/>
                <w:lang w:eastAsia="en-GB"/>
              </w:rPr>
              <w:t>Services</w:t>
            </w:r>
            <w:r w:rsidRPr="00EA21D5">
              <w:rPr>
                <w:rFonts w:asciiTheme="majorHAnsi" w:hAnsiTheme="majorHAnsi" w:cstheme="majorHAnsi"/>
                <w:b/>
                <w:color w:val="000000"/>
                <w:szCs w:val="17"/>
                <w:vertAlign w:val="superscript"/>
                <w:lang w:eastAsia="en-GB"/>
              </w:rPr>
              <w:t xml:space="preserve"> e</w:t>
            </w:r>
          </w:p>
        </w:tc>
        <w:tc>
          <w:tcPr>
            <w:tcW w:w="627" w:type="dxa"/>
            <w:tcBorders>
              <w:top w:val="single" w:sz="4" w:space="0" w:color="auto"/>
              <w:left w:val="single" w:sz="4" w:space="0" w:color="auto"/>
              <w:bottom w:val="nil"/>
            </w:tcBorders>
            <w:noWrap/>
            <w:vAlign w:val="bottom"/>
          </w:tcPr>
          <w:p w14:paraId="77FDBB43"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51.2</w:t>
            </w:r>
          </w:p>
        </w:tc>
        <w:tc>
          <w:tcPr>
            <w:tcW w:w="628" w:type="dxa"/>
            <w:tcBorders>
              <w:top w:val="single" w:sz="4" w:space="0" w:color="auto"/>
              <w:bottom w:val="nil"/>
            </w:tcBorders>
            <w:noWrap/>
            <w:vAlign w:val="bottom"/>
          </w:tcPr>
          <w:p w14:paraId="77FDBB44"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53.7</w:t>
            </w:r>
          </w:p>
        </w:tc>
        <w:tc>
          <w:tcPr>
            <w:tcW w:w="628" w:type="dxa"/>
            <w:tcBorders>
              <w:top w:val="single" w:sz="4" w:space="0" w:color="auto"/>
              <w:bottom w:val="nil"/>
            </w:tcBorders>
            <w:noWrap/>
            <w:vAlign w:val="bottom"/>
          </w:tcPr>
          <w:p w14:paraId="77FDBB45"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48.9</w:t>
            </w:r>
          </w:p>
        </w:tc>
        <w:tc>
          <w:tcPr>
            <w:tcW w:w="628" w:type="dxa"/>
            <w:tcBorders>
              <w:top w:val="single" w:sz="4" w:space="0" w:color="auto"/>
              <w:bottom w:val="nil"/>
            </w:tcBorders>
            <w:noWrap/>
            <w:vAlign w:val="bottom"/>
          </w:tcPr>
          <w:p w14:paraId="77FDBB46"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43.1</w:t>
            </w:r>
          </w:p>
        </w:tc>
        <w:tc>
          <w:tcPr>
            <w:tcW w:w="628" w:type="dxa"/>
            <w:tcBorders>
              <w:top w:val="single" w:sz="4" w:space="0" w:color="auto"/>
              <w:bottom w:val="nil"/>
            </w:tcBorders>
            <w:noWrap/>
            <w:vAlign w:val="bottom"/>
          </w:tcPr>
          <w:p w14:paraId="77FDBB47"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41.4</w:t>
            </w:r>
          </w:p>
        </w:tc>
        <w:tc>
          <w:tcPr>
            <w:tcW w:w="628" w:type="dxa"/>
            <w:tcBorders>
              <w:top w:val="single" w:sz="4" w:space="0" w:color="auto"/>
              <w:bottom w:val="nil"/>
              <w:right w:val="single" w:sz="4" w:space="0" w:color="auto"/>
            </w:tcBorders>
            <w:noWrap/>
            <w:vAlign w:val="bottom"/>
          </w:tcPr>
          <w:p w14:paraId="77FDBB48"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43.6</w:t>
            </w:r>
          </w:p>
        </w:tc>
        <w:tc>
          <w:tcPr>
            <w:tcW w:w="628" w:type="dxa"/>
            <w:tcBorders>
              <w:top w:val="single" w:sz="4" w:space="0" w:color="auto"/>
              <w:left w:val="single" w:sz="4" w:space="0" w:color="auto"/>
              <w:bottom w:val="nil"/>
            </w:tcBorders>
            <w:noWrap/>
            <w:vAlign w:val="bottom"/>
          </w:tcPr>
          <w:p w14:paraId="77FDBB49"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9.0</w:t>
            </w:r>
          </w:p>
        </w:tc>
        <w:tc>
          <w:tcPr>
            <w:tcW w:w="628" w:type="dxa"/>
            <w:tcBorders>
              <w:top w:val="single" w:sz="4" w:space="0" w:color="auto"/>
              <w:bottom w:val="nil"/>
            </w:tcBorders>
            <w:noWrap/>
            <w:vAlign w:val="bottom"/>
          </w:tcPr>
          <w:p w14:paraId="77FDBB4A"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8.1</w:t>
            </w:r>
          </w:p>
        </w:tc>
        <w:tc>
          <w:tcPr>
            <w:tcW w:w="628" w:type="dxa"/>
            <w:tcBorders>
              <w:top w:val="single" w:sz="4" w:space="0" w:color="auto"/>
              <w:bottom w:val="nil"/>
            </w:tcBorders>
            <w:noWrap/>
            <w:vAlign w:val="bottom"/>
          </w:tcPr>
          <w:p w14:paraId="77FDBB4B"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11.3</w:t>
            </w:r>
          </w:p>
        </w:tc>
        <w:tc>
          <w:tcPr>
            <w:tcW w:w="627" w:type="dxa"/>
            <w:tcBorders>
              <w:top w:val="single" w:sz="4" w:space="0" w:color="auto"/>
              <w:bottom w:val="nil"/>
            </w:tcBorders>
            <w:noWrap/>
            <w:vAlign w:val="bottom"/>
          </w:tcPr>
          <w:p w14:paraId="77FDBB4C"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13.3</w:t>
            </w:r>
          </w:p>
        </w:tc>
        <w:tc>
          <w:tcPr>
            <w:tcW w:w="628" w:type="dxa"/>
            <w:tcBorders>
              <w:top w:val="single" w:sz="4" w:space="0" w:color="auto"/>
              <w:bottom w:val="nil"/>
            </w:tcBorders>
            <w:noWrap/>
            <w:vAlign w:val="bottom"/>
          </w:tcPr>
          <w:p w14:paraId="77FDBB4D"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16.8</w:t>
            </w:r>
          </w:p>
        </w:tc>
        <w:tc>
          <w:tcPr>
            <w:tcW w:w="628" w:type="dxa"/>
            <w:tcBorders>
              <w:top w:val="single" w:sz="4" w:space="0" w:color="auto"/>
              <w:bottom w:val="nil"/>
              <w:right w:val="single" w:sz="4" w:space="0" w:color="auto"/>
            </w:tcBorders>
            <w:noWrap/>
            <w:vAlign w:val="bottom"/>
          </w:tcPr>
          <w:p w14:paraId="77FDBB4E"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20.6</w:t>
            </w:r>
          </w:p>
        </w:tc>
        <w:tc>
          <w:tcPr>
            <w:tcW w:w="628" w:type="dxa"/>
            <w:tcBorders>
              <w:top w:val="single" w:sz="4" w:space="0" w:color="auto"/>
              <w:left w:val="single" w:sz="4" w:space="0" w:color="auto"/>
              <w:bottom w:val="nil"/>
            </w:tcBorders>
            <w:noWrap/>
            <w:vAlign w:val="bottom"/>
          </w:tcPr>
          <w:p w14:paraId="77FDBB4F"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4.0</w:t>
            </w:r>
          </w:p>
        </w:tc>
        <w:tc>
          <w:tcPr>
            <w:tcW w:w="628" w:type="dxa"/>
            <w:tcBorders>
              <w:top w:val="single" w:sz="4" w:space="0" w:color="auto"/>
              <w:bottom w:val="nil"/>
            </w:tcBorders>
            <w:noWrap/>
            <w:vAlign w:val="bottom"/>
          </w:tcPr>
          <w:p w14:paraId="77FDBB50"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5.4</w:t>
            </w:r>
          </w:p>
        </w:tc>
        <w:tc>
          <w:tcPr>
            <w:tcW w:w="628" w:type="dxa"/>
            <w:tcBorders>
              <w:top w:val="single" w:sz="4" w:space="0" w:color="auto"/>
              <w:bottom w:val="nil"/>
            </w:tcBorders>
            <w:noWrap/>
            <w:vAlign w:val="bottom"/>
          </w:tcPr>
          <w:p w14:paraId="77FDBB51"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3.7</w:t>
            </w:r>
          </w:p>
        </w:tc>
        <w:tc>
          <w:tcPr>
            <w:tcW w:w="628" w:type="dxa"/>
            <w:tcBorders>
              <w:top w:val="single" w:sz="4" w:space="0" w:color="auto"/>
              <w:bottom w:val="nil"/>
            </w:tcBorders>
            <w:noWrap/>
            <w:vAlign w:val="bottom"/>
          </w:tcPr>
          <w:p w14:paraId="77FDBB52"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3.0</w:t>
            </w:r>
          </w:p>
        </w:tc>
        <w:tc>
          <w:tcPr>
            <w:tcW w:w="628" w:type="dxa"/>
            <w:tcBorders>
              <w:top w:val="single" w:sz="4" w:space="0" w:color="auto"/>
              <w:bottom w:val="nil"/>
            </w:tcBorders>
            <w:noWrap/>
            <w:vAlign w:val="bottom"/>
          </w:tcPr>
          <w:p w14:paraId="77FDBB53"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2.5</w:t>
            </w:r>
          </w:p>
        </w:tc>
        <w:tc>
          <w:tcPr>
            <w:tcW w:w="628" w:type="dxa"/>
            <w:tcBorders>
              <w:top w:val="single" w:sz="4" w:space="0" w:color="auto"/>
              <w:bottom w:val="nil"/>
            </w:tcBorders>
            <w:noWrap/>
            <w:vAlign w:val="bottom"/>
          </w:tcPr>
          <w:p w14:paraId="77FDBB54"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2.1</w:t>
            </w:r>
          </w:p>
        </w:tc>
      </w:tr>
      <w:tr w:rsidR="00EA21D5" w:rsidRPr="00EA21D5" w14:paraId="77FDBB69" w14:textId="77777777" w:rsidTr="00EA21D5">
        <w:trPr>
          <w:cnfStyle w:val="000000010000" w:firstRow="0" w:lastRow="0" w:firstColumn="0" w:lastColumn="0" w:oddVBand="0" w:evenVBand="0" w:oddHBand="0" w:evenHBand="1" w:firstRowFirstColumn="0" w:firstRowLastColumn="0" w:lastRowFirstColumn="0" w:lastRowLastColumn="0"/>
        </w:trPr>
        <w:tc>
          <w:tcPr>
            <w:tcW w:w="2700" w:type="dxa"/>
            <w:tcBorders>
              <w:top w:val="nil"/>
              <w:bottom w:val="nil"/>
              <w:right w:val="single" w:sz="4" w:space="0" w:color="auto"/>
            </w:tcBorders>
            <w:noWrap/>
            <w:hideMark/>
          </w:tcPr>
          <w:p w14:paraId="77FDBB56" w14:textId="77777777" w:rsidR="00EA21D5" w:rsidRPr="00E65B70" w:rsidRDefault="00EA21D5" w:rsidP="00E65B70">
            <w:pPr>
              <w:pStyle w:val="TableText"/>
              <w:ind w:left="144"/>
              <w:rPr>
                <w:rFonts w:asciiTheme="majorHAnsi" w:hAnsiTheme="majorHAnsi" w:cstheme="majorHAnsi"/>
                <w:color w:val="000000"/>
                <w:szCs w:val="17"/>
                <w:lang w:eastAsia="en-GB"/>
              </w:rPr>
            </w:pPr>
            <w:r w:rsidRPr="00E65B70">
              <w:rPr>
                <w:rFonts w:asciiTheme="majorHAnsi" w:hAnsiTheme="majorHAnsi" w:cstheme="majorHAnsi"/>
                <w:color w:val="000000"/>
                <w:szCs w:val="17"/>
                <w:lang w:eastAsia="en-GB"/>
              </w:rPr>
              <w:t>Market services</w:t>
            </w:r>
          </w:p>
        </w:tc>
        <w:tc>
          <w:tcPr>
            <w:tcW w:w="627" w:type="dxa"/>
            <w:tcBorders>
              <w:top w:val="nil"/>
              <w:left w:val="single" w:sz="4" w:space="0" w:color="auto"/>
              <w:bottom w:val="nil"/>
            </w:tcBorders>
            <w:noWrap/>
            <w:vAlign w:val="bottom"/>
          </w:tcPr>
          <w:p w14:paraId="77FDBB57"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30.1</w:t>
            </w:r>
          </w:p>
        </w:tc>
        <w:tc>
          <w:tcPr>
            <w:tcW w:w="628" w:type="dxa"/>
            <w:tcBorders>
              <w:top w:val="nil"/>
              <w:bottom w:val="nil"/>
            </w:tcBorders>
            <w:noWrap/>
            <w:vAlign w:val="bottom"/>
          </w:tcPr>
          <w:p w14:paraId="77FDBB58"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30.9</w:t>
            </w:r>
          </w:p>
        </w:tc>
        <w:tc>
          <w:tcPr>
            <w:tcW w:w="628" w:type="dxa"/>
            <w:tcBorders>
              <w:top w:val="nil"/>
              <w:bottom w:val="nil"/>
            </w:tcBorders>
            <w:noWrap/>
            <w:vAlign w:val="bottom"/>
          </w:tcPr>
          <w:p w14:paraId="77FDBB59"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32.8</w:t>
            </w:r>
          </w:p>
        </w:tc>
        <w:tc>
          <w:tcPr>
            <w:tcW w:w="628" w:type="dxa"/>
            <w:tcBorders>
              <w:top w:val="nil"/>
              <w:bottom w:val="nil"/>
            </w:tcBorders>
            <w:noWrap/>
            <w:vAlign w:val="bottom"/>
          </w:tcPr>
          <w:p w14:paraId="77FDBB5A"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30.6</w:t>
            </w:r>
          </w:p>
        </w:tc>
        <w:tc>
          <w:tcPr>
            <w:tcW w:w="628" w:type="dxa"/>
            <w:tcBorders>
              <w:top w:val="nil"/>
              <w:bottom w:val="nil"/>
            </w:tcBorders>
            <w:noWrap/>
            <w:vAlign w:val="bottom"/>
          </w:tcPr>
          <w:p w14:paraId="77FDBB5B"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27.6</w:t>
            </w:r>
          </w:p>
        </w:tc>
        <w:tc>
          <w:tcPr>
            <w:tcW w:w="628" w:type="dxa"/>
            <w:tcBorders>
              <w:top w:val="nil"/>
              <w:bottom w:val="nil"/>
              <w:right w:val="single" w:sz="4" w:space="0" w:color="auto"/>
            </w:tcBorders>
            <w:noWrap/>
            <w:vAlign w:val="bottom"/>
          </w:tcPr>
          <w:p w14:paraId="77FDBB5C"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29.8</w:t>
            </w:r>
          </w:p>
        </w:tc>
        <w:tc>
          <w:tcPr>
            <w:tcW w:w="628" w:type="dxa"/>
            <w:tcBorders>
              <w:top w:val="nil"/>
              <w:left w:val="single" w:sz="4" w:space="0" w:color="auto"/>
              <w:bottom w:val="nil"/>
            </w:tcBorders>
            <w:noWrap/>
            <w:vAlign w:val="bottom"/>
          </w:tcPr>
          <w:p w14:paraId="77FDBB5D"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1.9</w:t>
            </w:r>
          </w:p>
        </w:tc>
        <w:tc>
          <w:tcPr>
            <w:tcW w:w="628" w:type="dxa"/>
            <w:tcBorders>
              <w:top w:val="nil"/>
              <w:bottom w:val="nil"/>
            </w:tcBorders>
            <w:noWrap/>
            <w:vAlign w:val="bottom"/>
          </w:tcPr>
          <w:p w14:paraId="77FDBB5E"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4.4</w:t>
            </w:r>
          </w:p>
        </w:tc>
        <w:tc>
          <w:tcPr>
            <w:tcW w:w="628" w:type="dxa"/>
            <w:tcBorders>
              <w:top w:val="nil"/>
              <w:bottom w:val="nil"/>
            </w:tcBorders>
            <w:noWrap/>
            <w:vAlign w:val="bottom"/>
          </w:tcPr>
          <w:p w14:paraId="77FDBB5F"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6.5</w:t>
            </w:r>
          </w:p>
        </w:tc>
        <w:tc>
          <w:tcPr>
            <w:tcW w:w="627" w:type="dxa"/>
            <w:tcBorders>
              <w:top w:val="nil"/>
              <w:bottom w:val="nil"/>
            </w:tcBorders>
            <w:noWrap/>
            <w:vAlign w:val="bottom"/>
          </w:tcPr>
          <w:p w14:paraId="77FDBB60"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7.7</w:t>
            </w:r>
          </w:p>
        </w:tc>
        <w:tc>
          <w:tcPr>
            <w:tcW w:w="628" w:type="dxa"/>
            <w:tcBorders>
              <w:top w:val="nil"/>
              <w:bottom w:val="nil"/>
            </w:tcBorders>
            <w:noWrap/>
            <w:vAlign w:val="bottom"/>
          </w:tcPr>
          <w:p w14:paraId="77FDBB61"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9.6</w:t>
            </w:r>
          </w:p>
        </w:tc>
        <w:tc>
          <w:tcPr>
            <w:tcW w:w="628" w:type="dxa"/>
            <w:tcBorders>
              <w:top w:val="nil"/>
              <w:bottom w:val="nil"/>
              <w:right w:val="single" w:sz="4" w:space="0" w:color="auto"/>
            </w:tcBorders>
            <w:noWrap/>
            <w:vAlign w:val="bottom"/>
          </w:tcPr>
          <w:p w14:paraId="77FDBB62"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12.2</w:t>
            </w:r>
          </w:p>
        </w:tc>
        <w:tc>
          <w:tcPr>
            <w:tcW w:w="628" w:type="dxa"/>
            <w:tcBorders>
              <w:top w:val="nil"/>
              <w:left w:val="single" w:sz="4" w:space="0" w:color="auto"/>
              <w:bottom w:val="nil"/>
            </w:tcBorders>
            <w:noWrap/>
            <w:vAlign w:val="bottom"/>
          </w:tcPr>
          <w:p w14:paraId="77FDBB63"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13.5</w:t>
            </w:r>
          </w:p>
        </w:tc>
        <w:tc>
          <w:tcPr>
            <w:tcW w:w="628" w:type="dxa"/>
            <w:tcBorders>
              <w:top w:val="nil"/>
              <w:bottom w:val="nil"/>
            </w:tcBorders>
            <w:noWrap/>
            <w:vAlign w:val="bottom"/>
          </w:tcPr>
          <w:p w14:paraId="77FDBB64"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6.9</w:t>
            </w:r>
          </w:p>
        </w:tc>
        <w:tc>
          <w:tcPr>
            <w:tcW w:w="628" w:type="dxa"/>
            <w:tcBorders>
              <w:top w:val="nil"/>
              <w:bottom w:val="nil"/>
            </w:tcBorders>
            <w:noWrap/>
            <w:vAlign w:val="bottom"/>
          </w:tcPr>
          <w:p w14:paraId="77FDBB65"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4.2</w:t>
            </w:r>
          </w:p>
        </w:tc>
        <w:tc>
          <w:tcPr>
            <w:tcW w:w="628" w:type="dxa"/>
            <w:tcBorders>
              <w:top w:val="nil"/>
              <w:bottom w:val="nil"/>
            </w:tcBorders>
            <w:noWrap/>
            <w:vAlign w:val="bottom"/>
          </w:tcPr>
          <w:p w14:paraId="77FDBB66"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3.6</w:t>
            </w:r>
          </w:p>
        </w:tc>
        <w:tc>
          <w:tcPr>
            <w:tcW w:w="628" w:type="dxa"/>
            <w:tcBorders>
              <w:top w:val="nil"/>
              <w:bottom w:val="nil"/>
            </w:tcBorders>
            <w:noWrap/>
            <w:vAlign w:val="bottom"/>
          </w:tcPr>
          <w:p w14:paraId="77FDBB67"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2.9</w:t>
            </w:r>
          </w:p>
        </w:tc>
        <w:tc>
          <w:tcPr>
            <w:tcW w:w="628" w:type="dxa"/>
            <w:tcBorders>
              <w:top w:val="nil"/>
              <w:bottom w:val="nil"/>
            </w:tcBorders>
            <w:noWrap/>
            <w:vAlign w:val="bottom"/>
          </w:tcPr>
          <w:p w14:paraId="77FDBB68"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2.5</w:t>
            </w:r>
          </w:p>
        </w:tc>
      </w:tr>
      <w:tr w:rsidR="00EA21D5" w:rsidRPr="00EA21D5" w14:paraId="77FDBB7D" w14:textId="77777777" w:rsidTr="00EA21D5">
        <w:trPr>
          <w:cnfStyle w:val="000000100000" w:firstRow="0" w:lastRow="0" w:firstColumn="0" w:lastColumn="0" w:oddVBand="0" w:evenVBand="0" w:oddHBand="1" w:evenHBand="0" w:firstRowFirstColumn="0" w:firstRowLastColumn="0" w:lastRowFirstColumn="0" w:lastRowLastColumn="0"/>
        </w:trPr>
        <w:tc>
          <w:tcPr>
            <w:tcW w:w="2700" w:type="dxa"/>
            <w:tcBorders>
              <w:top w:val="nil"/>
              <w:bottom w:val="nil"/>
              <w:right w:val="single" w:sz="4" w:space="0" w:color="auto"/>
            </w:tcBorders>
            <w:noWrap/>
            <w:hideMark/>
          </w:tcPr>
          <w:p w14:paraId="77FDBB6A" w14:textId="77777777" w:rsidR="00EA21D5" w:rsidRPr="00F975F4" w:rsidRDefault="00EA21D5" w:rsidP="00E65B70">
            <w:pPr>
              <w:pStyle w:val="TableText"/>
              <w:ind w:left="288"/>
              <w:rPr>
                <w:rFonts w:asciiTheme="majorHAnsi" w:hAnsiTheme="majorHAnsi" w:cstheme="majorHAnsi"/>
                <w:i/>
                <w:iCs/>
                <w:color w:val="000000"/>
                <w:szCs w:val="17"/>
                <w:lang w:eastAsia="en-GB"/>
              </w:rPr>
            </w:pPr>
            <w:r w:rsidRPr="00F975F4">
              <w:rPr>
                <w:rFonts w:asciiTheme="majorHAnsi" w:hAnsiTheme="majorHAnsi" w:cstheme="majorHAnsi"/>
                <w:i/>
                <w:iCs/>
                <w:color w:val="000000"/>
                <w:szCs w:val="17"/>
                <w:lang w:eastAsia="en-GB"/>
              </w:rPr>
              <w:t>Distribution services</w:t>
            </w:r>
          </w:p>
        </w:tc>
        <w:tc>
          <w:tcPr>
            <w:tcW w:w="627" w:type="dxa"/>
            <w:tcBorders>
              <w:top w:val="nil"/>
              <w:left w:val="single" w:sz="4" w:space="0" w:color="auto"/>
              <w:bottom w:val="nil"/>
            </w:tcBorders>
            <w:noWrap/>
            <w:vAlign w:val="bottom"/>
          </w:tcPr>
          <w:p w14:paraId="77FDBB6B"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25.2</w:t>
            </w:r>
          </w:p>
        </w:tc>
        <w:tc>
          <w:tcPr>
            <w:tcW w:w="628" w:type="dxa"/>
            <w:tcBorders>
              <w:top w:val="nil"/>
              <w:bottom w:val="nil"/>
            </w:tcBorders>
            <w:noWrap/>
            <w:vAlign w:val="bottom"/>
          </w:tcPr>
          <w:p w14:paraId="77FDBB6C"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23.7</w:t>
            </w:r>
          </w:p>
        </w:tc>
        <w:tc>
          <w:tcPr>
            <w:tcW w:w="628" w:type="dxa"/>
            <w:tcBorders>
              <w:top w:val="nil"/>
              <w:bottom w:val="nil"/>
            </w:tcBorders>
            <w:noWrap/>
            <w:vAlign w:val="bottom"/>
          </w:tcPr>
          <w:p w14:paraId="77FDBB6D"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27.3</w:t>
            </w:r>
          </w:p>
        </w:tc>
        <w:tc>
          <w:tcPr>
            <w:tcW w:w="628" w:type="dxa"/>
            <w:tcBorders>
              <w:top w:val="nil"/>
              <w:bottom w:val="nil"/>
            </w:tcBorders>
            <w:noWrap/>
            <w:vAlign w:val="bottom"/>
          </w:tcPr>
          <w:p w14:paraId="77FDBB6E"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25.7</w:t>
            </w:r>
          </w:p>
        </w:tc>
        <w:tc>
          <w:tcPr>
            <w:tcW w:w="628" w:type="dxa"/>
            <w:tcBorders>
              <w:top w:val="nil"/>
              <w:bottom w:val="nil"/>
            </w:tcBorders>
            <w:noWrap/>
            <w:vAlign w:val="bottom"/>
          </w:tcPr>
          <w:p w14:paraId="77FDBB6F"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23.1</w:t>
            </w:r>
          </w:p>
        </w:tc>
        <w:tc>
          <w:tcPr>
            <w:tcW w:w="628" w:type="dxa"/>
            <w:tcBorders>
              <w:top w:val="nil"/>
              <w:bottom w:val="nil"/>
              <w:right w:val="single" w:sz="4" w:space="0" w:color="auto"/>
            </w:tcBorders>
            <w:noWrap/>
            <w:vAlign w:val="bottom"/>
          </w:tcPr>
          <w:p w14:paraId="77FDBB70"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25.5</w:t>
            </w:r>
          </w:p>
        </w:tc>
        <w:tc>
          <w:tcPr>
            <w:tcW w:w="628" w:type="dxa"/>
            <w:tcBorders>
              <w:top w:val="nil"/>
              <w:left w:val="single" w:sz="4" w:space="0" w:color="auto"/>
              <w:bottom w:val="nil"/>
            </w:tcBorders>
            <w:noWrap/>
            <w:vAlign w:val="bottom"/>
          </w:tcPr>
          <w:p w14:paraId="77FDBB71"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1.8</w:t>
            </w:r>
          </w:p>
        </w:tc>
        <w:tc>
          <w:tcPr>
            <w:tcW w:w="628" w:type="dxa"/>
            <w:tcBorders>
              <w:top w:val="nil"/>
              <w:bottom w:val="nil"/>
            </w:tcBorders>
            <w:noWrap/>
            <w:vAlign w:val="bottom"/>
          </w:tcPr>
          <w:p w14:paraId="77FDBB72"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4.2</w:t>
            </w:r>
          </w:p>
        </w:tc>
        <w:tc>
          <w:tcPr>
            <w:tcW w:w="628" w:type="dxa"/>
            <w:tcBorders>
              <w:top w:val="nil"/>
              <w:bottom w:val="nil"/>
            </w:tcBorders>
            <w:noWrap/>
            <w:vAlign w:val="bottom"/>
          </w:tcPr>
          <w:p w14:paraId="77FDBB73"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6.2</w:t>
            </w:r>
          </w:p>
        </w:tc>
        <w:tc>
          <w:tcPr>
            <w:tcW w:w="627" w:type="dxa"/>
            <w:tcBorders>
              <w:top w:val="nil"/>
              <w:bottom w:val="nil"/>
            </w:tcBorders>
            <w:noWrap/>
            <w:vAlign w:val="bottom"/>
          </w:tcPr>
          <w:p w14:paraId="77FDBB74"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7.5</w:t>
            </w:r>
          </w:p>
        </w:tc>
        <w:tc>
          <w:tcPr>
            <w:tcW w:w="628" w:type="dxa"/>
            <w:tcBorders>
              <w:top w:val="nil"/>
              <w:bottom w:val="nil"/>
            </w:tcBorders>
            <w:noWrap/>
            <w:vAlign w:val="bottom"/>
          </w:tcPr>
          <w:p w14:paraId="77FDBB75"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9.4</w:t>
            </w:r>
          </w:p>
        </w:tc>
        <w:tc>
          <w:tcPr>
            <w:tcW w:w="628" w:type="dxa"/>
            <w:tcBorders>
              <w:top w:val="nil"/>
              <w:bottom w:val="nil"/>
              <w:right w:val="single" w:sz="4" w:space="0" w:color="auto"/>
            </w:tcBorders>
            <w:noWrap/>
            <w:vAlign w:val="bottom"/>
          </w:tcPr>
          <w:p w14:paraId="77FDBB76"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12.0</w:t>
            </w:r>
          </w:p>
        </w:tc>
        <w:tc>
          <w:tcPr>
            <w:tcW w:w="628" w:type="dxa"/>
            <w:tcBorders>
              <w:top w:val="nil"/>
              <w:left w:val="single" w:sz="4" w:space="0" w:color="auto"/>
              <w:bottom w:val="nil"/>
            </w:tcBorders>
            <w:noWrap/>
            <w:vAlign w:val="bottom"/>
          </w:tcPr>
          <w:p w14:paraId="77FDBB77"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13.0</w:t>
            </w:r>
          </w:p>
        </w:tc>
        <w:tc>
          <w:tcPr>
            <w:tcW w:w="628" w:type="dxa"/>
            <w:tcBorders>
              <w:top w:val="nil"/>
              <w:bottom w:val="nil"/>
            </w:tcBorders>
            <w:noWrap/>
            <w:vAlign w:val="bottom"/>
          </w:tcPr>
          <w:p w14:paraId="77FDBB78"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6.3</w:t>
            </w:r>
          </w:p>
        </w:tc>
        <w:tc>
          <w:tcPr>
            <w:tcW w:w="628" w:type="dxa"/>
            <w:tcBorders>
              <w:top w:val="nil"/>
              <w:bottom w:val="nil"/>
            </w:tcBorders>
            <w:noWrap/>
            <w:vAlign w:val="bottom"/>
          </w:tcPr>
          <w:p w14:paraId="77FDBB79"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3.5</w:t>
            </w:r>
          </w:p>
        </w:tc>
        <w:tc>
          <w:tcPr>
            <w:tcW w:w="628" w:type="dxa"/>
            <w:tcBorders>
              <w:top w:val="nil"/>
              <w:bottom w:val="nil"/>
            </w:tcBorders>
            <w:noWrap/>
            <w:vAlign w:val="bottom"/>
          </w:tcPr>
          <w:p w14:paraId="77FDBB7A"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3.1</w:t>
            </w:r>
          </w:p>
        </w:tc>
        <w:tc>
          <w:tcPr>
            <w:tcW w:w="628" w:type="dxa"/>
            <w:tcBorders>
              <w:top w:val="nil"/>
              <w:bottom w:val="nil"/>
            </w:tcBorders>
            <w:noWrap/>
            <w:vAlign w:val="bottom"/>
          </w:tcPr>
          <w:p w14:paraId="77FDBB7B"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2.5</w:t>
            </w:r>
          </w:p>
        </w:tc>
        <w:tc>
          <w:tcPr>
            <w:tcW w:w="628" w:type="dxa"/>
            <w:tcBorders>
              <w:top w:val="nil"/>
              <w:bottom w:val="nil"/>
            </w:tcBorders>
            <w:noWrap/>
            <w:vAlign w:val="bottom"/>
          </w:tcPr>
          <w:p w14:paraId="77FDBB7C"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2.1</w:t>
            </w:r>
          </w:p>
        </w:tc>
      </w:tr>
      <w:tr w:rsidR="00EA21D5" w:rsidRPr="00EA21D5" w14:paraId="77FDBB91" w14:textId="77777777" w:rsidTr="00EA21D5">
        <w:trPr>
          <w:cnfStyle w:val="000000010000" w:firstRow="0" w:lastRow="0" w:firstColumn="0" w:lastColumn="0" w:oddVBand="0" w:evenVBand="0" w:oddHBand="0" w:evenHBand="1" w:firstRowFirstColumn="0" w:firstRowLastColumn="0" w:lastRowFirstColumn="0" w:lastRowLastColumn="0"/>
        </w:trPr>
        <w:tc>
          <w:tcPr>
            <w:tcW w:w="2700" w:type="dxa"/>
            <w:tcBorders>
              <w:top w:val="nil"/>
              <w:bottom w:val="nil"/>
              <w:right w:val="single" w:sz="4" w:space="0" w:color="auto"/>
            </w:tcBorders>
            <w:noWrap/>
            <w:hideMark/>
          </w:tcPr>
          <w:p w14:paraId="77FDBB7E" w14:textId="77777777" w:rsidR="00EA21D5" w:rsidRPr="00F975F4" w:rsidRDefault="00EA21D5" w:rsidP="00FC45D4">
            <w:pPr>
              <w:pStyle w:val="TableText"/>
              <w:ind w:left="288"/>
              <w:rPr>
                <w:rFonts w:asciiTheme="majorHAnsi" w:hAnsiTheme="majorHAnsi" w:cstheme="majorHAnsi"/>
                <w:i/>
                <w:iCs/>
                <w:color w:val="000000"/>
                <w:szCs w:val="17"/>
                <w:lang w:eastAsia="en-GB"/>
              </w:rPr>
            </w:pPr>
            <w:r w:rsidRPr="00F975F4">
              <w:rPr>
                <w:rFonts w:asciiTheme="majorHAnsi" w:hAnsiTheme="majorHAnsi" w:cstheme="majorHAnsi"/>
                <w:i/>
                <w:iCs/>
                <w:color w:val="000000"/>
                <w:szCs w:val="17"/>
                <w:lang w:eastAsia="en-GB"/>
              </w:rPr>
              <w:t>Finance and business services</w:t>
            </w:r>
          </w:p>
        </w:tc>
        <w:tc>
          <w:tcPr>
            <w:tcW w:w="627" w:type="dxa"/>
            <w:tcBorders>
              <w:top w:val="nil"/>
              <w:left w:val="single" w:sz="4" w:space="0" w:color="auto"/>
              <w:bottom w:val="nil"/>
            </w:tcBorders>
            <w:noWrap/>
            <w:vAlign w:val="bottom"/>
          </w:tcPr>
          <w:p w14:paraId="77FDBB7F"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5.0</w:t>
            </w:r>
          </w:p>
        </w:tc>
        <w:tc>
          <w:tcPr>
            <w:tcW w:w="628" w:type="dxa"/>
            <w:tcBorders>
              <w:top w:val="nil"/>
              <w:bottom w:val="nil"/>
            </w:tcBorders>
            <w:noWrap/>
            <w:vAlign w:val="bottom"/>
          </w:tcPr>
          <w:p w14:paraId="77FDBB80"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7.2</w:t>
            </w:r>
          </w:p>
        </w:tc>
        <w:tc>
          <w:tcPr>
            <w:tcW w:w="628" w:type="dxa"/>
            <w:tcBorders>
              <w:top w:val="nil"/>
              <w:bottom w:val="nil"/>
            </w:tcBorders>
            <w:noWrap/>
            <w:vAlign w:val="bottom"/>
          </w:tcPr>
          <w:p w14:paraId="77FDBB81"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5.5</w:t>
            </w:r>
          </w:p>
        </w:tc>
        <w:tc>
          <w:tcPr>
            <w:tcW w:w="628" w:type="dxa"/>
            <w:tcBorders>
              <w:top w:val="nil"/>
              <w:bottom w:val="nil"/>
            </w:tcBorders>
            <w:noWrap/>
            <w:vAlign w:val="bottom"/>
          </w:tcPr>
          <w:p w14:paraId="77FDBB82"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4.9</w:t>
            </w:r>
          </w:p>
        </w:tc>
        <w:tc>
          <w:tcPr>
            <w:tcW w:w="628" w:type="dxa"/>
            <w:tcBorders>
              <w:top w:val="nil"/>
              <w:bottom w:val="nil"/>
            </w:tcBorders>
            <w:noWrap/>
            <w:vAlign w:val="bottom"/>
          </w:tcPr>
          <w:p w14:paraId="77FDBB83"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4.5</w:t>
            </w:r>
          </w:p>
        </w:tc>
        <w:tc>
          <w:tcPr>
            <w:tcW w:w="628" w:type="dxa"/>
            <w:tcBorders>
              <w:top w:val="nil"/>
              <w:bottom w:val="nil"/>
              <w:right w:val="single" w:sz="4" w:space="0" w:color="auto"/>
            </w:tcBorders>
            <w:noWrap/>
            <w:vAlign w:val="bottom"/>
          </w:tcPr>
          <w:p w14:paraId="77FDBB84"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4.3</w:t>
            </w:r>
          </w:p>
        </w:tc>
        <w:tc>
          <w:tcPr>
            <w:tcW w:w="628" w:type="dxa"/>
            <w:tcBorders>
              <w:top w:val="nil"/>
              <w:left w:val="single" w:sz="4" w:space="0" w:color="auto"/>
              <w:bottom w:val="nil"/>
            </w:tcBorders>
            <w:noWrap/>
            <w:vAlign w:val="bottom"/>
          </w:tcPr>
          <w:p w14:paraId="77FDBB85"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0.1</w:t>
            </w:r>
          </w:p>
        </w:tc>
        <w:tc>
          <w:tcPr>
            <w:tcW w:w="628" w:type="dxa"/>
            <w:tcBorders>
              <w:top w:val="nil"/>
              <w:bottom w:val="nil"/>
            </w:tcBorders>
            <w:noWrap/>
            <w:vAlign w:val="bottom"/>
          </w:tcPr>
          <w:p w14:paraId="77FDBB86"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0.2</w:t>
            </w:r>
          </w:p>
        </w:tc>
        <w:tc>
          <w:tcPr>
            <w:tcW w:w="628" w:type="dxa"/>
            <w:tcBorders>
              <w:top w:val="nil"/>
              <w:bottom w:val="nil"/>
            </w:tcBorders>
            <w:noWrap/>
            <w:vAlign w:val="bottom"/>
          </w:tcPr>
          <w:p w14:paraId="77FDBB87"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0.2</w:t>
            </w:r>
          </w:p>
        </w:tc>
        <w:tc>
          <w:tcPr>
            <w:tcW w:w="627" w:type="dxa"/>
            <w:tcBorders>
              <w:top w:val="nil"/>
              <w:bottom w:val="nil"/>
            </w:tcBorders>
            <w:noWrap/>
            <w:vAlign w:val="bottom"/>
          </w:tcPr>
          <w:p w14:paraId="77FDBB88"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0.2</w:t>
            </w:r>
          </w:p>
        </w:tc>
        <w:tc>
          <w:tcPr>
            <w:tcW w:w="628" w:type="dxa"/>
            <w:tcBorders>
              <w:top w:val="nil"/>
              <w:bottom w:val="nil"/>
            </w:tcBorders>
            <w:noWrap/>
            <w:vAlign w:val="bottom"/>
          </w:tcPr>
          <w:p w14:paraId="77FDBB89"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0.2</w:t>
            </w:r>
          </w:p>
        </w:tc>
        <w:tc>
          <w:tcPr>
            <w:tcW w:w="628" w:type="dxa"/>
            <w:tcBorders>
              <w:top w:val="nil"/>
              <w:bottom w:val="nil"/>
              <w:right w:val="single" w:sz="4" w:space="0" w:color="auto"/>
            </w:tcBorders>
            <w:noWrap/>
            <w:vAlign w:val="bottom"/>
          </w:tcPr>
          <w:p w14:paraId="77FDBB8A"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0.2</w:t>
            </w:r>
          </w:p>
        </w:tc>
        <w:tc>
          <w:tcPr>
            <w:tcW w:w="628" w:type="dxa"/>
            <w:tcBorders>
              <w:top w:val="nil"/>
              <w:left w:val="single" w:sz="4" w:space="0" w:color="auto"/>
              <w:bottom w:val="nil"/>
            </w:tcBorders>
            <w:noWrap/>
            <w:vAlign w:val="bottom"/>
          </w:tcPr>
          <w:p w14:paraId="77FDBB8B"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22.3</w:t>
            </w:r>
          </w:p>
        </w:tc>
        <w:tc>
          <w:tcPr>
            <w:tcW w:w="628" w:type="dxa"/>
            <w:tcBorders>
              <w:top w:val="nil"/>
              <w:bottom w:val="nil"/>
            </w:tcBorders>
            <w:noWrap/>
            <w:vAlign w:val="bottom"/>
          </w:tcPr>
          <w:p w14:paraId="77FDBB8C"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18.0</w:t>
            </w:r>
          </w:p>
        </w:tc>
        <w:tc>
          <w:tcPr>
            <w:tcW w:w="628" w:type="dxa"/>
            <w:tcBorders>
              <w:top w:val="nil"/>
              <w:bottom w:val="nil"/>
            </w:tcBorders>
            <w:noWrap/>
            <w:vAlign w:val="bottom"/>
          </w:tcPr>
          <w:p w14:paraId="77FDBB8D"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22.1</w:t>
            </w:r>
          </w:p>
        </w:tc>
        <w:tc>
          <w:tcPr>
            <w:tcW w:w="628" w:type="dxa"/>
            <w:tcBorders>
              <w:top w:val="nil"/>
              <w:bottom w:val="nil"/>
            </w:tcBorders>
            <w:noWrap/>
            <w:vAlign w:val="bottom"/>
          </w:tcPr>
          <w:p w14:paraId="77FDBB8E"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22.9</w:t>
            </w:r>
          </w:p>
        </w:tc>
        <w:tc>
          <w:tcPr>
            <w:tcW w:w="628" w:type="dxa"/>
            <w:tcBorders>
              <w:top w:val="nil"/>
              <w:bottom w:val="nil"/>
            </w:tcBorders>
            <w:noWrap/>
            <w:vAlign w:val="bottom"/>
          </w:tcPr>
          <w:p w14:paraId="77FDBB8F"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22.5</w:t>
            </w:r>
          </w:p>
        </w:tc>
        <w:tc>
          <w:tcPr>
            <w:tcW w:w="628" w:type="dxa"/>
            <w:tcBorders>
              <w:top w:val="nil"/>
              <w:bottom w:val="nil"/>
            </w:tcBorders>
            <w:noWrap/>
            <w:vAlign w:val="bottom"/>
          </w:tcPr>
          <w:p w14:paraId="77FDBB90"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23.4</w:t>
            </w:r>
          </w:p>
        </w:tc>
      </w:tr>
      <w:tr w:rsidR="00EA21D5" w:rsidRPr="00EA21D5" w14:paraId="77FDBBA5" w14:textId="77777777" w:rsidTr="00EA21D5">
        <w:trPr>
          <w:cnfStyle w:val="000000100000" w:firstRow="0" w:lastRow="0" w:firstColumn="0" w:lastColumn="0" w:oddVBand="0" w:evenVBand="0" w:oddHBand="1" w:evenHBand="0" w:firstRowFirstColumn="0" w:firstRowLastColumn="0" w:lastRowFirstColumn="0" w:lastRowLastColumn="0"/>
        </w:trPr>
        <w:tc>
          <w:tcPr>
            <w:tcW w:w="2700" w:type="dxa"/>
            <w:tcBorders>
              <w:top w:val="nil"/>
              <w:bottom w:val="nil"/>
              <w:right w:val="single" w:sz="4" w:space="0" w:color="auto"/>
            </w:tcBorders>
            <w:noWrap/>
            <w:hideMark/>
          </w:tcPr>
          <w:p w14:paraId="77FDBB92" w14:textId="77777777" w:rsidR="00EA21D5" w:rsidRPr="00E65B70" w:rsidRDefault="00EA21D5" w:rsidP="00E65B70">
            <w:pPr>
              <w:pStyle w:val="TableText"/>
              <w:ind w:left="144"/>
              <w:rPr>
                <w:rFonts w:asciiTheme="majorHAnsi" w:hAnsiTheme="majorHAnsi" w:cstheme="majorHAnsi"/>
                <w:color w:val="000000"/>
                <w:szCs w:val="17"/>
                <w:lang w:eastAsia="en-GB"/>
              </w:rPr>
            </w:pPr>
            <w:r w:rsidRPr="00E65B70">
              <w:rPr>
                <w:rFonts w:asciiTheme="majorHAnsi" w:hAnsiTheme="majorHAnsi" w:cstheme="majorHAnsi"/>
                <w:color w:val="000000"/>
                <w:szCs w:val="17"/>
                <w:lang w:eastAsia="en-GB"/>
              </w:rPr>
              <w:t>Non-market services</w:t>
            </w:r>
          </w:p>
        </w:tc>
        <w:tc>
          <w:tcPr>
            <w:tcW w:w="627" w:type="dxa"/>
            <w:tcBorders>
              <w:top w:val="nil"/>
              <w:left w:val="single" w:sz="4" w:space="0" w:color="auto"/>
              <w:bottom w:val="nil"/>
            </w:tcBorders>
            <w:noWrap/>
            <w:vAlign w:val="bottom"/>
          </w:tcPr>
          <w:p w14:paraId="77FDBB93"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21.0</w:t>
            </w:r>
          </w:p>
        </w:tc>
        <w:tc>
          <w:tcPr>
            <w:tcW w:w="628" w:type="dxa"/>
            <w:tcBorders>
              <w:top w:val="nil"/>
              <w:bottom w:val="nil"/>
            </w:tcBorders>
            <w:noWrap/>
            <w:vAlign w:val="bottom"/>
          </w:tcPr>
          <w:p w14:paraId="77FDBB94"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22.8</w:t>
            </w:r>
          </w:p>
        </w:tc>
        <w:tc>
          <w:tcPr>
            <w:tcW w:w="628" w:type="dxa"/>
            <w:tcBorders>
              <w:top w:val="nil"/>
              <w:bottom w:val="nil"/>
            </w:tcBorders>
            <w:noWrap/>
            <w:vAlign w:val="bottom"/>
          </w:tcPr>
          <w:p w14:paraId="77FDBB95"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16.1</w:t>
            </w:r>
          </w:p>
        </w:tc>
        <w:tc>
          <w:tcPr>
            <w:tcW w:w="628" w:type="dxa"/>
            <w:tcBorders>
              <w:top w:val="nil"/>
              <w:bottom w:val="nil"/>
            </w:tcBorders>
            <w:noWrap/>
            <w:vAlign w:val="bottom"/>
          </w:tcPr>
          <w:p w14:paraId="77FDBB96"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12.5</w:t>
            </w:r>
          </w:p>
        </w:tc>
        <w:tc>
          <w:tcPr>
            <w:tcW w:w="628" w:type="dxa"/>
            <w:tcBorders>
              <w:top w:val="nil"/>
              <w:bottom w:val="nil"/>
            </w:tcBorders>
            <w:noWrap/>
            <w:vAlign w:val="bottom"/>
          </w:tcPr>
          <w:p w14:paraId="77FDBB97"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13.8</w:t>
            </w:r>
          </w:p>
        </w:tc>
        <w:tc>
          <w:tcPr>
            <w:tcW w:w="628" w:type="dxa"/>
            <w:tcBorders>
              <w:top w:val="nil"/>
              <w:bottom w:val="nil"/>
              <w:right w:val="single" w:sz="4" w:space="0" w:color="auto"/>
            </w:tcBorders>
            <w:noWrap/>
            <w:vAlign w:val="bottom"/>
          </w:tcPr>
          <w:p w14:paraId="77FDBB98"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13.7</w:t>
            </w:r>
          </w:p>
        </w:tc>
        <w:tc>
          <w:tcPr>
            <w:tcW w:w="628" w:type="dxa"/>
            <w:tcBorders>
              <w:top w:val="nil"/>
              <w:left w:val="single" w:sz="4" w:space="0" w:color="auto"/>
              <w:bottom w:val="nil"/>
            </w:tcBorders>
            <w:noWrap/>
            <w:vAlign w:val="bottom"/>
          </w:tcPr>
          <w:p w14:paraId="77FDBB99"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7.2</w:t>
            </w:r>
          </w:p>
        </w:tc>
        <w:tc>
          <w:tcPr>
            <w:tcW w:w="628" w:type="dxa"/>
            <w:tcBorders>
              <w:top w:val="nil"/>
              <w:bottom w:val="nil"/>
            </w:tcBorders>
            <w:noWrap/>
            <w:vAlign w:val="bottom"/>
          </w:tcPr>
          <w:p w14:paraId="77FDBB9A"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3.6</w:t>
            </w:r>
          </w:p>
        </w:tc>
        <w:tc>
          <w:tcPr>
            <w:tcW w:w="628" w:type="dxa"/>
            <w:tcBorders>
              <w:top w:val="nil"/>
              <w:bottom w:val="nil"/>
            </w:tcBorders>
            <w:noWrap/>
            <w:vAlign w:val="bottom"/>
          </w:tcPr>
          <w:p w14:paraId="77FDBB9B"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4.8</w:t>
            </w:r>
          </w:p>
        </w:tc>
        <w:tc>
          <w:tcPr>
            <w:tcW w:w="627" w:type="dxa"/>
            <w:tcBorders>
              <w:top w:val="nil"/>
              <w:bottom w:val="nil"/>
            </w:tcBorders>
            <w:noWrap/>
            <w:vAlign w:val="bottom"/>
          </w:tcPr>
          <w:p w14:paraId="77FDBB9C"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5.5</w:t>
            </w:r>
          </w:p>
        </w:tc>
        <w:tc>
          <w:tcPr>
            <w:tcW w:w="628" w:type="dxa"/>
            <w:tcBorders>
              <w:top w:val="nil"/>
              <w:bottom w:val="nil"/>
            </w:tcBorders>
            <w:noWrap/>
            <w:vAlign w:val="bottom"/>
          </w:tcPr>
          <w:p w14:paraId="77FDBB9D"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7.2</w:t>
            </w:r>
          </w:p>
        </w:tc>
        <w:tc>
          <w:tcPr>
            <w:tcW w:w="628" w:type="dxa"/>
            <w:tcBorders>
              <w:top w:val="nil"/>
              <w:bottom w:val="nil"/>
              <w:right w:val="single" w:sz="4" w:space="0" w:color="auto"/>
            </w:tcBorders>
            <w:noWrap/>
            <w:vAlign w:val="bottom"/>
          </w:tcPr>
          <w:p w14:paraId="77FDBB9E"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8.4</w:t>
            </w:r>
          </w:p>
        </w:tc>
        <w:tc>
          <w:tcPr>
            <w:tcW w:w="628" w:type="dxa"/>
            <w:tcBorders>
              <w:top w:val="nil"/>
              <w:left w:val="single" w:sz="4" w:space="0" w:color="auto"/>
              <w:bottom w:val="nil"/>
            </w:tcBorders>
            <w:noWrap/>
            <w:vAlign w:val="bottom"/>
          </w:tcPr>
          <w:p w14:paraId="77FDBB9F"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1.5</w:t>
            </w:r>
          </w:p>
        </w:tc>
        <w:tc>
          <w:tcPr>
            <w:tcW w:w="628" w:type="dxa"/>
            <w:tcBorders>
              <w:top w:val="nil"/>
              <w:bottom w:val="nil"/>
            </w:tcBorders>
            <w:noWrap/>
            <w:vAlign w:val="bottom"/>
          </w:tcPr>
          <w:p w14:paraId="77FDBBA0"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3.6</w:t>
            </w:r>
          </w:p>
        </w:tc>
        <w:tc>
          <w:tcPr>
            <w:tcW w:w="628" w:type="dxa"/>
            <w:tcBorders>
              <w:top w:val="nil"/>
              <w:bottom w:val="nil"/>
            </w:tcBorders>
            <w:noWrap/>
            <w:vAlign w:val="bottom"/>
          </w:tcPr>
          <w:p w14:paraId="77FDBBA1"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3.0</w:t>
            </w:r>
          </w:p>
        </w:tc>
        <w:tc>
          <w:tcPr>
            <w:tcW w:w="628" w:type="dxa"/>
            <w:tcBorders>
              <w:top w:val="nil"/>
              <w:bottom w:val="nil"/>
            </w:tcBorders>
            <w:noWrap/>
            <w:vAlign w:val="bottom"/>
          </w:tcPr>
          <w:p w14:paraId="77FDBBA2"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2.3</w:t>
            </w:r>
          </w:p>
        </w:tc>
        <w:tc>
          <w:tcPr>
            <w:tcW w:w="628" w:type="dxa"/>
            <w:tcBorders>
              <w:top w:val="nil"/>
              <w:bottom w:val="nil"/>
            </w:tcBorders>
            <w:noWrap/>
            <w:vAlign w:val="bottom"/>
          </w:tcPr>
          <w:p w14:paraId="77FDBBA3"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1.9</w:t>
            </w:r>
          </w:p>
        </w:tc>
        <w:tc>
          <w:tcPr>
            <w:tcW w:w="628" w:type="dxa"/>
            <w:tcBorders>
              <w:top w:val="nil"/>
              <w:bottom w:val="nil"/>
            </w:tcBorders>
            <w:noWrap/>
            <w:vAlign w:val="bottom"/>
          </w:tcPr>
          <w:p w14:paraId="77FDBBA4"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1.6</w:t>
            </w:r>
          </w:p>
        </w:tc>
      </w:tr>
      <w:tr w:rsidR="00EA21D5" w:rsidRPr="00EA21D5" w14:paraId="77FDBBB9" w14:textId="77777777" w:rsidTr="00EA21D5">
        <w:trPr>
          <w:cnfStyle w:val="000000010000" w:firstRow="0" w:lastRow="0" w:firstColumn="0" w:lastColumn="0" w:oddVBand="0" w:evenVBand="0" w:oddHBand="0" w:evenHBand="1" w:firstRowFirstColumn="0" w:firstRowLastColumn="0" w:lastRowFirstColumn="0" w:lastRowLastColumn="0"/>
        </w:trPr>
        <w:tc>
          <w:tcPr>
            <w:tcW w:w="2700" w:type="dxa"/>
            <w:tcBorders>
              <w:top w:val="nil"/>
              <w:bottom w:val="nil"/>
              <w:right w:val="single" w:sz="4" w:space="0" w:color="auto"/>
            </w:tcBorders>
            <w:noWrap/>
            <w:hideMark/>
          </w:tcPr>
          <w:p w14:paraId="77FDBBA6" w14:textId="77777777" w:rsidR="00EA21D5" w:rsidRPr="00F975F4" w:rsidRDefault="00EA21D5" w:rsidP="00E65B70">
            <w:pPr>
              <w:pStyle w:val="TableText"/>
              <w:ind w:left="288"/>
              <w:rPr>
                <w:rFonts w:asciiTheme="majorHAnsi" w:hAnsiTheme="majorHAnsi" w:cstheme="majorHAnsi"/>
                <w:i/>
                <w:iCs/>
                <w:color w:val="000000"/>
                <w:szCs w:val="17"/>
                <w:lang w:eastAsia="en-GB"/>
              </w:rPr>
            </w:pPr>
            <w:r w:rsidRPr="00F975F4">
              <w:rPr>
                <w:rFonts w:asciiTheme="majorHAnsi" w:hAnsiTheme="majorHAnsi" w:cstheme="majorHAnsi"/>
                <w:i/>
                <w:iCs/>
                <w:color w:val="000000"/>
                <w:szCs w:val="17"/>
                <w:lang w:eastAsia="en-GB"/>
              </w:rPr>
              <w:t>Government services</w:t>
            </w:r>
          </w:p>
        </w:tc>
        <w:tc>
          <w:tcPr>
            <w:tcW w:w="627" w:type="dxa"/>
            <w:tcBorders>
              <w:top w:val="nil"/>
              <w:left w:val="single" w:sz="4" w:space="0" w:color="auto"/>
              <w:bottom w:val="nil"/>
            </w:tcBorders>
            <w:noWrap/>
            <w:vAlign w:val="bottom"/>
          </w:tcPr>
          <w:p w14:paraId="77FDBBA7"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16.6</w:t>
            </w:r>
          </w:p>
        </w:tc>
        <w:tc>
          <w:tcPr>
            <w:tcW w:w="628" w:type="dxa"/>
            <w:tcBorders>
              <w:top w:val="nil"/>
              <w:bottom w:val="nil"/>
            </w:tcBorders>
            <w:noWrap/>
            <w:vAlign w:val="bottom"/>
          </w:tcPr>
          <w:p w14:paraId="77FDBBA8"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18.1</w:t>
            </w:r>
          </w:p>
        </w:tc>
        <w:tc>
          <w:tcPr>
            <w:tcW w:w="628" w:type="dxa"/>
            <w:tcBorders>
              <w:top w:val="nil"/>
              <w:bottom w:val="nil"/>
            </w:tcBorders>
            <w:noWrap/>
            <w:vAlign w:val="bottom"/>
          </w:tcPr>
          <w:p w14:paraId="77FDBBA9"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14.5</w:t>
            </w:r>
          </w:p>
        </w:tc>
        <w:tc>
          <w:tcPr>
            <w:tcW w:w="628" w:type="dxa"/>
            <w:tcBorders>
              <w:top w:val="nil"/>
              <w:bottom w:val="nil"/>
            </w:tcBorders>
            <w:noWrap/>
            <w:vAlign w:val="bottom"/>
          </w:tcPr>
          <w:p w14:paraId="77FDBBAA"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11.4</w:t>
            </w:r>
          </w:p>
        </w:tc>
        <w:tc>
          <w:tcPr>
            <w:tcW w:w="628" w:type="dxa"/>
            <w:tcBorders>
              <w:top w:val="nil"/>
              <w:bottom w:val="nil"/>
            </w:tcBorders>
            <w:noWrap/>
            <w:vAlign w:val="bottom"/>
          </w:tcPr>
          <w:p w14:paraId="77FDBBAB"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13.0</w:t>
            </w:r>
          </w:p>
        </w:tc>
        <w:tc>
          <w:tcPr>
            <w:tcW w:w="628" w:type="dxa"/>
            <w:tcBorders>
              <w:top w:val="nil"/>
              <w:bottom w:val="nil"/>
              <w:right w:val="single" w:sz="4" w:space="0" w:color="auto"/>
            </w:tcBorders>
            <w:noWrap/>
            <w:vAlign w:val="bottom"/>
          </w:tcPr>
          <w:p w14:paraId="77FDBBAC"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13.0</w:t>
            </w:r>
          </w:p>
        </w:tc>
        <w:tc>
          <w:tcPr>
            <w:tcW w:w="628" w:type="dxa"/>
            <w:tcBorders>
              <w:top w:val="nil"/>
              <w:left w:val="single" w:sz="4" w:space="0" w:color="auto"/>
              <w:bottom w:val="nil"/>
            </w:tcBorders>
            <w:noWrap/>
            <w:vAlign w:val="bottom"/>
          </w:tcPr>
          <w:p w14:paraId="77FDBBAD"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4.5</w:t>
            </w:r>
          </w:p>
        </w:tc>
        <w:tc>
          <w:tcPr>
            <w:tcW w:w="628" w:type="dxa"/>
            <w:tcBorders>
              <w:top w:val="nil"/>
              <w:bottom w:val="nil"/>
            </w:tcBorders>
            <w:noWrap/>
            <w:vAlign w:val="bottom"/>
          </w:tcPr>
          <w:p w14:paraId="77FDBBAE"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2.3</w:t>
            </w:r>
          </w:p>
        </w:tc>
        <w:tc>
          <w:tcPr>
            <w:tcW w:w="628" w:type="dxa"/>
            <w:tcBorders>
              <w:top w:val="nil"/>
              <w:bottom w:val="nil"/>
            </w:tcBorders>
            <w:noWrap/>
            <w:vAlign w:val="bottom"/>
          </w:tcPr>
          <w:p w14:paraId="77FDBBAF"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3.3</w:t>
            </w:r>
          </w:p>
        </w:tc>
        <w:tc>
          <w:tcPr>
            <w:tcW w:w="627" w:type="dxa"/>
            <w:tcBorders>
              <w:top w:val="nil"/>
              <w:bottom w:val="nil"/>
            </w:tcBorders>
            <w:noWrap/>
            <w:vAlign w:val="bottom"/>
          </w:tcPr>
          <w:p w14:paraId="77FDBBB0"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3.5</w:t>
            </w:r>
          </w:p>
        </w:tc>
        <w:tc>
          <w:tcPr>
            <w:tcW w:w="628" w:type="dxa"/>
            <w:tcBorders>
              <w:top w:val="nil"/>
              <w:bottom w:val="nil"/>
            </w:tcBorders>
            <w:noWrap/>
            <w:vAlign w:val="bottom"/>
          </w:tcPr>
          <w:p w14:paraId="77FDBBB1"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5.1</w:t>
            </w:r>
          </w:p>
        </w:tc>
        <w:tc>
          <w:tcPr>
            <w:tcW w:w="628" w:type="dxa"/>
            <w:tcBorders>
              <w:top w:val="nil"/>
              <w:bottom w:val="nil"/>
              <w:right w:val="single" w:sz="4" w:space="0" w:color="auto"/>
            </w:tcBorders>
            <w:noWrap/>
            <w:vAlign w:val="bottom"/>
          </w:tcPr>
          <w:p w14:paraId="77FDBBB2"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6.2</w:t>
            </w:r>
          </w:p>
        </w:tc>
        <w:tc>
          <w:tcPr>
            <w:tcW w:w="628" w:type="dxa"/>
            <w:tcBorders>
              <w:top w:val="nil"/>
              <w:left w:val="single" w:sz="4" w:space="0" w:color="auto"/>
              <w:bottom w:val="nil"/>
            </w:tcBorders>
            <w:noWrap/>
            <w:vAlign w:val="bottom"/>
          </w:tcPr>
          <w:p w14:paraId="77FDBBB3"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2.2</w:t>
            </w:r>
          </w:p>
        </w:tc>
        <w:tc>
          <w:tcPr>
            <w:tcW w:w="628" w:type="dxa"/>
            <w:tcBorders>
              <w:top w:val="nil"/>
              <w:bottom w:val="nil"/>
            </w:tcBorders>
            <w:noWrap/>
            <w:vAlign w:val="bottom"/>
          </w:tcPr>
          <w:p w14:paraId="77FDBBB4"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5.3</w:t>
            </w:r>
          </w:p>
        </w:tc>
        <w:tc>
          <w:tcPr>
            <w:tcW w:w="628" w:type="dxa"/>
            <w:tcBorders>
              <w:top w:val="nil"/>
              <w:bottom w:val="nil"/>
            </w:tcBorders>
            <w:noWrap/>
            <w:vAlign w:val="bottom"/>
          </w:tcPr>
          <w:p w14:paraId="77FDBBB5"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4.1</w:t>
            </w:r>
          </w:p>
        </w:tc>
        <w:tc>
          <w:tcPr>
            <w:tcW w:w="628" w:type="dxa"/>
            <w:tcBorders>
              <w:top w:val="nil"/>
              <w:bottom w:val="nil"/>
            </w:tcBorders>
            <w:noWrap/>
            <w:vAlign w:val="bottom"/>
          </w:tcPr>
          <w:p w14:paraId="77FDBBB6"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3.3</w:t>
            </w:r>
          </w:p>
        </w:tc>
        <w:tc>
          <w:tcPr>
            <w:tcW w:w="628" w:type="dxa"/>
            <w:tcBorders>
              <w:top w:val="nil"/>
              <w:bottom w:val="nil"/>
            </w:tcBorders>
            <w:noWrap/>
            <w:vAlign w:val="bottom"/>
          </w:tcPr>
          <w:p w14:paraId="77FDBBB7"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2.5</w:t>
            </w:r>
          </w:p>
        </w:tc>
        <w:tc>
          <w:tcPr>
            <w:tcW w:w="628" w:type="dxa"/>
            <w:tcBorders>
              <w:top w:val="nil"/>
              <w:bottom w:val="nil"/>
            </w:tcBorders>
            <w:noWrap/>
            <w:vAlign w:val="bottom"/>
          </w:tcPr>
          <w:p w14:paraId="77FDBBB8"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2.1</w:t>
            </w:r>
          </w:p>
        </w:tc>
      </w:tr>
      <w:tr w:rsidR="00EA21D5" w:rsidRPr="00EA21D5" w14:paraId="77FDBBCD" w14:textId="77777777" w:rsidTr="00EA21D5">
        <w:trPr>
          <w:cnfStyle w:val="000000100000" w:firstRow="0" w:lastRow="0" w:firstColumn="0" w:lastColumn="0" w:oddVBand="0" w:evenVBand="0" w:oddHBand="1" w:evenHBand="0" w:firstRowFirstColumn="0" w:firstRowLastColumn="0" w:lastRowFirstColumn="0" w:lastRowLastColumn="0"/>
        </w:trPr>
        <w:tc>
          <w:tcPr>
            <w:tcW w:w="2700" w:type="dxa"/>
            <w:tcBorders>
              <w:top w:val="nil"/>
              <w:right w:val="single" w:sz="4" w:space="0" w:color="auto"/>
            </w:tcBorders>
            <w:noWrap/>
            <w:hideMark/>
          </w:tcPr>
          <w:p w14:paraId="77FDBBBA" w14:textId="77777777" w:rsidR="00EA21D5" w:rsidRPr="00F975F4" w:rsidRDefault="00EA21D5" w:rsidP="00E65B70">
            <w:pPr>
              <w:pStyle w:val="TableText"/>
              <w:ind w:left="288"/>
              <w:rPr>
                <w:rFonts w:asciiTheme="majorHAnsi" w:hAnsiTheme="majorHAnsi" w:cstheme="majorHAnsi"/>
                <w:i/>
                <w:iCs/>
                <w:color w:val="000000"/>
                <w:szCs w:val="17"/>
                <w:lang w:eastAsia="en-GB"/>
              </w:rPr>
            </w:pPr>
            <w:r w:rsidRPr="00F975F4">
              <w:rPr>
                <w:rFonts w:asciiTheme="majorHAnsi" w:hAnsiTheme="majorHAnsi" w:cstheme="majorHAnsi"/>
                <w:i/>
                <w:iCs/>
                <w:color w:val="000000"/>
                <w:szCs w:val="17"/>
                <w:lang w:eastAsia="en-GB"/>
              </w:rPr>
              <w:t>Other services</w:t>
            </w:r>
          </w:p>
        </w:tc>
        <w:tc>
          <w:tcPr>
            <w:tcW w:w="627" w:type="dxa"/>
            <w:tcBorders>
              <w:top w:val="nil"/>
              <w:left w:val="single" w:sz="4" w:space="0" w:color="auto"/>
            </w:tcBorders>
            <w:noWrap/>
            <w:vAlign w:val="bottom"/>
          </w:tcPr>
          <w:p w14:paraId="77FDBBBB"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4.5</w:t>
            </w:r>
          </w:p>
        </w:tc>
        <w:tc>
          <w:tcPr>
            <w:tcW w:w="628" w:type="dxa"/>
            <w:tcBorders>
              <w:top w:val="nil"/>
            </w:tcBorders>
            <w:noWrap/>
            <w:vAlign w:val="bottom"/>
          </w:tcPr>
          <w:p w14:paraId="77FDBBBC"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4.6</w:t>
            </w:r>
          </w:p>
        </w:tc>
        <w:tc>
          <w:tcPr>
            <w:tcW w:w="628" w:type="dxa"/>
            <w:tcBorders>
              <w:top w:val="nil"/>
            </w:tcBorders>
            <w:noWrap/>
            <w:vAlign w:val="bottom"/>
          </w:tcPr>
          <w:p w14:paraId="77FDBBBD"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1.6</w:t>
            </w:r>
          </w:p>
        </w:tc>
        <w:tc>
          <w:tcPr>
            <w:tcW w:w="628" w:type="dxa"/>
            <w:tcBorders>
              <w:top w:val="nil"/>
            </w:tcBorders>
            <w:noWrap/>
            <w:vAlign w:val="bottom"/>
          </w:tcPr>
          <w:p w14:paraId="77FDBBBE"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1.1</w:t>
            </w:r>
          </w:p>
        </w:tc>
        <w:tc>
          <w:tcPr>
            <w:tcW w:w="628" w:type="dxa"/>
            <w:tcBorders>
              <w:top w:val="nil"/>
            </w:tcBorders>
            <w:noWrap/>
            <w:vAlign w:val="bottom"/>
          </w:tcPr>
          <w:p w14:paraId="77FDBBBF"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0.8</w:t>
            </w:r>
          </w:p>
        </w:tc>
        <w:tc>
          <w:tcPr>
            <w:tcW w:w="628" w:type="dxa"/>
            <w:tcBorders>
              <w:top w:val="nil"/>
              <w:right w:val="single" w:sz="4" w:space="0" w:color="auto"/>
            </w:tcBorders>
            <w:noWrap/>
            <w:vAlign w:val="bottom"/>
          </w:tcPr>
          <w:p w14:paraId="77FDBBC0"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0.7</w:t>
            </w:r>
          </w:p>
        </w:tc>
        <w:tc>
          <w:tcPr>
            <w:tcW w:w="628" w:type="dxa"/>
            <w:tcBorders>
              <w:top w:val="nil"/>
              <w:left w:val="single" w:sz="4" w:space="0" w:color="auto"/>
            </w:tcBorders>
            <w:noWrap/>
            <w:vAlign w:val="bottom"/>
          </w:tcPr>
          <w:p w14:paraId="77FDBBC1"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2.7</w:t>
            </w:r>
          </w:p>
        </w:tc>
        <w:tc>
          <w:tcPr>
            <w:tcW w:w="628" w:type="dxa"/>
            <w:tcBorders>
              <w:top w:val="nil"/>
            </w:tcBorders>
            <w:noWrap/>
            <w:vAlign w:val="bottom"/>
          </w:tcPr>
          <w:p w14:paraId="77FDBBC2"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1.3</w:t>
            </w:r>
          </w:p>
        </w:tc>
        <w:tc>
          <w:tcPr>
            <w:tcW w:w="628" w:type="dxa"/>
            <w:tcBorders>
              <w:top w:val="nil"/>
            </w:tcBorders>
            <w:noWrap/>
            <w:vAlign w:val="bottom"/>
          </w:tcPr>
          <w:p w14:paraId="77FDBBC3"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1.5</w:t>
            </w:r>
          </w:p>
        </w:tc>
        <w:tc>
          <w:tcPr>
            <w:tcW w:w="627" w:type="dxa"/>
            <w:tcBorders>
              <w:top w:val="nil"/>
            </w:tcBorders>
            <w:noWrap/>
            <w:vAlign w:val="bottom"/>
          </w:tcPr>
          <w:p w14:paraId="77FDBBC4"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2.0</w:t>
            </w:r>
          </w:p>
        </w:tc>
        <w:tc>
          <w:tcPr>
            <w:tcW w:w="628" w:type="dxa"/>
            <w:tcBorders>
              <w:top w:val="nil"/>
            </w:tcBorders>
            <w:noWrap/>
            <w:vAlign w:val="bottom"/>
          </w:tcPr>
          <w:p w14:paraId="77FDBBC5"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2.1</w:t>
            </w:r>
          </w:p>
        </w:tc>
        <w:tc>
          <w:tcPr>
            <w:tcW w:w="628" w:type="dxa"/>
            <w:tcBorders>
              <w:top w:val="nil"/>
              <w:right w:val="single" w:sz="4" w:space="0" w:color="auto"/>
            </w:tcBorders>
            <w:noWrap/>
            <w:vAlign w:val="bottom"/>
          </w:tcPr>
          <w:p w14:paraId="77FDBBC6"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2.2</w:t>
            </w:r>
          </w:p>
        </w:tc>
        <w:tc>
          <w:tcPr>
            <w:tcW w:w="628" w:type="dxa"/>
            <w:tcBorders>
              <w:top w:val="nil"/>
              <w:left w:val="single" w:sz="4" w:space="0" w:color="auto"/>
            </w:tcBorders>
            <w:noWrap/>
            <w:vAlign w:val="bottom"/>
          </w:tcPr>
          <w:p w14:paraId="77FDBBC7"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0.2</w:t>
            </w:r>
          </w:p>
        </w:tc>
        <w:tc>
          <w:tcPr>
            <w:tcW w:w="628" w:type="dxa"/>
            <w:tcBorders>
              <w:top w:val="nil"/>
            </w:tcBorders>
            <w:noWrap/>
            <w:vAlign w:val="bottom"/>
          </w:tcPr>
          <w:p w14:paraId="77FDBBC8"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0.5</w:t>
            </w:r>
          </w:p>
        </w:tc>
        <w:tc>
          <w:tcPr>
            <w:tcW w:w="628" w:type="dxa"/>
            <w:tcBorders>
              <w:top w:val="nil"/>
            </w:tcBorders>
            <w:noWrap/>
            <w:vAlign w:val="bottom"/>
          </w:tcPr>
          <w:p w14:paraId="77FDBBC9"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0.6</w:t>
            </w:r>
          </w:p>
        </w:tc>
        <w:tc>
          <w:tcPr>
            <w:tcW w:w="628" w:type="dxa"/>
            <w:tcBorders>
              <w:top w:val="nil"/>
            </w:tcBorders>
            <w:noWrap/>
            <w:vAlign w:val="bottom"/>
          </w:tcPr>
          <w:p w14:paraId="77FDBBCA"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0.5</w:t>
            </w:r>
          </w:p>
        </w:tc>
        <w:tc>
          <w:tcPr>
            <w:tcW w:w="628" w:type="dxa"/>
            <w:tcBorders>
              <w:top w:val="nil"/>
            </w:tcBorders>
            <w:noWrap/>
            <w:vAlign w:val="bottom"/>
          </w:tcPr>
          <w:p w14:paraId="77FDBBCB"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0.4</w:t>
            </w:r>
          </w:p>
        </w:tc>
        <w:tc>
          <w:tcPr>
            <w:tcW w:w="628" w:type="dxa"/>
            <w:tcBorders>
              <w:top w:val="nil"/>
            </w:tcBorders>
            <w:noWrap/>
            <w:vAlign w:val="bottom"/>
          </w:tcPr>
          <w:p w14:paraId="77FDBBCC" w14:textId="77777777" w:rsidR="00EA21D5" w:rsidRPr="00EA21D5" w:rsidRDefault="00EA21D5" w:rsidP="00EA21D5">
            <w:pPr>
              <w:spacing w:line="220" w:lineRule="atLeast"/>
              <w:ind w:left="144" w:right="144"/>
              <w:jc w:val="right"/>
              <w:rPr>
                <w:rFonts w:asciiTheme="majorHAnsi" w:eastAsia="Times New Roman" w:hAnsiTheme="majorHAnsi" w:cstheme="majorHAnsi"/>
                <w:color w:val="000000"/>
                <w:sz w:val="17"/>
                <w:szCs w:val="17"/>
                <w:lang w:eastAsia="en-GB"/>
              </w:rPr>
            </w:pPr>
            <w:r w:rsidRPr="00EA21D5">
              <w:rPr>
                <w:rFonts w:asciiTheme="majorHAnsi" w:eastAsia="Times New Roman" w:hAnsiTheme="majorHAnsi" w:cstheme="majorHAnsi"/>
                <w:color w:val="000000"/>
                <w:sz w:val="17"/>
                <w:szCs w:val="17"/>
                <w:lang w:eastAsia="en-GB"/>
              </w:rPr>
              <w:t>0.3</w:t>
            </w:r>
          </w:p>
        </w:tc>
      </w:tr>
      <w:tr w:rsidR="00EA21D5" w:rsidRPr="00EA21D5" w14:paraId="77FDBBE1" w14:textId="77777777" w:rsidTr="00EA21D5">
        <w:trPr>
          <w:cnfStyle w:val="000000010000" w:firstRow="0" w:lastRow="0" w:firstColumn="0" w:lastColumn="0" w:oddVBand="0" w:evenVBand="0" w:oddHBand="0" w:evenHBand="1" w:firstRowFirstColumn="0" w:firstRowLastColumn="0" w:lastRowFirstColumn="0" w:lastRowLastColumn="0"/>
        </w:trPr>
        <w:tc>
          <w:tcPr>
            <w:tcW w:w="2700" w:type="dxa"/>
            <w:tcBorders>
              <w:right w:val="single" w:sz="4" w:space="0" w:color="auto"/>
            </w:tcBorders>
            <w:noWrap/>
            <w:hideMark/>
          </w:tcPr>
          <w:p w14:paraId="77FDBBCE" w14:textId="77777777" w:rsidR="00EA21D5" w:rsidRPr="00EA21D5" w:rsidRDefault="00EA21D5" w:rsidP="00DD4551">
            <w:pPr>
              <w:pStyle w:val="TableText"/>
              <w:rPr>
                <w:rFonts w:asciiTheme="majorHAnsi" w:hAnsiTheme="majorHAnsi" w:cstheme="majorHAnsi"/>
                <w:b/>
                <w:color w:val="000000"/>
                <w:szCs w:val="17"/>
                <w:lang w:eastAsia="en-GB"/>
              </w:rPr>
            </w:pPr>
            <w:r w:rsidRPr="00EA21D5">
              <w:rPr>
                <w:rFonts w:asciiTheme="majorHAnsi" w:hAnsiTheme="majorHAnsi" w:cstheme="majorHAnsi"/>
                <w:b/>
                <w:color w:val="000000"/>
                <w:szCs w:val="17"/>
                <w:lang w:eastAsia="en-GB"/>
              </w:rPr>
              <w:t>Total economy</w:t>
            </w:r>
          </w:p>
        </w:tc>
        <w:tc>
          <w:tcPr>
            <w:tcW w:w="627" w:type="dxa"/>
            <w:tcBorders>
              <w:left w:val="single" w:sz="4" w:space="0" w:color="auto"/>
            </w:tcBorders>
            <w:noWrap/>
            <w:vAlign w:val="bottom"/>
          </w:tcPr>
          <w:p w14:paraId="77FDBBCF"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100</w:t>
            </w:r>
          </w:p>
        </w:tc>
        <w:tc>
          <w:tcPr>
            <w:tcW w:w="628" w:type="dxa"/>
            <w:noWrap/>
            <w:vAlign w:val="bottom"/>
          </w:tcPr>
          <w:p w14:paraId="77FDBBD0"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100</w:t>
            </w:r>
          </w:p>
        </w:tc>
        <w:tc>
          <w:tcPr>
            <w:tcW w:w="628" w:type="dxa"/>
            <w:noWrap/>
            <w:vAlign w:val="bottom"/>
          </w:tcPr>
          <w:p w14:paraId="77FDBBD1"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100</w:t>
            </w:r>
          </w:p>
        </w:tc>
        <w:tc>
          <w:tcPr>
            <w:tcW w:w="628" w:type="dxa"/>
            <w:noWrap/>
            <w:vAlign w:val="bottom"/>
          </w:tcPr>
          <w:p w14:paraId="77FDBBD2"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100</w:t>
            </w:r>
          </w:p>
        </w:tc>
        <w:tc>
          <w:tcPr>
            <w:tcW w:w="628" w:type="dxa"/>
            <w:noWrap/>
            <w:vAlign w:val="bottom"/>
          </w:tcPr>
          <w:p w14:paraId="77FDBBD3"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100</w:t>
            </w:r>
          </w:p>
        </w:tc>
        <w:tc>
          <w:tcPr>
            <w:tcW w:w="628" w:type="dxa"/>
            <w:tcBorders>
              <w:right w:val="single" w:sz="4" w:space="0" w:color="auto"/>
            </w:tcBorders>
            <w:noWrap/>
            <w:vAlign w:val="bottom"/>
          </w:tcPr>
          <w:p w14:paraId="77FDBBD4"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100</w:t>
            </w:r>
          </w:p>
        </w:tc>
        <w:tc>
          <w:tcPr>
            <w:tcW w:w="628" w:type="dxa"/>
            <w:tcBorders>
              <w:left w:val="single" w:sz="4" w:space="0" w:color="auto"/>
            </w:tcBorders>
            <w:noWrap/>
            <w:vAlign w:val="bottom"/>
          </w:tcPr>
          <w:p w14:paraId="77FDBBD5"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100</w:t>
            </w:r>
          </w:p>
        </w:tc>
        <w:tc>
          <w:tcPr>
            <w:tcW w:w="628" w:type="dxa"/>
            <w:noWrap/>
            <w:vAlign w:val="bottom"/>
          </w:tcPr>
          <w:p w14:paraId="77FDBBD6"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100</w:t>
            </w:r>
          </w:p>
        </w:tc>
        <w:tc>
          <w:tcPr>
            <w:tcW w:w="628" w:type="dxa"/>
            <w:noWrap/>
            <w:vAlign w:val="bottom"/>
          </w:tcPr>
          <w:p w14:paraId="77FDBBD7"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100</w:t>
            </w:r>
          </w:p>
        </w:tc>
        <w:tc>
          <w:tcPr>
            <w:tcW w:w="627" w:type="dxa"/>
            <w:noWrap/>
            <w:vAlign w:val="bottom"/>
          </w:tcPr>
          <w:p w14:paraId="77FDBBD8"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100</w:t>
            </w:r>
          </w:p>
        </w:tc>
        <w:tc>
          <w:tcPr>
            <w:tcW w:w="628" w:type="dxa"/>
            <w:noWrap/>
            <w:vAlign w:val="bottom"/>
          </w:tcPr>
          <w:p w14:paraId="77FDBBD9"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100</w:t>
            </w:r>
          </w:p>
        </w:tc>
        <w:tc>
          <w:tcPr>
            <w:tcW w:w="628" w:type="dxa"/>
            <w:tcBorders>
              <w:right w:val="single" w:sz="4" w:space="0" w:color="auto"/>
            </w:tcBorders>
            <w:noWrap/>
            <w:vAlign w:val="bottom"/>
          </w:tcPr>
          <w:p w14:paraId="77FDBBDA"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100</w:t>
            </w:r>
          </w:p>
        </w:tc>
        <w:tc>
          <w:tcPr>
            <w:tcW w:w="628" w:type="dxa"/>
            <w:tcBorders>
              <w:left w:val="single" w:sz="4" w:space="0" w:color="auto"/>
            </w:tcBorders>
            <w:noWrap/>
            <w:vAlign w:val="bottom"/>
          </w:tcPr>
          <w:p w14:paraId="77FDBBDB"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1</w:t>
            </w:r>
          </w:p>
        </w:tc>
        <w:tc>
          <w:tcPr>
            <w:tcW w:w="628" w:type="dxa"/>
            <w:noWrap/>
            <w:vAlign w:val="bottom"/>
          </w:tcPr>
          <w:p w14:paraId="77FDBBDC"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1</w:t>
            </w:r>
          </w:p>
        </w:tc>
        <w:tc>
          <w:tcPr>
            <w:tcW w:w="628" w:type="dxa"/>
            <w:noWrap/>
            <w:vAlign w:val="bottom"/>
          </w:tcPr>
          <w:p w14:paraId="77FDBBDD"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1</w:t>
            </w:r>
          </w:p>
        </w:tc>
        <w:tc>
          <w:tcPr>
            <w:tcW w:w="628" w:type="dxa"/>
            <w:noWrap/>
            <w:vAlign w:val="bottom"/>
          </w:tcPr>
          <w:p w14:paraId="77FDBBDE"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1</w:t>
            </w:r>
          </w:p>
        </w:tc>
        <w:tc>
          <w:tcPr>
            <w:tcW w:w="628" w:type="dxa"/>
            <w:noWrap/>
            <w:vAlign w:val="bottom"/>
          </w:tcPr>
          <w:p w14:paraId="77FDBBDF"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1</w:t>
            </w:r>
          </w:p>
        </w:tc>
        <w:tc>
          <w:tcPr>
            <w:tcW w:w="628" w:type="dxa"/>
            <w:noWrap/>
            <w:vAlign w:val="bottom"/>
          </w:tcPr>
          <w:p w14:paraId="77FDBBE0" w14:textId="77777777" w:rsidR="00EA21D5" w:rsidRPr="00EA21D5" w:rsidRDefault="00EA21D5" w:rsidP="00EA21D5">
            <w:pPr>
              <w:spacing w:line="220" w:lineRule="atLeast"/>
              <w:ind w:left="144" w:right="144"/>
              <w:jc w:val="right"/>
              <w:rPr>
                <w:rFonts w:asciiTheme="majorHAnsi" w:eastAsia="Times New Roman" w:hAnsiTheme="majorHAnsi" w:cstheme="majorHAnsi"/>
                <w:b/>
                <w:color w:val="000000"/>
                <w:sz w:val="17"/>
                <w:szCs w:val="17"/>
                <w:lang w:eastAsia="en-GB"/>
              </w:rPr>
            </w:pPr>
            <w:r w:rsidRPr="00EA21D5">
              <w:rPr>
                <w:rFonts w:asciiTheme="majorHAnsi" w:eastAsia="Times New Roman" w:hAnsiTheme="majorHAnsi" w:cstheme="majorHAnsi"/>
                <w:b/>
                <w:color w:val="000000"/>
                <w:sz w:val="17"/>
                <w:szCs w:val="17"/>
                <w:lang w:eastAsia="en-GB"/>
              </w:rPr>
              <w:t>1</w:t>
            </w:r>
          </w:p>
        </w:tc>
      </w:tr>
    </w:tbl>
    <w:p w14:paraId="77FDBBE2" w14:textId="77777777" w:rsidR="00DD4551" w:rsidRDefault="00FC45D4" w:rsidP="00FC45D4">
      <w:pPr>
        <w:pStyle w:val="Source"/>
      </w:pPr>
      <w:r>
        <w:t>Notes</w:t>
      </w:r>
      <w:proofErr w:type="gramStart"/>
      <w:r>
        <w:t>:</w:t>
      </w:r>
      <w:proofErr w:type="gramEnd"/>
      <w:r w:rsidR="00174E09">
        <w:br/>
      </w:r>
      <w:r w:rsidR="00062C4C">
        <w:t xml:space="preserve">(a) </w:t>
      </w:r>
      <w:r w:rsidR="00E44849">
        <w:t xml:space="preserve">Based on </w:t>
      </w:r>
      <w:r w:rsidR="00174E09">
        <w:t>current prices in local currency.</w:t>
      </w:r>
      <w:r>
        <w:br/>
      </w:r>
      <w:r w:rsidR="00062C4C">
        <w:t>(</w:t>
      </w:r>
      <w:proofErr w:type="gramStart"/>
      <w:r w:rsidR="00062C4C">
        <w:t>b</w:t>
      </w:r>
      <w:proofErr w:type="gramEnd"/>
      <w:r w:rsidR="00062C4C">
        <w:t xml:space="preserve">) </w:t>
      </w:r>
      <w:r w:rsidR="006E46CD">
        <w:t>I</w:t>
      </w:r>
      <w:r>
        <w:t>ncludes paid employees, the self-employed and family workers.</w:t>
      </w:r>
      <w:r w:rsidR="00062C4C">
        <w:br/>
        <w:t xml:space="preserve">(c) </w:t>
      </w:r>
      <w:r w:rsidR="006E46CD">
        <w:t>Derived by calculating labour productivity levels (</w:t>
      </w:r>
      <w:r w:rsidR="00524A8B">
        <w:t>gross value added at constant</w:t>
      </w:r>
      <w:r w:rsidR="00E44849">
        <w:t xml:space="preserve"> prices </w:t>
      </w:r>
      <w:r w:rsidR="006E46CD">
        <w:t xml:space="preserve">divided by number of persons engaged) and expressing the result as a ratio of </w:t>
      </w:r>
      <w:r w:rsidR="00DB5799">
        <w:t>total economy labour productivity</w:t>
      </w:r>
      <w:r w:rsidR="006E46CD">
        <w:t>.</w:t>
      </w:r>
      <w:r>
        <w:br/>
      </w:r>
      <w:r w:rsidR="00062C4C">
        <w:t xml:space="preserve">(d) </w:t>
      </w:r>
      <w:r>
        <w:t>‘Other industry’ includes construction and public services.</w:t>
      </w:r>
      <w:r>
        <w:br/>
      </w:r>
      <w:r w:rsidR="00062C4C">
        <w:t xml:space="preserve">(e) </w:t>
      </w:r>
      <w:r>
        <w:t>‘Distribution’ includes transport services and distributive trade as well as hotels and restaurants; ‘Finance and business services’ excludes real estate activities; ‘Other services’ include other community, personal and household services.</w:t>
      </w:r>
      <w:r>
        <w:br/>
        <w:t>Numbers may not sum due to rounding.</w:t>
      </w:r>
      <w:r>
        <w:br/>
        <w:t>Source: Authors’ calculations using the Africa Sector Database</w:t>
      </w:r>
      <w:r w:rsidR="00B0147A">
        <w:t xml:space="preserve"> </w:t>
      </w:r>
      <w:r w:rsidR="001228CD">
        <w:t>(</w:t>
      </w:r>
      <w:hyperlink r:id="rId17" w:history="1">
        <w:r w:rsidR="001228CD" w:rsidRPr="001228CD">
          <w:rPr>
            <w:rStyle w:val="Hyperlink"/>
          </w:rPr>
          <w:t>http://www.rug.nl/research/ggdc/data/africa-sector-database</w:t>
        </w:r>
      </w:hyperlink>
      <w:r w:rsidR="001228CD">
        <w:t>)</w:t>
      </w:r>
      <w:r w:rsidR="00714EDC">
        <w:t xml:space="preserve">; </w:t>
      </w:r>
      <w:r w:rsidR="00714EDC" w:rsidRPr="00714EDC">
        <w:t>de Vries et al. (2013)</w:t>
      </w:r>
      <w:r w:rsidR="001228CD">
        <w:t>.</w:t>
      </w:r>
    </w:p>
    <w:p w14:paraId="4338DCA6" w14:textId="77777777" w:rsidR="00996F64" w:rsidRDefault="00996F64" w:rsidP="00FC45D4">
      <w:pPr>
        <w:pStyle w:val="Source"/>
      </w:pPr>
    </w:p>
    <w:p w14:paraId="77FDBBE6" w14:textId="77777777" w:rsidR="00F975F4" w:rsidRDefault="00F975F4" w:rsidP="00996F64">
      <w:pPr>
        <w:pStyle w:val="BodyText"/>
      </w:pPr>
      <w:bookmarkStart w:id="12" w:name="_Toc404327255"/>
      <w:bookmarkStart w:id="13" w:name="_Toc404327349"/>
      <w:bookmarkStart w:id="14" w:name="_Toc404327525"/>
      <w:bookmarkStart w:id="15" w:name="_Toc404327737"/>
    </w:p>
    <w:p w14:paraId="77FDBBE7" w14:textId="77777777" w:rsidR="00F975F4" w:rsidRDefault="00F975F4" w:rsidP="00996F64">
      <w:pPr>
        <w:pStyle w:val="BodyText"/>
      </w:pPr>
    </w:p>
    <w:p w14:paraId="77FDBBE8" w14:textId="77777777" w:rsidR="00F975F4" w:rsidRDefault="00F975F4" w:rsidP="00996F64">
      <w:pPr>
        <w:pStyle w:val="BodyText"/>
      </w:pPr>
    </w:p>
    <w:p w14:paraId="77FDBBE9" w14:textId="77777777" w:rsidR="00F975F4" w:rsidRDefault="00F975F4" w:rsidP="00996F64">
      <w:pPr>
        <w:pStyle w:val="BodyText"/>
      </w:pPr>
    </w:p>
    <w:p w14:paraId="77FDBBEA" w14:textId="77777777" w:rsidR="00F975F4" w:rsidRPr="00F975F4" w:rsidRDefault="00F975F4" w:rsidP="00996F64">
      <w:pPr>
        <w:pStyle w:val="BodyText"/>
      </w:pPr>
    </w:p>
    <w:p w14:paraId="4DC9FCC4" w14:textId="14CF0CF8" w:rsidR="00996F64" w:rsidRPr="001B0E3C" w:rsidRDefault="00996F64" w:rsidP="00996F64">
      <w:pPr>
        <w:pStyle w:val="TableHeading"/>
        <w:numPr>
          <w:ilvl w:val="0"/>
          <w:numId w:val="33"/>
        </w:numPr>
        <w:tabs>
          <w:tab w:val="right" w:pos="9806"/>
          <w:tab w:val="right" w:pos="13950"/>
        </w:tabs>
        <w:rPr>
          <w:noProof/>
          <w:color w:val="FF0000"/>
        </w:rPr>
      </w:pPr>
      <w:bookmarkStart w:id="16" w:name="_Toc428435124"/>
      <w:bookmarkStart w:id="17" w:name="_Toc404582442"/>
      <w:bookmarkStart w:id="18" w:name="_Toc406411740"/>
      <w:bookmarkStart w:id="19" w:name="_Toc406585296"/>
      <w:r>
        <w:rPr>
          <w:noProof/>
        </w:rPr>
        <w:t>GDP, employment and relative productivity levels, Tanzania, 1991–2013 (UNSD/ILO WESO data)</w:t>
      </w:r>
      <w:r>
        <w:rPr>
          <w:noProof/>
        </w:rPr>
        <w:tab/>
      </w:r>
      <w:r w:rsidRPr="001B0E3C">
        <w:rPr>
          <w:noProof/>
          <w:color w:val="FF0000"/>
        </w:rPr>
        <w:t>NEW</w:t>
      </w:r>
      <w:bookmarkEnd w:id="16"/>
    </w:p>
    <w:tbl>
      <w:tblPr>
        <w:tblW w:w="5000" w:type="pct"/>
        <w:tblLayout w:type="fixed"/>
        <w:tblCellMar>
          <w:top w:w="14" w:type="dxa"/>
          <w:left w:w="0" w:type="dxa"/>
          <w:bottom w:w="14" w:type="dxa"/>
          <w:right w:w="0" w:type="dxa"/>
        </w:tblCellMar>
        <w:tblLook w:val="04A0" w:firstRow="1" w:lastRow="0" w:firstColumn="1" w:lastColumn="0" w:noHBand="0" w:noVBand="1"/>
      </w:tblPr>
      <w:tblGrid>
        <w:gridCol w:w="2426"/>
        <w:gridCol w:w="642"/>
        <w:gridCol w:w="643"/>
        <w:gridCol w:w="642"/>
        <w:gridCol w:w="643"/>
        <w:gridCol w:w="642"/>
        <w:gridCol w:w="643"/>
        <w:gridCol w:w="642"/>
        <w:gridCol w:w="644"/>
        <w:gridCol w:w="643"/>
        <w:gridCol w:w="644"/>
        <w:gridCol w:w="643"/>
        <w:gridCol w:w="644"/>
        <w:gridCol w:w="643"/>
        <w:gridCol w:w="644"/>
        <w:gridCol w:w="643"/>
        <w:gridCol w:w="644"/>
        <w:gridCol w:w="643"/>
        <w:gridCol w:w="644"/>
      </w:tblGrid>
      <w:tr w:rsidR="00996F64" w:rsidRPr="0046635F" w14:paraId="2A27214C" w14:textId="77777777" w:rsidTr="00996F64">
        <w:tc>
          <w:tcPr>
            <w:tcW w:w="2426" w:type="dxa"/>
            <w:tcBorders>
              <w:right w:val="single" w:sz="4" w:space="0" w:color="auto"/>
            </w:tcBorders>
            <w:shd w:val="clear" w:color="auto" w:fill="D9D9D9" w:themeFill="background1" w:themeFillShade="D9"/>
            <w:noWrap/>
            <w:vAlign w:val="center"/>
            <w:hideMark/>
          </w:tcPr>
          <w:p w14:paraId="58F2DAEC" w14:textId="77777777" w:rsidR="00996F64" w:rsidRPr="0046635F" w:rsidRDefault="00996F64" w:rsidP="00996F64">
            <w:pPr>
              <w:jc w:val="center"/>
              <w:rPr>
                <w:rFonts w:ascii="Arial" w:eastAsia="Times New Roman" w:hAnsi="Arial" w:cs="Arial"/>
                <w:b/>
                <w:bCs/>
                <w:sz w:val="17"/>
                <w:szCs w:val="17"/>
                <w:lang w:eastAsia="en-GB"/>
              </w:rPr>
            </w:pPr>
            <w:r w:rsidRPr="0046635F">
              <w:rPr>
                <w:rFonts w:ascii="Arial" w:eastAsia="Times New Roman" w:hAnsi="Arial" w:cs="Arial"/>
                <w:b/>
                <w:bCs/>
                <w:sz w:val="17"/>
                <w:szCs w:val="17"/>
                <w:lang w:eastAsia="en-GB"/>
              </w:rPr>
              <w:t>Economic activity</w:t>
            </w:r>
          </w:p>
        </w:tc>
        <w:tc>
          <w:tcPr>
            <w:tcW w:w="3855" w:type="dxa"/>
            <w:gridSpan w:val="6"/>
            <w:tcBorders>
              <w:left w:val="single" w:sz="4" w:space="0" w:color="auto"/>
              <w:right w:val="single" w:sz="4" w:space="0" w:color="auto"/>
            </w:tcBorders>
            <w:shd w:val="clear" w:color="auto" w:fill="D9D9D9" w:themeFill="background1" w:themeFillShade="D9"/>
            <w:vAlign w:val="center"/>
          </w:tcPr>
          <w:p w14:paraId="77C562E7" w14:textId="77777777" w:rsidR="00996F64" w:rsidRPr="0046635F" w:rsidRDefault="00996F64" w:rsidP="00996F64">
            <w:pPr>
              <w:ind w:left="144" w:right="144"/>
              <w:jc w:val="center"/>
              <w:rPr>
                <w:rFonts w:ascii="Arial" w:eastAsia="Times New Roman" w:hAnsi="Arial" w:cs="Arial"/>
                <w:sz w:val="17"/>
                <w:szCs w:val="17"/>
                <w:lang w:eastAsia="en-GB"/>
              </w:rPr>
            </w:pPr>
            <w:r w:rsidRPr="0046635F">
              <w:rPr>
                <w:rFonts w:ascii="Arial" w:hAnsi="Arial" w:cs="Arial"/>
                <w:b/>
                <w:bCs/>
                <w:sz w:val="17"/>
                <w:szCs w:val="17"/>
              </w:rPr>
              <w:t>Gross value added (current US$, %)</w:t>
            </w:r>
          </w:p>
        </w:tc>
        <w:tc>
          <w:tcPr>
            <w:tcW w:w="3860" w:type="dxa"/>
            <w:gridSpan w:val="6"/>
            <w:tcBorders>
              <w:left w:val="single" w:sz="4" w:space="0" w:color="auto"/>
              <w:right w:val="single" w:sz="4" w:space="0" w:color="auto"/>
            </w:tcBorders>
            <w:shd w:val="clear" w:color="auto" w:fill="D9D9D9" w:themeFill="background1" w:themeFillShade="D9"/>
            <w:vAlign w:val="center"/>
          </w:tcPr>
          <w:p w14:paraId="6A702995" w14:textId="77777777" w:rsidR="00996F64" w:rsidRPr="0046635F" w:rsidRDefault="00996F64" w:rsidP="00996F64">
            <w:pPr>
              <w:ind w:left="144" w:right="144"/>
              <w:jc w:val="center"/>
              <w:rPr>
                <w:rFonts w:ascii="Arial" w:hAnsi="Arial" w:cs="Arial"/>
                <w:b/>
                <w:bCs/>
                <w:sz w:val="17"/>
                <w:szCs w:val="17"/>
              </w:rPr>
            </w:pPr>
            <w:r w:rsidRPr="0046635F">
              <w:rPr>
                <w:rFonts w:ascii="Arial" w:eastAsia="Times New Roman" w:hAnsi="Arial" w:cs="Arial"/>
                <w:b/>
                <w:bCs/>
                <w:sz w:val="17"/>
                <w:szCs w:val="17"/>
                <w:lang w:eastAsia="en-GB"/>
              </w:rPr>
              <w:t>Employment by sector (%)</w:t>
            </w:r>
          </w:p>
        </w:tc>
        <w:tc>
          <w:tcPr>
            <w:tcW w:w="3861" w:type="dxa"/>
            <w:gridSpan w:val="6"/>
            <w:tcBorders>
              <w:left w:val="single" w:sz="4" w:space="0" w:color="auto"/>
            </w:tcBorders>
            <w:shd w:val="clear" w:color="auto" w:fill="D9D9D9" w:themeFill="background1" w:themeFillShade="D9"/>
            <w:vAlign w:val="center"/>
          </w:tcPr>
          <w:p w14:paraId="6BF82818" w14:textId="77777777" w:rsidR="00996F64" w:rsidRPr="0046635F" w:rsidRDefault="00996F64" w:rsidP="00996F64">
            <w:pPr>
              <w:ind w:left="144" w:right="144"/>
              <w:jc w:val="center"/>
              <w:rPr>
                <w:rFonts w:ascii="Arial" w:eastAsia="Times New Roman" w:hAnsi="Arial" w:cs="Arial"/>
                <w:b/>
                <w:bCs/>
                <w:sz w:val="17"/>
                <w:szCs w:val="17"/>
                <w:lang w:eastAsia="en-GB"/>
              </w:rPr>
            </w:pPr>
            <w:r w:rsidRPr="0046635F">
              <w:rPr>
                <w:rFonts w:ascii="Arial" w:eastAsia="Times New Roman" w:hAnsi="Arial" w:cs="Arial"/>
                <w:b/>
                <w:bCs/>
                <w:sz w:val="17"/>
                <w:szCs w:val="17"/>
                <w:lang w:eastAsia="en-GB"/>
              </w:rPr>
              <w:t xml:space="preserve">Relative productivity levels </w:t>
            </w:r>
            <w:r w:rsidRPr="0046635F">
              <w:rPr>
                <w:rFonts w:ascii="Arial" w:eastAsia="Times New Roman" w:hAnsi="Arial" w:cs="Arial"/>
                <w:b/>
                <w:bCs/>
                <w:sz w:val="17"/>
                <w:szCs w:val="17"/>
                <w:vertAlign w:val="superscript"/>
                <w:lang w:eastAsia="en-GB"/>
              </w:rPr>
              <w:t>a</w:t>
            </w:r>
          </w:p>
        </w:tc>
      </w:tr>
      <w:tr w:rsidR="00996F64" w:rsidRPr="0046635F" w14:paraId="4DD28E3E" w14:textId="77777777" w:rsidTr="00996F64">
        <w:trPr>
          <w:trHeight w:val="240"/>
        </w:trPr>
        <w:tc>
          <w:tcPr>
            <w:tcW w:w="2426" w:type="dxa"/>
            <w:tcBorders>
              <w:bottom w:val="single" w:sz="4" w:space="0" w:color="auto"/>
              <w:right w:val="single" w:sz="4" w:space="0" w:color="auto"/>
            </w:tcBorders>
            <w:shd w:val="clear" w:color="auto" w:fill="D9D9D9" w:themeFill="background1" w:themeFillShade="D9"/>
            <w:noWrap/>
            <w:vAlign w:val="center"/>
            <w:hideMark/>
          </w:tcPr>
          <w:p w14:paraId="3A352EC3" w14:textId="77777777" w:rsidR="00996F64" w:rsidRPr="0046635F" w:rsidRDefault="00996F64" w:rsidP="00996F64">
            <w:pPr>
              <w:jc w:val="center"/>
              <w:rPr>
                <w:rFonts w:ascii="Arial" w:eastAsia="Times New Roman" w:hAnsi="Arial" w:cs="Arial"/>
                <w:bCs/>
                <w:i/>
                <w:sz w:val="17"/>
                <w:szCs w:val="17"/>
                <w:lang w:eastAsia="en-GB"/>
              </w:rPr>
            </w:pPr>
          </w:p>
        </w:tc>
        <w:tc>
          <w:tcPr>
            <w:tcW w:w="642" w:type="dxa"/>
            <w:tcBorders>
              <w:left w:val="single" w:sz="4" w:space="0" w:color="auto"/>
              <w:bottom w:val="single" w:sz="4" w:space="0" w:color="auto"/>
            </w:tcBorders>
            <w:shd w:val="clear" w:color="auto" w:fill="D9D9D9" w:themeFill="background1" w:themeFillShade="D9"/>
            <w:vAlign w:val="center"/>
          </w:tcPr>
          <w:p w14:paraId="254FB3A0" w14:textId="77777777" w:rsidR="00996F64" w:rsidRPr="0046635F" w:rsidRDefault="00996F64" w:rsidP="00996F64">
            <w:pPr>
              <w:jc w:val="center"/>
              <w:rPr>
                <w:rFonts w:ascii="Arial" w:eastAsia="Times New Roman" w:hAnsi="Arial" w:cs="Arial"/>
                <w:i/>
                <w:sz w:val="17"/>
                <w:szCs w:val="17"/>
                <w:lang w:eastAsia="en-GB"/>
              </w:rPr>
            </w:pPr>
            <w:r w:rsidRPr="0046635F">
              <w:rPr>
                <w:rFonts w:ascii="Arial" w:hAnsi="Arial" w:cs="Arial"/>
                <w:bCs/>
                <w:i/>
                <w:sz w:val="17"/>
                <w:szCs w:val="17"/>
              </w:rPr>
              <w:t>1975</w:t>
            </w:r>
          </w:p>
        </w:tc>
        <w:tc>
          <w:tcPr>
            <w:tcW w:w="643" w:type="dxa"/>
            <w:tcBorders>
              <w:bottom w:val="single" w:sz="4" w:space="0" w:color="auto"/>
            </w:tcBorders>
            <w:shd w:val="clear" w:color="auto" w:fill="D9D9D9" w:themeFill="background1" w:themeFillShade="D9"/>
            <w:vAlign w:val="center"/>
          </w:tcPr>
          <w:p w14:paraId="7DAAD138" w14:textId="77777777" w:rsidR="00996F64" w:rsidRPr="0046635F" w:rsidRDefault="00996F64" w:rsidP="00996F64">
            <w:pPr>
              <w:jc w:val="center"/>
              <w:rPr>
                <w:rFonts w:ascii="Arial" w:eastAsia="Times New Roman" w:hAnsi="Arial" w:cs="Arial"/>
                <w:i/>
                <w:sz w:val="17"/>
                <w:szCs w:val="17"/>
                <w:lang w:eastAsia="en-GB"/>
              </w:rPr>
            </w:pPr>
            <w:r w:rsidRPr="0046635F">
              <w:rPr>
                <w:rFonts w:ascii="Arial" w:hAnsi="Arial" w:cs="Arial"/>
                <w:bCs/>
                <w:i/>
                <w:sz w:val="17"/>
                <w:szCs w:val="17"/>
              </w:rPr>
              <w:t>1991</w:t>
            </w:r>
          </w:p>
        </w:tc>
        <w:tc>
          <w:tcPr>
            <w:tcW w:w="642" w:type="dxa"/>
            <w:tcBorders>
              <w:bottom w:val="single" w:sz="4" w:space="0" w:color="auto"/>
            </w:tcBorders>
            <w:shd w:val="clear" w:color="auto" w:fill="D9D9D9" w:themeFill="background1" w:themeFillShade="D9"/>
            <w:vAlign w:val="center"/>
          </w:tcPr>
          <w:p w14:paraId="1D295838" w14:textId="77777777" w:rsidR="00996F64" w:rsidRPr="0046635F" w:rsidRDefault="00996F64" w:rsidP="00996F64">
            <w:pPr>
              <w:jc w:val="center"/>
              <w:rPr>
                <w:rFonts w:ascii="Arial" w:eastAsia="Times New Roman" w:hAnsi="Arial" w:cs="Arial"/>
                <w:i/>
                <w:sz w:val="17"/>
                <w:szCs w:val="17"/>
                <w:lang w:eastAsia="en-GB"/>
              </w:rPr>
            </w:pPr>
            <w:r w:rsidRPr="0046635F">
              <w:rPr>
                <w:rFonts w:ascii="Arial" w:hAnsi="Arial" w:cs="Arial"/>
                <w:bCs/>
                <w:i/>
                <w:sz w:val="17"/>
                <w:szCs w:val="17"/>
              </w:rPr>
              <w:t>2000</w:t>
            </w:r>
          </w:p>
        </w:tc>
        <w:tc>
          <w:tcPr>
            <w:tcW w:w="643" w:type="dxa"/>
            <w:tcBorders>
              <w:bottom w:val="single" w:sz="4" w:space="0" w:color="auto"/>
            </w:tcBorders>
            <w:shd w:val="clear" w:color="auto" w:fill="D9D9D9" w:themeFill="background1" w:themeFillShade="D9"/>
            <w:vAlign w:val="center"/>
          </w:tcPr>
          <w:p w14:paraId="562A0E05" w14:textId="77777777" w:rsidR="00996F64" w:rsidRPr="0046635F" w:rsidRDefault="00996F64" w:rsidP="00996F64">
            <w:pPr>
              <w:jc w:val="center"/>
              <w:rPr>
                <w:rFonts w:ascii="Arial" w:eastAsia="Times New Roman" w:hAnsi="Arial" w:cs="Arial"/>
                <w:i/>
                <w:sz w:val="17"/>
                <w:szCs w:val="17"/>
                <w:lang w:eastAsia="en-GB"/>
              </w:rPr>
            </w:pPr>
            <w:r w:rsidRPr="0046635F">
              <w:rPr>
                <w:rFonts w:ascii="Arial" w:hAnsi="Arial" w:cs="Arial"/>
                <w:bCs/>
                <w:i/>
                <w:sz w:val="17"/>
                <w:szCs w:val="17"/>
              </w:rPr>
              <w:t>2005</w:t>
            </w:r>
          </w:p>
        </w:tc>
        <w:tc>
          <w:tcPr>
            <w:tcW w:w="642" w:type="dxa"/>
            <w:tcBorders>
              <w:bottom w:val="single" w:sz="4" w:space="0" w:color="auto"/>
            </w:tcBorders>
            <w:shd w:val="clear" w:color="auto" w:fill="D9D9D9" w:themeFill="background1" w:themeFillShade="D9"/>
            <w:vAlign w:val="center"/>
          </w:tcPr>
          <w:p w14:paraId="2668C011" w14:textId="77777777" w:rsidR="00996F64" w:rsidRPr="0046635F" w:rsidRDefault="00996F64" w:rsidP="00996F64">
            <w:pPr>
              <w:jc w:val="center"/>
              <w:rPr>
                <w:rFonts w:ascii="Arial" w:eastAsia="Times New Roman" w:hAnsi="Arial" w:cs="Arial"/>
                <w:i/>
                <w:sz w:val="17"/>
                <w:szCs w:val="17"/>
                <w:lang w:eastAsia="en-GB"/>
              </w:rPr>
            </w:pPr>
            <w:r w:rsidRPr="0046635F">
              <w:rPr>
                <w:rFonts w:ascii="Arial" w:hAnsi="Arial" w:cs="Arial"/>
                <w:bCs/>
                <w:i/>
                <w:sz w:val="17"/>
                <w:szCs w:val="17"/>
              </w:rPr>
              <w:t>2010</w:t>
            </w:r>
          </w:p>
        </w:tc>
        <w:tc>
          <w:tcPr>
            <w:tcW w:w="643" w:type="dxa"/>
            <w:tcBorders>
              <w:bottom w:val="single" w:sz="4" w:space="0" w:color="auto"/>
              <w:right w:val="single" w:sz="4" w:space="0" w:color="auto"/>
            </w:tcBorders>
            <w:shd w:val="clear" w:color="auto" w:fill="D9D9D9" w:themeFill="background1" w:themeFillShade="D9"/>
            <w:vAlign w:val="center"/>
          </w:tcPr>
          <w:p w14:paraId="1B9D1562" w14:textId="77777777" w:rsidR="00996F64" w:rsidRPr="0046635F" w:rsidRDefault="00996F64" w:rsidP="00996F64">
            <w:pPr>
              <w:jc w:val="center"/>
              <w:rPr>
                <w:rFonts w:ascii="Arial" w:eastAsia="Times New Roman" w:hAnsi="Arial" w:cs="Arial"/>
                <w:i/>
                <w:sz w:val="17"/>
                <w:szCs w:val="17"/>
                <w:lang w:eastAsia="en-GB"/>
              </w:rPr>
            </w:pPr>
            <w:r w:rsidRPr="0046635F">
              <w:rPr>
                <w:rFonts w:ascii="Arial" w:hAnsi="Arial" w:cs="Arial"/>
                <w:bCs/>
                <w:i/>
                <w:sz w:val="17"/>
                <w:szCs w:val="17"/>
              </w:rPr>
              <w:t>2013</w:t>
            </w:r>
          </w:p>
        </w:tc>
        <w:tc>
          <w:tcPr>
            <w:tcW w:w="642" w:type="dxa"/>
            <w:tcBorders>
              <w:left w:val="single" w:sz="4" w:space="0" w:color="auto"/>
              <w:bottom w:val="single" w:sz="4" w:space="0" w:color="auto"/>
            </w:tcBorders>
            <w:shd w:val="clear" w:color="auto" w:fill="D9D9D9" w:themeFill="background1" w:themeFillShade="D9"/>
            <w:vAlign w:val="center"/>
          </w:tcPr>
          <w:p w14:paraId="744A15D5" w14:textId="77777777" w:rsidR="00996F64" w:rsidRPr="0046635F" w:rsidRDefault="00996F64" w:rsidP="00996F64">
            <w:pPr>
              <w:jc w:val="center"/>
              <w:rPr>
                <w:rFonts w:ascii="Arial" w:hAnsi="Arial" w:cs="Arial"/>
                <w:bCs/>
                <w:i/>
                <w:sz w:val="17"/>
                <w:szCs w:val="17"/>
              </w:rPr>
            </w:pPr>
            <w:r w:rsidRPr="0046635F">
              <w:rPr>
                <w:rFonts w:ascii="Arial" w:eastAsia="Times New Roman" w:hAnsi="Arial" w:cs="Arial"/>
                <w:bCs/>
                <w:i/>
                <w:sz w:val="17"/>
                <w:szCs w:val="17"/>
                <w:lang w:eastAsia="en-GB"/>
              </w:rPr>
              <w:t>1975</w:t>
            </w:r>
          </w:p>
        </w:tc>
        <w:tc>
          <w:tcPr>
            <w:tcW w:w="644" w:type="dxa"/>
            <w:tcBorders>
              <w:bottom w:val="single" w:sz="4" w:space="0" w:color="auto"/>
            </w:tcBorders>
            <w:shd w:val="clear" w:color="auto" w:fill="D9D9D9" w:themeFill="background1" w:themeFillShade="D9"/>
            <w:vAlign w:val="center"/>
          </w:tcPr>
          <w:p w14:paraId="59348649" w14:textId="77777777" w:rsidR="00996F64" w:rsidRPr="0046635F" w:rsidRDefault="00996F64" w:rsidP="00996F64">
            <w:pPr>
              <w:jc w:val="center"/>
              <w:rPr>
                <w:rFonts w:ascii="Arial" w:hAnsi="Arial" w:cs="Arial"/>
                <w:bCs/>
                <w:i/>
                <w:sz w:val="17"/>
                <w:szCs w:val="17"/>
              </w:rPr>
            </w:pPr>
            <w:r w:rsidRPr="0046635F">
              <w:rPr>
                <w:rFonts w:ascii="Arial" w:eastAsia="Times New Roman" w:hAnsi="Arial" w:cs="Arial"/>
                <w:bCs/>
                <w:i/>
                <w:sz w:val="17"/>
                <w:szCs w:val="17"/>
                <w:lang w:eastAsia="en-GB"/>
              </w:rPr>
              <w:t>1991</w:t>
            </w:r>
          </w:p>
        </w:tc>
        <w:tc>
          <w:tcPr>
            <w:tcW w:w="643" w:type="dxa"/>
            <w:tcBorders>
              <w:bottom w:val="single" w:sz="4" w:space="0" w:color="auto"/>
            </w:tcBorders>
            <w:shd w:val="clear" w:color="auto" w:fill="D9D9D9" w:themeFill="background1" w:themeFillShade="D9"/>
            <w:vAlign w:val="center"/>
          </w:tcPr>
          <w:p w14:paraId="4F108CBD" w14:textId="77777777" w:rsidR="00996F64" w:rsidRPr="0046635F" w:rsidRDefault="00996F64" w:rsidP="00996F64">
            <w:pPr>
              <w:jc w:val="center"/>
              <w:rPr>
                <w:rFonts w:ascii="Arial" w:hAnsi="Arial" w:cs="Arial"/>
                <w:bCs/>
                <w:i/>
                <w:sz w:val="17"/>
                <w:szCs w:val="17"/>
              </w:rPr>
            </w:pPr>
            <w:r w:rsidRPr="0046635F">
              <w:rPr>
                <w:rFonts w:ascii="Arial" w:eastAsia="Times New Roman" w:hAnsi="Arial" w:cs="Arial"/>
                <w:bCs/>
                <w:i/>
                <w:sz w:val="17"/>
                <w:szCs w:val="17"/>
                <w:lang w:eastAsia="en-GB"/>
              </w:rPr>
              <w:t>2000</w:t>
            </w:r>
          </w:p>
        </w:tc>
        <w:tc>
          <w:tcPr>
            <w:tcW w:w="644" w:type="dxa"/>
            <w:tcBorders>
              <w:bottom w:val="single" w:sz="4" w:space="0" w:color="auto"/>
            </w:tcBorders>
            <w:shd w:val="clear" w:color="auto" w:fill="D9D9D9" w:themeFill="background1" w:themeFillShade="D9"/>
            <w:vAlign w:val="center"/>
          </w:tcPr>
          <w:p w14:paraId="48F40FEB" w14:textId="77777777" w:rsidR="00996F64" w:rsidRPr="0046635F" w:rsidRDefault="00996F64" w:rsidP="00996F64">
            <w:pPr>
              <w:jc w:val="center"/>
              <w:rPr>
                <w:rFonts w:ascii="Arial" w:hAnsi="Arial" w:cs="Arial"/>
                <w:bCs/>
                <w:i/>
                <w:sz w:val="17"/>
                <w:szCs w:val="17"/>
              </w:rPr>
            </w:pPr>
            <w:r w:rsidRPr="0046635F">
              <w:rPr>
                <w:rFonts w:ascii="Arial" w:eastAsia="Times New Roman" w:hAnsi="Arial" w:cs="Arial"/>
                <w:bCs/>
                <w:i/>
                <w:sz w:val="17"/>
                <w:szCs w:val="17"/>
                <w:lang w:eastAsia="en-GB"/>
              </w:rPr>
              <w:t>2005</w:t>
            </w:r>
          </w:p>
        </w:tc>
        <w:tc>
          <w:tcPr>
            <w:tcW w:w="643" w:type="dxa"/>
            <w:tcBorders>
              <w:bottom w:val="single" w:sz="4" w:space="0" w:color="auto"/>
            </w:tcBorders>
            <w:shd w:val="clear" w:color="auto" w:fill="D9D9D9" w:themeFill="background1" w:themeFillShade="D9"/>
            <w:vAlign w:val="center"/>
          </w:tcPr>
          <w:p w14:paraId="56137B5E" w14:textId="77777777" w:rsidR="00996F64" w:rsidRPr="0046635F" w:rsidRDefault="00996F64" w:rsidP="00996F64">
            <w:pPr>
              <w:jc w:val="center"/>
              <w:rPr>
                <w:rFonts w:ascii="Arial" w:hAnsi="Arial" w:cs="Arial"/>
                <w:bCs/>
                <w:i/>
                <w:sz w:val="17"/>
                <w:szCs w:val="17"/>
              </w:rPr>
            </w:pPr>
            <w:r w:rsidRPr="0046635F">
              <w:rPr>
                <w:rFonts w:ascii="Arial" w:eastAsia="Times New Roman" w:hAnsi="Arial" w:cs="Arial"/>
                <w:bCs/>
                <w:i/>
                <w:sz w:val="17"/>
                <w:szCs w:val="17"/>
                <w:lang w:eastAsia="en-GB"/>
              </w:rPr>
              <w:t>2010</w:t>
            </w:r>
          </w:p>
        </w:tc>
        <w:tc>
          <w:tcPr>
            <w:tcW w:w="644" w:type="dxa"/>
            <w:tcBorders>
              <w:bottom w:val="single" w:sz="4" w:space="0" w:color="auto"/>
              <w:right w:val="single" w:sz="4" w:space="0" w:color="auto"/>
            </w:tcBorders>
            <w:shd w:val="clear" w:color="auto" w:fill="D9D9D9" w:themeFill="background1" w:themeFillShade="D9"/>
            <w:vAlign w:val="center"/>
          </w:tcPr>
          <w:p w14:paraId="4470AC8D" w14:textId="77777777" w:rsidR="00996F64" w:rsidRPr="0046635F" w:rsidRDefault="00996F64" w:rsidP="00996F64">
            <w:pPr>
              <w:jc w:val="center"/>
              <w:rPr>
                <w:rFonts w:ascii="Arial" w:hAnsi="Arial" w:cs="Arial"/>
                <w:bCs/>
                <w:i/>
                <w:sz w:val="17"/>
                <w:szCs w:val="17"/>
              </w:rPr>
            </w:pPr>
            <w:r w:rsidRPr="0046635F">
              <w:rPr>
                <w:rFonts w:ascii="Arial" w:eastAsia="Times New Roman" w:hAnsi="Arial" w:cs="Arial"/>
                <w:bCs/>
                <w:i/>
                <w:sz w:val="17"/>
                <w:szCs w:val="17"/>
                <w:lang w:eastAsia="en-GB"/>
              </w:rPr>
              <w:t>2013</w:t>
            </w:r>
          </w:p>
        </w:tc>
        <w:tc>
          <w:tcPr>
            <w:tcW w:w="643" w:type="dxa"/>
            <w:tcBorders>
              <w:left w:val="single" w:sz="4" w:space="0" w:color="auto"/>
              <w:bottom w:val="single" w:sz="4" w:space="0" w:color="auto"/>
            </w:tcBorders>
            <w:shd w:val="clear" w:color="auto" w:fill="D9D9D9" w:themeFill="background1" w:themeFillShade="D9"/>
            <w:vAlign w:val="center"/>
          </w:tcPr>
          <w:p w14:paraId="31986A2D" w14:textId="77777777" w:rsidR="00996F64" w:rsidRPr="0046635F" w:rsidRDefault="00996F64" w:rsidP="00996F64">
            <w:pPr>
              <w:jc w:val="center"/>
              <w:rPr>
                <w:rFonts w:ascii="Arial" w:eastAsia="Times New Roman" w:hAnsi="Arial" w:cs="Arial"/>
                <w:bCs/>
                <w:i/>
                <w:sz w:val="17"/>
                <w:szCs w:val="17"/>
                <w:lang w:eastAsia="en-GB"/>
              </w:rPr>
            </w:pPr>
            <w:r w:rsidRPr="0046635F">
              <w:rPr>
                <w:rFonts w:ascii="Arial" w:eastAsia="Times New Roman" w:hAnsi="Arial" w:cs="Arial"/>
                <w:bCs/>
                <w:i/>
                <w:sz w:val="17"/>
                <w:szCs w:val="17"/>
                <w:lang w:eastAsia="en-GB"/>
              </w:rPr>
              <w:t>1975</w:t>
            </w:r>
          </w:p>
        </w:tc>
        <w:tc>
          <w:tcPr>
            <w:tcW w:w="644" w:type="dxa"/>
            <w:tcBorders>
              <w:bottom w:val="single" w:sz="4" w:space="0" w:color="auto"/>
            </w:tcBorders>
            <w:shd w:val="clear" w:color="auto" w:fill="D9D9D9" w:themeFill="background1" w:themeFillShade="D9"/>
            <w:vAlign w:val="center"/>
          </w:tcPr>
          <w:p w14:paraId="3F2E08BB" w14:textId="77777777" w:rsidR="00996F64" w:rsidRPr="0046635F" w:rsidRDefault="00996F64" w:rsidP="00996F64">
            <w:pPr>
              <w:jc w:val="center"/>
              <w:rPr>
                <w:rFonts w:ascii="Arial" w:eastAsia="Times New Roman" w:hAnsi="Arial" w:cs="Arial"/>
                <w:bCs/>
                <w:i/>
                <w:sz w:val="17"/>
                <w:szCs w:val="17"/>
                <w:lang w:eastAsia="en-GB"/>
              </w:rPr>
            </w:pPr>
            <w:r w:rsidRPr="0046635F">
              <w:rPr>
                <w:rFonts w:ascii="Arial" w:eastAsia="Times New Roman" w:hAnsi="Arial" w:cs="Arial"/>
                <w:bCs/>
                <w:i/>
                <w:sz w:val="17"/>
                <w:szCs w:val="17"/>
                <w:lang w:eastAsia="en-GB"/>
              </w:rPr>
              <w:t>1991</w:t>
            </w:r>
          </w:p>
        </w:tc>
        <w:tc>
          <w:tcPr>
            <w:tcW w:w="643" w:type="dxa"/>
            <w:tcBorders>
              <w:bottom w:val="single" w:sz="4" w:space="0" w:color="auto"/>
            </w:tcBorders>
            <w:shd w:val="clear" w:color="auto" w:fill="D9D9D9" w:themeFill="background1" w:themeFillShade="D9"/>
            <w:vAlign w:val="center"/>
          </w:tcPr>
          <w:p w14:paraId="6411B33E" w14:textId="77777777" w:rsidR="00996F64" w:rsidRPr="0046635F" w:rsidRDefault="00996F64" w:rsidP="00996F64">
            <w:pPr>
              <w:jc w:val="center"/>
              <w:rPr>
                <w:rFonts w:ascii="Arial" w:eastAsia="Times New Roman" w:hAnsi="Arial" w:cs="Arial"/>
                <w:bCs/>
                <w:i/>
                <w:sz w:val="17"/>
                <w:szCs w:val="17"/>
                <w:lang w:eastAsia="en-GB"/>
              </w:rPr>
            </w:pPr>
            <w:r w:rsidRPr="0046635F">
              <w:rPr>
                <w:rFonts w:ascii="Arial" w:eastAsia="Times New Roman" w:hAnsi="Arial" w:cs="Arial"/>
                <w:bCs/>
                <w:i/>
                <w:sz w:val="17"/>
                <w:szCs w:val="17"/>
                <w:lang w:eastAsia="en-GB"/>
              </w:rPr>
              <w:t>2000</w:t>
            </w:r>
          </w:p>
        </w:tc>
        <w:tc>
          <w:tcPr>
            <w:tcW w:w="644" w:type="dxa"/>
            <w:tcBorders>
              <w:bottom w:val="single" w:sz="4" w:space="0" w:color="auto"/>
            </w:tcBorders>
            <w:shd w:val="clear" w:color="auto" w:fill="D9D9D9" w:themeFill="background1" w:themeFillShade="D9"/>
            <w:vAlign w:val="center"/>
          </w:tcPr>
          <w:p w14:paraId="16162C0A" w14:textId="77777777" w:rsidR="00996F64" w:rsidRPr="0046635F" w:rsidRDefault="00996F64" w:rsidP="00996F64">
            <w:pPr>
              <w:jc w:val="center"/>
              <w:rPr>
                <w:rFonts w:ascii="Arial" w:eastAsia="Times New Roman" w:hAnsi="Arial" w:cs="Arial"/>
                <w:bCs/>
                <w:i/>
                <w:sz w:val="17"/>
                <w:szCs w:val="17"/>
                <w:lang w:eastAsia="en-GB"/>
              </w:rPr>
            </w:pPr>
            <w:r w:rsidRPr="0046635F">
              <w:rPr>
                <w:rFonts w:ascii="Arial" w:eastAsia="Times New Roman" w:hAnsi="Arial" w:cs="Arial"/>
                <w:bCs/>
                <w:i/>
                <w:sz w:val="17"/>
                <w:szCs w:val="17"/>
                <w:lang w:eastAsia="en-GB"/>
              </w:rPr>
              <w:t>2005</w:t>
            </w:r>
          </w:p>
        </w:tc>
        <w:tc>
          <w:tcPr>
            <w:tcW w:w="643" w:type="dxa"/>
            <w:tcBorders>
              <w:bottom w:val="single" w:sz="4" w:space="0" w:color="auto"/>
            </w:tcBorders>
            <w:shd w:val="clear" w:color="auto" w:fill="D9D9D9" w:themeFill="background1" w:themeFillShade="D9"/>
            <w:vAlign w:val="center"/>
          </w:tcPr>
          <w:p w14:paraId="6BA43F4A" w14:textId="77777777" w:rsidR="00996F64" w:rsidRPr="0046635F" w:rsidRDefault="00996F64" w:rsidP="00996F64">
            <w:pPr>
              <w:jc w:val="center"/>
              <w:rPr>
                <w:rFonts w:ascii="Arial" w:eastAsia="Times New Roman" w:hAnsi="Arial" w:cs="Arial"/>
                <w:bCs/>
                <w:i/>
                <w:sz w:val="17"/>
                <w:szCs w:val="17"/>
                <w:lang w:eastAsia="en-GB"/>
              </w:rPr>
            </w:pPr>
            <w:r w:rsidRPr="0046635F">
              <w:rPr>
                <w:rFonts w:ascii="Arial" w:eastAsia="Times New Roman" w:hAnsi="Arial" w:cs="Arial"/>
                <w:bCs/>
                <w:i/>
                <w:sz w:val="17"/>
                <w:szCs w:val="17"/>
                <w:lang w:eastAsia="en-GB"/>
              </w:rPr>
              <w:t>2010</w:t>
            </w:r>
          </w:p>
        </w:tc>
        <w:tc>
          <w:tcPr>
            <w:tcW w:w="644" w:type="dxa"/>
            <w:tcBorders>
              <w:bottom w:val="single" w:sz="4" w:space="0" w:color="auto"/>
            </w:tcBorders>
            <w:shd w:val="clear" w:color="auto" w:fill="D9D9D9" w:themeFill="background1" w:themeFillShade="D9"/>
            <w:vAlign w:val="center"/>
          </w:tcPr>
          <w:p w14:paraId="171CFAEA" w14:textId="77777777" w:rsidR="00996F64" w:rsidRPr="0046635F" w:rsidRDefault="00996F64" w:rsidP="00996F64">
            <w:pPr>
              <w:jc w:val="center"/>
              <w:rPr>
                <w:rFonts w:ascii="Arial" w:eastAsia="Times New Roman" w:hAnsi="Arial" w:cs="Arial"/>
                <w:bCs/>
                <w:i/>
                <w:sz w:val="17"/>
                <w:szCs w:val="17"/>
                <w:lang w:eastAsia="en-GB"/>
              </w:rPr>
            </w:pPr>
            <w:r w:rsidRPr="0046635F">
              <w:rPr>
                <w:rFonts w:ascii="Arial" w:eastAsia="Times New Roman" w:hAnsi="Arial" w:cs="Arial"/>
                <w:bCs/>
                <w:i/>
                <w:sz w:val="17"/>
                <w:szCs w:val="17"/>
                <w:lang w:eastAsia="en-GB"/>
              </w:rPr>
              <w:t>2013</w:t>
            </w:r>
          </w:p>
        </w:tc>
      </w:tr>
      <w:tr w:rsidR="00996F64" w:rsidRPr="0046635F" w14:paraId="239244A8" w14:textId="77777777" w:rsidTr="00996F64">
        <w:trPr>
          <w:trHeight w:val="240"/>
        </w:trPr>
        <w:tc>
          <w:tcPr>
            <w:tcW w:w="2426" w:type="dxa"/>
            <w:tcBorders>
              <w:top w:val="single" w:sz="4" w:space="0" w:color="auto"/>
              <w:right w:val="single" w:sz="4" w:space="0" w:color="auto"/>
            </w:tcBorders>
            <w:shd w:val="clear" w:color="auto" w:fill="auto"/>
            <w:noWrap/>
            <w:vAlign w:val="center"/>
            <w:hideMark/>
          </w:tcPr>
          <w:p w14:paraId="21A7B2F2" w14:textId="77777777" w:rsidR="00996F64" w:rsidRPr="0046635F" w:rsidRDefault="00996F64" w:rsidP="00996F64">
            <w:pPr>
              <w:tabs>
                <w:tab w:val="left" w:pos="1217"/>
              </w:tabs>
              <w:rPr>
                <w:rFonts w:ascii="Arial" w:eastAsia="Times New Roman" w:hAnsi="Arial" w:cs="Arial"/>
                <w:sz w:val="17"/>
                <w:szCs w:val="17"/>
                <w:lang w:eastAsia="en-GB"/>
              </w:rPr>
            </w:pPr>
            <w:r w:rsidRPr="0046635F">
              <w:rPr>
                <w:rFonts w:ascii="Arial" w:eastAsia="Times New Roman" w:hAnsi="Arial" w:cs="Arial"/>
                <w:sz w:val="17"/>
                <w:szCs w:val="17"/>
                <w:lang w:eastAsia="en-GB"/>
              </w:rPr>
              <w:t>Agriculture</w:t>
            </w:r>
            <w:r w:rsidRPr="0046635F">
              <w:rPr>
                <w:rFonts w:ascii="Arial" w:eastAsia="Times New Roman" w:hAnsi="Arial" w:cs="Arial"/>
                <w:sz w:val="17"/>
                <w:szCs w:val="17"/>
                <w:lang w:eastAsia="en-GB"/>
              </w:rPr>
              <w:tab/>
            </w:r>
          </w:p>
        </w:tc>
        <w:tc>
          <w:tcPr>
            <w:tcW w:w="642" w:type="dxa"/>
            <w:tcBorders>
              <w:top w:val="single" w:sz="4" w:space="0" w:color="auto"/>
              <w:left w:val="single" w:sz="4" w:space="0" w:color="auto"/>
            </w:tcBorders>
            <w:vAlign w:val="center"/>
          </w:tcPr>
          <w:p w14:paraId="3988C043" w14:textId="1E4DBDCF"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17.7</w:t>
            </w:r>
          </w:p>
        </w:tc>
        <w:tc>
          <w:tcPr>
            <w:tcW w:w="643" w:type="dxa"/>
            <w:tcBorders>
              <w:top w:val="single" w:sz="4" w:space="0" w:color="auto"/>
            </w:tcBorders>
            <w:vAlign w:val="center"/>
          </w:tcPr>
          <w:p w14:paraId="4E4495B8" w14:textId="27775FF4"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32.2</w:t>
            </w:r>
          </w:p>
        </w:tc>
        <w:tc>
          <w:tcPr>
            <w:tcW w:w="642" w:type="dxa"/>
            <w:tcBorders>
              <w:top w:val="single" w:sz="4" w:space="0" w:color="auto"/>
            </w:tcBorders>
            <w:vAlign w:val="center"/>
          </w:tcPr>
          <w:p w14:paraId="38308358" w14:textId="29A8DE7F"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31.6</w:t>
            </w:r>
          </w:p>
        </w:tc>
        <w:tc>
          <w:tcPr>
            <w:tcW w:w="643" w:type="dxa"/>
            <w:tcBorders>
              <w:top w:val="single" w:sz="4" w:space="0" w:color="auto"/>
            </w:tcBorders>
            <w:vAlign w:val="center"/>
          </w:tcPr>
          <w:p w14:paraId="382B9618" w14:textId="4E6C7338"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30.0</w:t>
            </w:r>
          </w:p>
        </w:tc>
        <w:tc>
          <w:tcPr>
            <w:tcW w:w="642" w:type="dxa"/>
            <w:tcBorders>
              <w:top w:val="single" w:sz="4" w:space="0" w:color="auto"/>
            </w:tcBorders>
            <w:vAlign w:val="center"/>
          </w:tcPr>
          <w:p w14:paraId="7B29E95D" w14:textId="318D1751"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32.0</w:t>
            </w:r>
          </w:p>
        </w:tc>
        <w:tc>
          <w:tcPr>
            <w:tcW w:w="643" w:type="dxa"/>
            <w:tcBorders>
              <w:top w:val="single" w:sz="4" w:space="0" w:color="auto"/>
              <w:right w:val="single" w:sz="4" w:space="0" w:color="auto"/>
            </w:tcBorders>
            <w:vAlign w:val="center"/>
          </w:tcPr>
          <w:p w14:paraId="11EA7C0A" w14:textId="0CC44E74"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33.5</w:t>
            </w:r>
          </w:p>
        </w:tc>
        <w:tc>
          <w:tcPr>
            <w:tcW w:w="642" w:type="dxa"/>
            <w:tcBorders>
              <w:top w:val="single" w:sz="4" w:space="0" w:color="auto"/>
              <w:left w:val="single" w:sz="4" w:space="0" w:color="auto"/>
            </w:tcBorders>
            <w:vAlign w:val="center"/>
          </w:tcPr>
          <w:p w14:paraId="6BA54AA5" w14:textId="694CA586"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n/a</w:t>
            </w:r>
          </w:p>
        </w:tc>
        <w:tc>
          <w:tcPr>
            <w:tcW w:w="644" w:type="dxa"/>
            <w:tcBorders>
              <w:top w:val="single" w:sz="4" w:space="0" w:color="auto"/>
            </w:tcBorders>
            <w:vAlign w:val="center"/>
          </w:tcPr>
          <w:p w14:paraId="3F2D92EE" w14:textId="22A45F2E"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78.7</w:t>
            </w:r>
          </w:p>
        </w:tc>
        <w:tc>
          <w:tcPr>
            <w:tcW w:w="643" w:type="dxa"/>
            <w:tcBorders>
              <w:top w:val="single" w:sz="4" w:space="0" w:color="auto"/>
            </w:tcBorders>
            <w:vAlign w:val="center"/>
          </w:tcPr>
          <w:p w14:paraId="526A7905" w14:textId="252B4C33"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79.4</w:t>
            </w:r>
          </w:p>
        </w:tc>
        <w:tc>
          <w:tcPr>
            <w:tcW w:w="644" w:type="dxa"/>
            <w:tcBorders>
              <w:top w:val="single" w:sz="4" w:space="0" w:color="auto"/>
            </w:tcBorders>
            <w:vAlign w:val="center"/>
          </w:tcPr>
          <w:p w14:paraId="59B1965F" w14:textId="422B0AAC"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76.0</w:t>
            </w:r>
          </w:p>
        </w:tc>
        <w:tc>
          <w:tcPr>
            <w:tcW w:w="643" w:type="dxa"/>
            <w:tcBorders>
              <w:top w:val="single" w:sz="4" w:space="0" w:color="auto"/>
            </w:tcBorders>
            <w:vAlign w:val="center"/>
          </w:tcPr>
          <w:p w14:paraId="0CE2A763" w14:textId="7A7F20DF"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73.0</w:t>
            </w:r>
          </w:p>
        </w:tc>
        <w:tc>
          <w:tcPr>
            <w:tcW w:w="644" w:type="dxa"/>
            <w:tcBorders>
              <w:top w:val="single" w:sz="4" w:space="0" w:color="auto"/>
              <w:right w:val="single" w:sz="4" w:space="0" w:color="auto"/>
            </w:tcBorders>
            <w:vAlign w:val="center"/>
          </w:tcPr>
          <w:p w14:paraId="6E3C3184" w14:textId="2E56FC45"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71.3</w:t>
            </w:r>
          </w:p>
        </w:tc>
        <w:tc>
          <w:tcPr>
            <w:tcW w:w="643" w:type="dxa"/>
            <w:tcBorders>
              <w:top w:val="single" w:sz="4" w:space="0" w:color="auto"/>
              <w:left w:val="single" w:sz="4" w:space="0" w:color="auto"/>
            </w:tcBorders>
            <w:vAlign w:val="center"/>
          </w:tcPr>
          <w:p w14:paraId="164489C5" w14:textId="1DCF6D1D"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n/a</w:t>
            </w:r>
          </w:p>
        </w:tc>
        <w:tc>
          <w:tcPr>
            <w:tcW w:w="644" w:type="dxa"/>
            <w:tcBorders>
              <w:top w:val="single" w:sz="4" w:space="0" w:color="auto"/>
            </w:tcBorders>
            <w:vAlign w:val="center"/>
          </w:tcPr>
          <w:p w14:paraId="5E6604EF" w14:textId="15148A6F"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0.4</w:t>
            </w:r>
          </w:p>
        </w:tc>
        <w:tc>
          <w:tcPr>
            <w:tcW w:w="643" w:type="dxa"/>
            <w:tcBorders>
              <w:top w:val="single" w:sz="4" w:space="0" w:color="auto"/>
            </w:tcBorders>
            <w:vAlign w:val="center"/>
          </w:tcPr>
          <w:p w14:paraId="0AD831C6" w14:textId="7F58C5AB"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0.4</w:t>
            </w:r>
          </w:p>
        </w:tc>
        <w:tc>
          <w:tcPr>
            <w:tcW w:w="644" w:type="dxa"/>
            <w:tcBorders>
              <w:top w:val="single" w:sz="4" w:space="0" w:color="auto"/>
            </w:tcBorders>
            <w:vAlign w:val="center"/>
          </w:tcPr>
          <w:p w14:paraId="22FA3074" w14:textId="69C35777"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0.4</w:t>
            </w:r>
          </w:p>
        </w:tc>
        <w:tc>
          <w:tcPr>
            <w:tcW w:w="643" w:type="dxa"/>
            <w:tcBorders>
              <w:top w:val="single" w:sz="4" w:space="0" w:color="auto"/>
            </w:tcBorders>
            <w:vAlign w:val="center"/>
          </w:tcPr>
          <w:p w14:paraId="73219C77" w14:textId="2BBCDFB8"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0.4</w:t>
            </w:r>
          </w:p>
        </w:tc>
        <w:tc>
          <w:tcPr>
            <w:tcW w:w="644" w:type="dxa"/>
            <w:tcBorders>
              <w:top w:val="single" w:sz="4" w:space="0" w:color="auto"/>
            </w:tcBorders>
            <w:vAlign w:val="center"/>
          </w:tcPr>
          <w:p w14:paraId="6B7C88A0" w14:textId="79280837"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0.4</w:t>
            </w:r>
          </w:p>
        </w:tc>
      </w:tr>
      <w:tr w:rsidR="00996F64" w:rsidRPr="0046635F" w14:paraId="56F4A9BA" w14:textId="77777777" w:rsidTr="00996F64">
        <w:trPr>
          <w:trHeight w:val="240"/>
        </w:trPr>
        <w:tc>
          <w:tcPr>
            <w:tcW w:w="2426" w:type="dxa"/>
            <w:tcBorders>
              <w:right w:val="single" w:sz="4" w:space="0" w:color="auto"/>
            </w:tcBorders>
            <w:shd w:val="clear" w:color="auto" w:fill="auto"/>
            <w:noWrap/>
            <w:vAlign w:val="center"/>
            <w:hideMark/>
          </w:tcPr>
          <w:p w14:paraId="3D60B57A" w14:textId="77777777" w:rsidR="00996F64" w:rsidRPr="0046635F" w:rsidRDefault="00996F64" w:rsidP="00996F64">
            <w:pPr>
              <w:rPr>
                <w:rFonts w:ascii="Arial" w:eastAsia="Times New Roman" w:hAnsi="Arial" w:cs="Arial"/>
                <w:sz w:val="17"/>
                <w:szCs w:val="17"/>
                <w:lang w:eastAsia="en-GB"/>
              </w:rPr>
            </w:pPr>
            <w:r w:rsidRPr="0046635F">
              <w:rPr>
                <w:rFonts w:ascii="Arial" w:eastAsia="Times New Roman" w:hAnsi="Arial" w:cs="Arial"/>
                <w:sz w:val="17"/>
                <w:szCs w:val="17"/>
                <w:lang w:eastAsia="en-GB"/>
              </w:rPr>
              <w:t xml:space="preserve">Mining &amp; utilities </w:t>
            </w:r>
          </w:p>
        </w:tc>
        <w:tc>
          <w:tcPr>
            <w:tcW w:w="642" w:type="dxa"/>
            <w:tcBorders>
              <w:left w:val="single" w:sz="4" w:space="0" w:color="auto"/>
            </w:tcBorders>
            <w:vAlign w:val="center"/>
          </w:tcPr>
          <w:p w14:paraId="421ED7FF" w14:textId="62026B51"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1.6</w:t>
            </w:r>
          </w:p>
        </w:tc>
        <w:tc>
          <w:tcPr>
            <w:tcW w:w="643" w:type="dxa"/>
            <w:vAlign w:val="center"/>
          </w:tcPr>
          <w:p w14:paraId="345120D6" w14:textId="11DBDE97"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2.4</w:t>
            </w:r>
          </w:p>
        </w:tc>
        <w:tc>
          <w:tcPr>
            <w:tcW w:w="642" w:type="dxa"/>
            <w:vAlign w:val="center"/>
          </w:tcPr>
          <w:p w14:paraId="27658B5C" w14:textId="3AF70A5E"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3.8</w:t>
            </w:r>
          </w:p>
        </w:tc>
        <w:tc>
          <w:tcPr>
            <w:tcW w:w="643" w:type="dxa"/>
            <w:vAlign w:val="center"/>
          </w:tcPr>
          <w:p w14:paraId="7DA0052F" w14:textId="325584E0"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4.9</w:t>
            </w:r>
          </w:p>
        </w:tc>
        <w:tc>
          <w:tcPr>
            <w:tcW w:w="642" w:type="dxa"/>
            <w:vAlign w:val="center"/>
          </w:tcPr>
          <w:p w14:paraId="7EF3E830" w14:textId="15D75F38"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5.9</w:t>
            </w:r>
          </w:p>
        </w:tc>
        <w:tc>
          <w:tcPr>
            <w:tcW w:w="643" w:type="dxa"/>
            <w:tcBorders>
              <w:right w:val="single" w:sz="4" w:space="0" w:color="auto"/>
            </w:tcBorders>
            <w:vAlign w:val="center"/>
          </w:tcPr>
          <w:p w14:paraId="6E1F6CE6" w14:textId="026C92A8"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5.8</w:t>
            </w:r>
          </w:p>
        </w:tc>
        <w:tc>
          <w:tcPr>
            <w:tcW w:w="642" w:type="dxa"/>
            <w:tcBorders>
              <w:left w:val="single" w:sz="4" w:space="0" w:color="auto"/>
            </w:tcBorders>
            <w:vAlign w:val="center"/>
          </w:tcPr>
          <w:p w14:paraId="46A1B04F" w14:textId="1124D98E"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n/a</w:t>
            </w:r>
          </w:p>
        </w:tc>
        <w:tc>
          <w:tcPr>
            <w:tcW w:w="644" w:type="dxa"/>
            <w:vAlign w:val="center"/>
          </w:tcPr>
          <w:p w14:paraId="43F5B12C" w14:textId="14657288"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0.9</w:t>
            </w:r>
          </w:p>
        </w:tc>
        <w:tc>
          <w:tcPr>
            <w:tcW w:w="643" w:type="dxa"/>
            <w:vAlign w:val="center"/>
          </w:tcPr>
          <w:p w14:paraId="439AC318" w14:textId="07986682"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0.3</w:t>
            </w:r>
          </w:p>
        </w:tc>
        <w:tc>
          <w:tcPr>
            <w:tcW w:w="644" w:type="dxa"/>
            <w:vAlign w:val="center"/>
          </w:tcPr>
          <w:p w14:paraId="233B4EF4" w14:textId="472A88A3"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0.5</w:t>
            </w:r>
          </w:p>
        </w:tc>
        <w:tc>
          <w:tcPr>
            <w:tcW w:w="643" w:type="dxa"/>
            <w:vAlign w:val="center"/>
          </w:tcPr>
          <w:p w14:paraId="3550BB50" w14:textId="36DF9427"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0.7</w:t>
            </w:r>
          </w:p>
        </w:tc>
        <w:tc>
          <w:tcPr>
            <w:tcW w:w="644" w:type="dxa"/>
            <w:tcBorders>
              <w:right w:val="single" w:sz="4" w:space="0" w:color="auto"/>
            </w:tcBorders>
            <w:vAlign w:val="center"/>
          </w:tcPr>
          <w:p w14:paraId="752EA947" w14:textId="396FA7AC"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0.7</w:t>
            </w:r>
          </w:p>
        </w:tc>
        <w:tc>
          <w:tcPr>
            <w:tcW w:w="643" w:type="dxa"/>
            <w:tcBorders>
              <w:left w:val="single" w:sz="4" w:space="0" w:color="auto"/>
            </w:tcBorders>
            <w:vAlign w:val="center"/>
          </w:tcPr>
          <w:p w14:paraId="1A20F1FF" w14:textId="5974DA87"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n/a</w:t>
            </w:r>
          </w:p>
        </w:tc>
        <w:tc>
          <w:tcPr>
            <w:tcW w:w="644" w:type="dxa"/>
            <w:vAlign w:val="center"/>
          </w:tcPr>
          <w:p w14:paraId="7CF07802" w14:textId="775D2CDB"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3.2</w:t>
            </w:r>
          </w:p>
        </w:tc>
        <w:tc>
          <w:tcPr>
            <w:tcW w:w="643" w:type="dxa"/>
            <w:vAlign w:val="center"/>
          </w:tcPr>
          <w:p w14:paraId="3038E3A8" w14:textId="07F06A76"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12.8</w:t>
            </w:r>
          </w:p>
        </w:tc>
        <w:tc>
          <w:tcPr>
            <w:tcW w:w="644" w:type="dxa"/>
            <w:vAlign w:val="center"/>
          </w:tcPr>
          <w:p w14:paraId="11827256" w14:textId="29D7BE9C"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9.2</w:t>
            </w:r>
          </w:p>
        </w:tc>
        <w:tc>
          <w:tcPr>
            <w:tcW w:w="643" w:type="dxa"/>
            <w:vAlign w:val="center"/>
          </w:tcPr>
          <w:p w14:paraId="5468F999" w14:textId="15D1591E"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6.9</w:t>
            </w:r>
          </w:p>
        </w:tc>
        <w:tc>
          <w:tcPr>
            <w:tcW w:w="644" w:type="dxa"/>
            <w:vAlign w:val="center"/>
          </w:tcPr>
          <w:p w14:paraId="5A3C50CD" w14:textId="6263CECB"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6.4</w:t>
            </w:r>
          </w:p>
        </w:tc>
      </w:tr>
      <w:tr w:rsidR="00996F64" w:rsidRPr="0046635F" w14:paraId="037536DD" w14:textId="77777777" w:rsidTr="00996F64">
        <w:trPr>
          <w:trHeight w:val="240"/>
        </w:trPr>
        <w:tc>
          <w:tcPr>
            <w:tcW w:w="2426" w:type="dxa"/>
            <w:tcBorders>
              <w:right w:val="single" w:sz="4" w:space="0" w:color="auto"/>
            </w:tcBorders>
            <w:shd w:val="clear" w:color="auto" w:fill="auto"/>
            <w:noWrap/>
            <w:vAlign w:val="center"/>
            <w:hideMark/>
          </w:tcPr>
          <w:p w14:paraId="03203BEF" w14:textId="77777777" w:rsidR="00996F64" w:rsidRPr="0046635F" w:rsidRDefault="00996F64" w:rsidP="00996F64">
            <w:pPr>
              <w:rPr>
                <w:rFonts w:ascii="Arial" w:eastAsia="Times New Roman" w:hAnsi="Arial" w:cs="Arial"/>
                <w:sz w:val="17"/>
                <w:szCs w:val="17"/>
                <w:lang w:eastAsia="en-GB"/>
              </w:rPr>
            </w:pPr>
            <w:r w:rsidRPr="0046635F">
              <w:rPr>
                <w:rFonts w:ascii="Arial" w:eastAsia="Times New Roman" w:hAnsi="Arial" w:cs="Arial"/>
                <w:sz w:val="17"/>
                <w:szCs w:val="17"/>
                <w:lang w:eastAsia="en-GB"/>
              </w:rPr>
              <w:t>Manufacturing</w:t>
            </w:r>
          </w:p>
        </w:tc>
        <w:tc>
          <w:tcPr>
            <w:tcW w:w="642" w:type="dxa"/>
            <w:tcBorders>
              <w:left w:val="single" w:sz="4" w:space="0" w:color="auto"/>
            </w:tcBorders>
            <w:vAlign w:val="center"/>
          </w:tcPr>
          <w:p w14:paraId="06A800DE" w14:textId="1A42EA0F"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12.4</w:t>
            </w:r>
          </w:p>
        </w:tc>
        <w:tc>
          <w:tcPr>
            <w:tcW w:w="643" w:type="dxa"/>
            <w:vAlign w:val="center"/>
          </w:tcPr>
          <w:p w14:paraId="7635EB3C" w14:textId="141A0FAE"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8.9</w:t>
            </w:r>
          </w:p>
        </w:tc>
        <w:tc>
          <w:tcPr>
            <w:tcW w:w="642" w:type="dxa"/>
            <w:vAlign w:val="center"/>
          </w:tcPr>
          <w:p w14:paraId="0D8E628B" w14:textId="46D8429A"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8.1</w:t>
            </w:r>
          </w:p>
        </w:tc>
        <w:tc>
          <w:tcPr>
            <w:tcW w:w="643" w:type="dxa"/>
            <w:vAlign w:val="center"/>
          </w:tcPr>
          <w:p w14:paraId="2A67232C" w14:textId="717FF738"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7.5</w:t>
            </w:r>
          </w:p>
        </w:tc>
        <w:tc>
          <w:tcPr>
            <w:tcW w:w="642" w:type="dxa"/>
            <w:vAlign w:val="center"/>
          </w:tcPr>
          <w:p w14:paraId="51BD1D0F" w14:textId="553C010D"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7.3</w:t>
            </w:r>
          </w:p>
        </w:tc>
        <w:tc>
          <w:tcPr>
            <w:tcW w:w="643" w:type="dxa"/>
            <w:tcBorders>
              <w:right w:val="single" w:sz="4" w:space="0" w:color="auto"/>
            </w:tcBorders>
            <w:vAlign w:val="center"/>
          </w:tcPr>
          <w:p w14:paraId="5F10ACA0" w14:textId="7A01242A"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7.2</w:t>
            </w:r>
          </w:p>
        </w:tc>
        <w:tc>
          <w:tcPr>
            <w:tcW w:w="642" w:type="dxa"/>
            <w:tcBorders>
              <w:left w:val="single" w:sz="4" w:space="0" w:color="auto"/>
            </w:tcBorders>
            <w:vAlign w:val="center"/>
          </w:tcPr>
          <w:p w14:paraId="1DBB70B6" w14:textId="6C89AAF7"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n/a</w:t>
            </w:r>
          </w:p>
        </w:tc>
        <w:tc>
          <w:tcPr>
            <w:tcW w:w="644" w:type="dxa"/>
            <w:vAlign w:val="center"/>
          </w:tcPr>
          <w:p w14:paraId="3ADFAFE3" w14:textId="7B479C49"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2.1</w:t>
            </w:r>
          </w:p>
        </w:tc>
        <w:tc>
          <w:tcPr>
            <w:tcW w:w="643" w:type="dxa"/>
            <w:vAlign w:val="center"/>
          </w:tcPr>
          <w:p w14:paraId="326B7307" w14:textId="7BB79B92"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1.5</w:t>
            </w:r>
          </w:p>
        </w:tc>
        <w:tc>
          <w:tcPr>
            <w:tcW w:w="644" w:type="dxa"/>
            <w:vAlign w:val="center"/>
          </w:tcPr>
          <w:p w14:paraId="5F28AC08" w14:textId="01BD4364"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2.5</w:t>
            </w:r>
          </w:p>
        </w:tc>
        <w:tc>
          <w:tcPr>
            <w:tcW w:w="643" w:type="dxa"/>
            <w:vAlign w:val="center"/>
          </w:tcPr>
          <w:p w14:paraId="365C9C9A" w14:textId="73DAE23B"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3.2</w:t>
            </w:r>
          </w:p>
        </w:tc>
        <w:tc>
          <w:tcPr>
            <w:tcW w:w="644" w:type="dxa"/>
            <w:tcBorders>
              <w:right w:val="single" w:sz="4" w:space="0" w:color="auto"/>
            </w:tcBorders>
            <w:vAlign w:val="center"/>
          </w:tcPr>
          <w:p w14:paraId="19F096CA" w14:textId="14472097"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3.3</w:t>
            </w:r>
          </w:p>
        </w:tc>
        <w:tc>
          <w:tcPr>
            <w:tcW w:w="643" w:type="dxa"/>
            <w:tcBorders>
              <w:left w:val="single" w:sz="4" w:space="0" w:color="auto"/>
            </w:tcBorders>
            <w:vAlign w:val="center"/>
          </w:tcPr>
          <w:p w14:paraId="3DD58ADD" w14:textId="1B16239A"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n/a</w:t>
            </w:r>
          </w:p>
        </w:tc>
        <w:tc>
          <w:tcPr>
            <w:tcW w:w="644" w:type="dxa"/>
            <w:vAlign w:val="center"/>
          </w:tcPr>
          <w:p w14:paraId="443D2510" w14:textId="586E7947"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3.6</w:t>
            </w:r>
          </w:p>
        </w:tc>
        <w:tc>
          <w:tcPr>
            <w:tcW w:w="643" w:type="dxa"/>
            <w:vAlign w:val="center"/>
          </w:tcPr>
          <w:p w14:paraId="78C3BC6A" w14:textId="6671EC3C"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4.8</w:t>
            </w:r>
          </w:p>
        </w:tc>
        <w:tc>
          <w:tcPr>
            <w:tcW w:w="644" w:type="dxa"/>
            <w:vAlign w:val="center"/>
          </w:tcPr>
          <w:p w14:paraId="0820140A" w14:textId="58631B09"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3.0</w:t>
            </w:r>
          </w:p>
        </w:tc>
        <w:tc>
          <w:tcPr>
            <w:tcW w:w="643" w:type="dxa"/>
            <w:vAlign w:val="center"/>
          </w:tcPr>
          <w:p w14:paraId="51AD7BE7" w14:textId="16FF8647"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2.6</w:t>
            </w:r>
          </w:p>
        </w:tc>
        <w:tc>
          <w:tcPr>
            <w:tcW w:w="644" w:type="dxa"/>
            <w:vAlign w:val="center"/>
          </w:tcPr>
          <w:p w14:paraId="07773692" w14:textId="2331D2B0"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2.5</w:t>
            </w:r>
          </w:p>
        </w:tc>
      </w:tr>
      <w:tr w:rsidR="00996F64" w:rsidRPr="0046635F" w14:paraId="1B0994B8" w14:textId="77777777" w:rsidTr="00996F64">
        <w:trPr>
          <w:trHeight w:val="240"/>
        </w:trPr>
        <w:tc>
          <w:tcPr>
            <w:tcW w:w="2426" w:type="dxa"/>
            <w:tcBorders>
              <w:right w:val="single" w:sz="4" w:space="0" w:color="auto"/>
            </w:tcBorders>
            <w:shd w:val="clear" w:color="auto" w:fill="auto"/>
            <w:noWrap/>
            <w:vAlign w:val="center"/>
            <w:hideMark/>
          </w:tcPr>
          <w:p w14:paraId="42C67C20" w14:textId="77777777" w:rsidR="00996F64" w:rsidRPr="0046635F" w:rsidRDefault="00996F64" w:rsidP="00996F64">
            <w:pPr>
              <w:rPr>
                <w:rFonts w:ascii="Arial" w:eastAsia="Times New Roman" w:hAnsi="Arial" w:cs="Arial"/>
                <w:sz w:val="17"/>
                <w:szCs w:val="17"/>
                <w:lang w:eastAsia="en-GB"/>
              </w:rPr>
            </w:pPr>
            <w:r w:rsidRPr="0046635F">
              <w:rPr>
                <w:rFonts w:ascii="Arial" w:eastAsia="Times New Roman" w:hAnsi="Arial" w:cs="Arial"/>
                <w:sz w:val="17"/>
                <w:szCs w:val="17"/>
                <w:lang w:eastAsia="en-GB"/>
              </w:rPr>
              <w:t>Construction</w:t>
            </w:r>
          </w:p>
        </w:tc>
        <w:tc>
          <w:tcPr>
            <w:tcW w:w="642" w:type="dxa"/>
            <w:tcBorders>
              <w:left w:val="single" w:sz="4" w:space="0" w:color="auto"/>
            </w:tcBorders>
            <w:vAlign w:val="center"/>
          </w:tcPr>
          <w:p w14:paraId="5394A82C" w14:textId="18D5544C"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3.9</w:t>
            </w:r>
          </w:p>
        </w:tc>
        <w:tc>
          <w:tcPr>
            <w:tcW w:w="643" w:type="dxa"/>
            <w:vAlign w:val="center"/>
          </w:tcPr>
          <w:p w14:paraId="090483F1" w14:textId="4B0FB6CF"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4.1</w:t>
            </w:r>
          </w:p>
        </w:tc>
        <w:tc>
          <w:tcPr>
            <w:tcW w:w="642" w:type="dxa"/>
            <w:vAlign w:val="center"/>
          </w:tcPr>
          <w:p w14:paraId="0D4673DE" w14:textId="34E4FCD1"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5.3</w:t>
            </w:r>
          </w:p>
        </w:tc>
        <w:tc>
          <w:tcPr>
            <w:tcW w:w="643" w:type="dxa"/>
            <w:vAlign w:val="center"/>
          </w:tcPr>
          <w:p w14:paraId="62D7D1C8" w14:textId="4FC39AB1"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8.3</w:t>
            </w:r>
          </w:p>
        </w:tc>
        <w:tc>
          <w:tcPr>
            <w:tcW w:w="642" w:type="dxa"/>
            <w:vAlign w:val="center"/>
          </w:tcPr>
          <w:p w14:paraId="0C97C019" w14:textId="1E125E0E"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7.6</w:t>
            </w:r>
          </w:p>
        </w:tc>
        <w:tc>
          <w:tcPr>
            <w:tcW w:w="643" w:type="dxa"/>
            <w:tcBorders>
              <w:right w:val="single" w:sz="4" w:space="0" w:color="auto"/>
            </w:tcBorders>
            <w:vAlign w:val="center"/>
          </w:tcPr>
          <w:p w14:paraId="34B13BC6" w14:textId="41AF0C30"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9.7</w:t>
            </w:r>
          </w:p>
        </w:tc>
        <w:tc>
          <w:tcPr>
            <w:tcW w:w="642" w:type="dxa"/>
            <w:tcBorders>
              <w:left w:val="single" w:sz="4" w:space="0" w:color="auto"/>
            </w:tcBorders>
            <w:vAlign w:val="center"/>
          </w:tcPr>
          <w:p w14:paraId="0E4EF9B8" w14:textId="4D782793"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n/a</w:t>
            </w:r>
          </w:p>
        </w:tc>
        <w:tc>
          <w:tcPr>
            <w:tcW w:w="644" w:type="dxa"/>
            <w:vAlign w:val="center"/>
          </w:tcPr>
          <w:p w14:paraId="06CEB2B5" w14:textId="6F6CFE83"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0.8</w:t>
            </w:r>
          </w:p>
        </w:tc>
        <w:tc>
          <w:tcPr>
            <w:tcW w:w="643" w:type="dxa"/>
            <w:vAlign w:val="center"/>
          </w:tcPr>
          <w:p w14:paraId="42AA7955" w14:textId="3955F34F"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0.8</w:t>
            </w:r>
          </w:p>
        </w:tc>
        <w:tc>
          <w:tcPr>
            <w:tcW w:w="644" w:type="dxa"/>
            <w:vAlign w:val="center"/>
          </w:tcPr>
          <w:p w14:paraId="20FD98D5" w14:textId="3B4DE24C"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1.1</w:t>
            </w:r>
          </w:p>
        </w:tc>
        <w:tc>
          <w:tcPr>
            <w:tcW w:w="643" w:type="dxa"/>
            <w:vAlign w:val="center"/>
          </w:tcPr>
          <w:p w14:paraId="3BDCECE2" w14:textId="3ABA2452"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1.3</w:t>
            </w:r>
          </w:p>
        </w:tc>
        <w:tc>
          <w:tcPr>
            <w:tcW w:w="644" w:type="dxa"/>
            <w:tcBorders>
              <w:right w:val="single" w:sz="4" w:space="0" w:color="auto"/>
            </w:tcBorders>
            <w:vAlign w:val="center"/>
          </w:tcPr>
          <w:p w14:paraId="25787B36" w14:textId="7C2088CE"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1.4</w:t>
            </w:r>
          </w:p>
        </w:tc>
        <w:tc>
          <w:tcPr>
            <w:tcW w:w="643" w:type="dxa"/>
            <w:tcBorders>
              <w:left w:val="single" w:sz="4" w:space="0" w:color="auto"/>
            </w:tcBorders>
            <w:vAlign w:val="center"/>
          </w:tcPr>
          <w:p w14:paraId="1A1B89AE" w14:textId="367764E1"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n/a</w:t>
            </w:r>
          </w:p>
        </w:tc>
        <w:tc>
          <w:tcPr>
            <w:tcW w:w="644" w:type="dxa"/>
            <w:vAlign w:val="center"/>
          </w:tcPr>
          <w:p w14:paraId="2D7DA17E" w14:textId="693B258E"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6.5</w:t>
            </w:r>
          </w:p>
        </w:tc>
        <w:tc>
          <w:tcPr>
            <w:tcW w:w="643" w:type="dxa"/>
            <w:vAlign w:val="center"/>
          </w:tcPr>
          <w:p w14:paraId="47A92AFA" w14:textId="42B917C8"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8.1</w:t>
            </w:r>
          </w:p>
        </w:tc>
        <w:tc>
          <w:tcPr>
            <w:tcW w:w="644" w:type="dxa"/>
            <w:vAlign w:val="center"/>
          </w:tcPr>
          <w:p w14:paraId="3FE2883F" w14:textId="74569922"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7.2</w:t>
            </w:r>
          </w:p>
        </w:tc>
        <w:tc>
          <w:tcPr>
            <w:tcW w:w="643" w:type="dxa"/>
            <w:vAlign w:val="center"/>
          </w:tcPr>
          <w:p w14:paraId="7091A10A" w14:textId="17775653"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6.5</w:t>
            </w:r>
          </w:p>
        </w:tc>
        <w:tc>
          <w:tcPr>
            <w:tcW w:w="644" w:type="dxa"/>
            <w:vAlign w:val="center"/>
          </w:tcPr>
          <w:p w14:paraId="1DDBF9C4" w14:textId="156E03C2"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7.5</w:t>
            </w:r>
          </w:p>
        </w:tc>
      </w:tr>
      <w:tr w:rsidR="00996F64" w:rsidRPr="0046635F" w14:paraId="13AAFAB7" w14:textId="77777777" w:rsidTr="00996F64">
        <w:trPr>
          <w:trHeight w:val="240"/>
        </w:trPr>
        <w:tc>
          <w:tcPr>
            <w:tcW w:w="2426" w:type="dxa"/>
            <w:tcBorders>
              <w:right w:val="single" w:sz="4" w:space="0" w:color="auto"/>
            </w:tcBorders>
            <w:shd w:val="clear" w:color="auto" w:fill="auto"/>
            <w:noWrap/>
            <w:vAlign w:val="center"/>
            <w:hideMark/>
          </w:tcPr>
          <w:p w14:paraId="599B1961" w14:textId="77777777" w:rsidR="00996F64" w:rsidRPr="0046635F" w:rsidRDefault="00996F64" w:rsidP="00996F64">
            <w:pPr>
              <w:rPr>
                <w:rFonts w:ascii="Arial" w:eastAsia="Times New Roman" w:hAnsi="Arial" w:cs="Arial"/>
                <w:sz w:val="17"/>
                <w:szCs w:val="17"/>
                <w:lang w:eastAsia="en-GB"/>
              </w:rPr>
            </w:pPr>
            <w:r w:rsidRPr="0046635F">
              <w:rPr>
                <w:rFonts w:ascii="Arial" w:eastAsia="Times New Roman" w:hAnsi="Arial" w:cs="Arial"/>
                <w:sz w:val="17"/>
                <w:szCs w:val="17"/>
                <w:lang w:eastAsia="en-GB"/>
              </w:rPr>
              <w:t>Wholesale, retail, hotels</w:t>
            </w:r>
          </w:p>
        </w:tc>
        <w:tc>
          <w:tcPr>
            <w:tcW w:w="642" w:type="dxa"/>
            <w:tcBorders>
              <w:left w:val="single" w:sz="4" w:space="0" w:color="auto"/>
            </w:tcBorders>
            <w:vAlign w:val="center"/>
          </w:tcPr>
          <w:p w14:paraId="2E298378" w14:textId="737363C1"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15.1</w:t>
            </w:r>
          </w:p>
        </w:tc>
        <w:tc>
          <w:tcPr>
            <w:tcW w:w="643" w:type="dxa"/>
            <w:vAlign w:val="center"/>
          </w:tcPr>
          <w:p w14:paraId="09A55549" w14:textId="2CC6C68B"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15.4</w:t>
            </w:r>
          </w:p>
        </w:tc>
        <w:tc>
          <w:tcPr>
            <w:tcW w:w="642" w:type="dxa"/>
            <w:vAlign w:val="center"/>
          </w:tcPr>
          <w:p w14:paraId="26C577F6" w14:textId="60BB9DD5"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13.3</w:t>
            </w:r>
          </w:p>
        </w:tc>
        <w:tc>
          <w:tcPr>
            <w:tcW w:w="643" w:type="dxa"/>
            <w:vAlign w:val="center"/>
          </w:tcPr>
          <w:p w14:paraId="0097D2D1" w14:textId="18A2DE55"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11.8</w:t>
            </w:r>
          </w:p>
        </w:tc>
        <w:tc>
          <w:tcPr>
            <w:tcW w:w="642" w:type="dxa"/>
            <w:vAlign w:val="center"/>
          </w:tcPr>
          <w:p w14:paraId="5B7F431D" w14:textId="3B381036"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12.7</w:t>
            </w:r>
          </w:p>
        </w:tc>
        <w:tc>
          <w:tcPr>
            <w:tcW w:w="643" w:type="dxa"/>
            <w:tcBorders>
              <w:right w:val="single" w:sz="4" w:space="0" w:color="auto"/>
            </w:tcBorders>
            <w:vAlign w:val="center"/>
          </w:tcPr>
          <w:p w14:paraId="3C3E894D" w14:textId="70D2BD55"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12.6</w:t>
            </w:r>
          </w:p>
        </w:tc>
        <w:tc>
          <w:tcPr>
            <w:tcW w:w="642" w:type="dxa"/>
            <w:tcBorders>
              <w:left w:val="single" w:sz="4" w:space="0" w:color="auto"/>
            </w:tcBorders>
            <w:vAlign w:val="center"/>
          </w:tcPr>
          <w:p w14:paraId="46262524" w14:textId="35B28A09"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n/a</w:t>
            </w:r>
          </w:p>
        </w:tc>
        <w:tc>
          <w:tcPr>
            <w:tcW w:w="644" w:type="dxa"/>
            <w:vAlign w:val="center"/>
          </w:tcPr>
          <w:p w14:paraId="406BAB92" w14:textId="1690F6CB"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9.8</w:t>
            </w:r>
          </w:p>
        </w:tc>
        <w:tc>
          <w:tcPr>
            <w:tcW w:w="643" w:type="dxa"/>
            <w:vAlign w:val="center"/>
          </w:tcPr>
          <w:p w14:paraId="7DA1E38A" w14:textId="617E95FC"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10.1</w:t>
            </w:r>
          </w:p>
        </w:tc>
        <w:tc>
          <w:tcPr>
            <w:tcW w:w="644" w:type="dxa"/>
            <w:vAlign w:val="center"/>
          </w:tcPr>
          <w:p w14:paraId="46A32DBA" w14:textId="37BBBA2A"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10.7</w:t>
            </w:r>
          </w:p>
        </w:tc>
        <w:tc>
          <w:tcPr>
            <w:tcW w:w="643" w:type="dxa"/>
            <w:vAlign w:val="center"/>
          </w:tcPr>
          <w:p w14:paraId="7D1E1780" w14:textId="6B7CC0DB"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11.5</w:t>
            </w:r>
          </w:p>
        </w:tc>
        <w:tc>
          <w:tcPr>
            <w:tcW w:w="644" w:type="dxa"/>
            <w:tcBorders>
              <w:right w:val="single" w:sz="4" w:space="0" w:color="auto"/>
            </w:tcBorders>
            <w:vAlign w:val="center"/>
          </w:tcPr>
          <w:p w14:paraId="06788F07" w14:textId="70BD42CE"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12.2</w:t>
            </w:r>
          </w:p>
        </w:tc>
        <w:tc>
          <w:tcPr>
            <w:tcW w:w="643" w:type="dxa"/>
            <w:tcBorders>
              <w:left w:val="single" w:sz="4" w:space="0" w:color="auto"/>
            </w:tcBorders>
            <w:vAlign w:val="center"/>
          </w:tcPr>
          <w:p w14:paraId="5A13A6E1" w14:textId="55F0BDD8"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n/a</w:t>
            </w:r>
          </w:p>
        </w:tc>
        <w:tc>
          <w:tcPr>
            <w:tcW w:w="644" w:type="dxa"/>
            <w:vAlign w:val="center"/>
          </w:tcPr>
          <w:p w14:paraId="3EF5ED70" w14:textId="26806B47"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1.2</w:t>
            </w:r>
          </w:p>
        </w:tc>
        <w:tc>
          <w:tcPr>
            <w:tcW w:w="643" w:type="dxa"/>
            <w:vAlign w:val="center"/>
          </w:tcPr>
          <w:p w14:paraId="7BA2CA82" w14:textId="6CA157D7"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1.2</w:t>
            </w:r>
          </w:p>
        </w:tc>
        <w:tc>
          <w:tcPr>
            <w:tcW w:w="644" w:type="dxa"/>
            <w:vAlign w:val="center"/>
          </w:tcPr>
          <w:p w14:paraId="2F3FE1DA" w14:textId="6A688900"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1.1</w:t>
            </w:r>
          </w:p>
        </w:tc>
        <w:tc>
          <w:tcPr>
            <w:tcW w:w="643" w:type="dxa"/>
            <w:vAlign w:val="center"/>
          </w:tcPr>
          <w:p w14:paraId="40C82F01" w14:textId="480CF783"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1.1</w:t>
            </w:r>
          </w:p>
        </w:tc>
        <w:tc>
          <w:tcPr>
            <w:tcW w:w="644" w:type="dxa"/>
            <w:vAlign w:val="center"/>
          </w:tcPr>
          <w:p w14:paraId="5AC005CA" w14:textId="36EDB4E2"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1.0</w:t>
            </w:r>
          </w:p>
        </w:tc>
      </w:tr>
      <w:tr w:rsidR="00996F64" w:rsidRPr="0046635F" w14:paraId="4522B7FB" w14:textId="77777777" w:rsidTr="00996F64">
        <w:trPr>
          <w:trHeight w:val="240"/>
        </w:trPr>
        <w:tc>
          <w:tcPr>
            <w:tcW w:w="2426" w:type="dxa"/>
            <w:tcBorders>
              <w:right w:val="single" w:sz="4" w:space="0" w:color="auto"/>
            </w:tcBorders>
            <w:shd w:val="clear" w:color="auto" w:fill="auto"/>
            <w:noWrap/>
            <w:vAlign w:val="center"/>
            <w:hideMark/>
          </w:tcPr>
          <w:p w14:paraId="2160FA47" w14:textId="77777777" w:rsidR="00996F64" w:rsidRPr="0046635F" w:rsidRDefault="00996F64" w:rsidP="00996F64">
            <w:pPr>
              <w:rPr>
                <w:rFonts w:ascii="Arial" w:eastAsia="Times New Roman" w:hAnsi="Arial" w:cs="Arial"/>
                <w:sz w:val="17"/>
                <w:szCs w:val="17"/>
                <w:lang w:eastAsia="en-GB"/>
              </w:rPr>
            </w:pPr>
            <w:r w:rsidRPr="0046635F">
              <w:rPr>
                <w:rFonts w:ascii="Arial" w:eastAsia="Times New Roman" w:hAnsi="Arial" w:cs="Arial"/>
                <w:sz w:val="17"/>
                <w:szCs w:val="17"/>
                <w:lang w:eastAsia="en-GB"/>
              </w:rPr>
              <w:t xml:space="preserve">Transport, storage, </w:t>
            </w:r>
            <w:proofErr w:type="spellStart"/>
            <w:r w:rsidRPr="0046635F">
              <w:rPr>
                <w:rFonts w:ascii="Arial" w:eastAsia="Times New Roman" w:hAnsi="Arial" w:cs="Arial"/>
                <w:sz w:val="17"/>
                <w:szCs w:val="17"/>
                <w:lang w:eastAsia="en-GB"/>
              </w:rPr>
              <w:t>comms</w:t>
            </w:r>
            <w:proofErr w:type="spellEnd"/>
          </w:p>
        </w:tc>
        <w:tc>
          <w:tcPr>
            <w:tcW w:w="642" w:type="dxa"/>
            <w:tcBorders>
              <w:left w:val="single" w:sz="4" w:space="0" w:color="auto"/>
            </w:tcBorders>
            <w:vAlign w:val="center"/>
          </w:tcPr>
          <w:p w14:paraId="206E2753" w14:textId="5FB65E49"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9.0</w:t>
            </w:r>
          </w:p>
        </w:tc>
        <w:tc>
          <w:tcPr>
            <w:tcW w:w="643" w:type="dxa"/>
            <w:vAlign w:val="center"/>
          </w:tcPr>
          <w:p w14:paraId="3CE7511A" w14:textId="724C12D3"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9.6</w:t>
            </w:r>
          </w:p>
        </w:tc>
        <w:tc>
          <w:tcPr>
            <w:tcW w:w="642" w:type="dxa"/>
            <w:vAlign w:val="center"/>
          </w:tcPr>
          <w:p w14:paraId="111F23E5" w14:textId="6B7B0F9A"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8.5</w:t>
            </w:r>
          </w:p>
        </w:tc>
        <w:tc>
          <w:tcPr>
            <w:tcW w:w="643" w:type="dxa"/>
            <w:vAlign w:val="center"/>
          </w:tcPr>
          <w:p w14:paraId="72B0CCAC" w14:textId="6B1276D0"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8.1</w:t>
            </w:r>
          </w:p>
        </w:tc>
        <w:tc>
          <w:tcPr>
            <w:tcW w:w="642" w:type="dxa"/>
            <w:vAlign w:val="center"/>
          </w:tcPr>
          <w:p w14:paraId="03A8E371" w14:textId="3E64EABF"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9.0</w:t>
            </w:r>
          </w:p>
        </w:tc>
        <w:tc>
          <w:tcPr>
            <w:tcW w:w="643" w:type="dxa"/>
            <w:tcBorders>
              <w:right w:val="single" w:sz="4" w:space="0" w:color="auto"/>
            </w:tcBorders>
            <w:vAlign w:val="center"/>
          </w:tcPr>
          <w:p w14:paraId="012A0A65" w14:textId="408E6B7E"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6.8</w:t>
            </w:r>
          </w:p>
        </w:tc>
        <w:tc>
          <w:tcPr>
            <w:tcW w:w="642" w:type="dxa"/>
            <w:tcBorders>
              <w:left w:val="single" w:sz="4" w:space="0" w:color="auto"/>
            </w:tcBorders>
            <w:vAlign w:val="center"/>
          </w:tcPr>
          <w:p w14:paraId="44DD7BD7" w14:textId="1527905B"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n/a</w:t>
            </w:r>
          </w:p>
        </w:tc>
        <w:tc>
          <w:tcPr>
            <w:tcW w:w="644" w:type="dxa"/>
            <w:vAlign w:val="center"/>
          </w:tcPr>
          <w:p w14:paraId="7FE4B4F4" w14:textId="2C4DCC33"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0.9</w:t>
            </w:r>
          </w:p>
        </w:tc>
        <w:tc>
          <w:tcPr>
            <w:tcW w:w="643" w:type="dxa"/>
            <w:vAlign w:val="center"/>
          </w:tcPr>
          <w:p w14:paraId="03FEF5BF" w14:textId="0E871FBB"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0.7</w:t>
            </w:r>
          </w:p>
        </w:tc>
        <w:tc>
          <w:tcPr>
            <w:tcW w:w="644" w:type="dxa"/>
            <w:vAlign w:val="center"/>
          </w:tcPr>
          <w:p w14:paraId="672652A9" w14:textId="7C7A616A"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1.2</w:t>
            </w:r>
          </w:p>
        </w:tc>
        <w:tc>
          <w:tcPr>
            <w:tcW w:w="643" w:type="dxa"/>
            <w:vAlign w:val="center"/>
          </w:tcPr>
          <w:p w14:paraId="443E1907" w14:textId="5B17B19C"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1.5</w:t>
            </w:r>
          </w:p>
        </w:tc>
        <w:tc>
          <w:tcPr>
            <w:tcW w:w="644" w:type="dxa"/>
            <w:tcBorders>
              <w:right w:val="single" w:sz="4" w:space="0" w:color="auto"/>
            </w:tcBorders>
            <w:vAlign w:val="center"/>
          </w:tcPr>
          <w:p w14:paraId="1D52F025" w14:textId="3D83A723"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1.7</w:t>
            </w:r>
          </w:p>
        </w:tc>
        <w:tc>
          <w:tcPr>
            <w:tcW w:w="643" w:type="dxa"/>
            <w:tcBorders>
              <w:left w:val="single" w:sz="4" w:space="0" w:color="auto"/>
            </w:tcBorders>
            <w:vAlign w:val="center"/>
          </w:tcPr>
          <w:p w14:paraId="11D383AD" w14:textId="72ED236D"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n/a</w:t>
            </w:r>
          </w:p>
        </w:tc>
        <w:tc>
          <w:tcPr>
            <w:tcW w:w="644" w:type="dxa"/>
            <w:vAlign w:val="center"/>
          </w:tcPr>
          <w:p w14:paraId="7A6F3B37" w14:textId="0596DC21"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7.4</w:t>
            </w:r>
          </w:p>
        </w:tc>
        <w:tc>
          <w:tcPr>
            <w:tcW w:w="643" w:type="dxa"/>
            <w:vAlign w:val="center"/>
          </w:tcPr>
          <w:p w14:paraId="183FB61A" w14:textId="004051ED"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11.3</w:t>
            </w:r>
          </w:p>
        </w:tc>
        <w:tc>
          <w:tcPr>
            <w:tcW w:w="644" w:type="dxa"/>
            <w:vAlign w:val="center"/>
          </w:tcPr>
          <w:p w14:paraId="5F39C65B" w14:textId="6BAAFF3E"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7.0</w:t>
            </w:r>
          </w:p>
        </w:tc>
        <w:tc>
          <w:tcPr>
            <w:tcW w:w="643" w:type="dxa"/>
            <w:vAlign w:val="center"/>
          </w:tcPr>
          <w:p w14:paraId="467B72C4" w14:textId="3C6A8D3B"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6.4</w:t>
            </w:r>
          </w:p>
        </w:tc>
        <w:tc>
          <w:tcPr>
            <w:tcW w:w="644" w:type="dxa"/>
            <w:vAlign w:val="center"/>
          </w:tcPr>
          <w:p w14:paraId="08EE9DA7" w14:textId="7AF7C30A"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6.3</w:t>
            </w:r>
          </w:p>
        </w:tc>
      </w:tr>
      <w:tr w:rsidR="00996F64" w:rsidRPr="0046635F" w14:paraId="5986561F" w14:textId="77777777" w:rsidTr="00996F64">
        <w:trPr>
          <w:trHeight w:val="240"/>
        </w:trPr>
        <w:tc>
          <w:tcPr>
            <w:tcW w:w="2426" w:type="dxa"/>
            <w:tcBorders>
              <w:bottom w:val="single" w:sz="4" w:space="0" w:color="auto"/>
              <w:right w:val="single" w:sz="4" w:space="0" w:color="auto"/>
            </w:tcBorders>
            <w:shd w:val="clear" w:color="auto" w:fill="auto"/>
            <w:noWrap/>
            <w:vAlign w:val="center"/>
            <w:hideMark/>
          </w:tcPr>
          <w:p w14:paraId="5FF8E762" w14:textId="77777777" w:rsidR="00996F64" w:rsidRPr="0046635F" w:rsidRDefault="00996F64" w:rsidP="00996F64">
            <w:pPr>
              <w:rPr>
                <w:rFonts w:ascii="Arial" w:eastAsia="Times New Roman" w:hAnsi="Arial" w:cs="Arial"/>
                <w:sz w:val="17"/>
                <w:szCs w:val="17"/>
                <w:lang w:eastAsia="en-GB"/>
              </w:rPr>
            </w:pPr>
            <w:r w:rsidRPr="0046635F">
              <w:rPr>
                <w:rFonts w:ascii="Arial" w:eastAsia="Times New Roman" w:hAnsi="Arial" w:cs="Arial"/>
                <w:sz w:val="17"/>
                <w:szCs w:val="17"/>
                <w:lang w:eastAsia="en-GB"/>
              </w:rPr>
              <w:t>Other</w:t>
            </w:r>
          </w:p>
        </w:tc>
        <w:tc>
          <w:tcPr>
            <w:tcW w:w="642" w:type="dxa"/>
            <w:tcBorders>
              <w:left w:val="single" w:sz="4" w:space="0" w:color="auto"/>
              <w:bottom w:val="single" w:sz="4" w:space="0" w:color="auto"/>
            </w:tcBorders>
            <w:vAlign w:val="center"/>
          </w:tcPr>
          <w:p w14:paraId="6AD17437" w14:textId="32BE8CE7"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40.4</w:t>
            </w:r>
          </w:p>
        </w:tc>
        <w:tc>
          <w:tcPr>
            <w:tcW w:w="643" w:type="dxa"/>
            <w:tcBorders>
              <w:bottom w:val="single" w:sz="4" w:space="0" w:color="auto"/>
            </w:tcBorders>
            <w:vAlign w:val="center"/>
          </w:tcPr>
          <w:p w14:paraId="0064451D" w14:textId="5330425F"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27.4</w:t>
            </w:r>
          </w:p>
        </w:tc>
        <w:tc>
          <w:tcPr>
            <w:tcW w:w="642" w:type="dxa"/>
            <w:tcBorders>
              <w:bottom w:val="single" w:sz="4" w:space="0" w:color="auto"/>
            </w:tcBorders>
            <w:vAlign w:val="center"/>
          </w:tcPr>
          <w:p w14:paraId="21BC2900" w14:textId="7D6F2926"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29.4</w:t>
            </w:r>
          </w:p>
        </w:tc>
        <w:tc>
          <w:tcPr>
            <w:tcW w:w="643" w:type="dxa"/>
            <w:tcBorders>
              <w:bottom w:val="single" w:sz="4" w:space="0" w:color="auto"/>
            </w:tcBorders>
            <w:vAlign w:val="center"/>
          </w:tcPr>
          <w:p w14:paraId="4A7DB912" w14:textId="2C8A9390"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29.4</w:t>
            </w:r>
          </w:p>
        </w:tc>
        <w:tc>
          <w:tcPr>
            <w:tcW w:w="642" w:type="dxa"/>
            <w:tcBorders>
              <w:bottom w:val="single" w:sz="4" w:space="0" w:color="auto"/>
            </w:tcBorders>
            <w:vAlign w:val="center"/>
          </w:tcPr>
          <w:p w14:paraId="5431C81F" w14:textId="5B4BBF6C"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25.5</w:t>
            </w:r>
          </w:p>
        </w:tc>
        <w:tc>
          <w:tcPr>
            <w:tcW w:w="643" w:type="dxa"/>
            <w:tcBorders>
              <w:bottom w:val="single" w:sz="4" w:space="0" w:color="auto"/>
              <w:right w:val="single" w:sz="4" w:space="0" w:color="auto"/>
            </w:tcBorders>
            <w:vAlign w:val="center"/>
          </w:tcPr>
          <w:p w14:paraId="14D72C46" w14:textId="03FB7059"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24.5</w:t>
            </w:r>
          </w:p>
        </w:tc>
        <w:tc>
          <w:tcPr>
            <w:tcW w:w="642" w:type="dxa"/>
            <w:tcBorders>
              <w:left w:val="single" w:sz="4" w:space="0" w:color="auto"/>
              <w:bottom w:val="single" w:sz="4" w:space="0" w:color="auto"/>
            </w:tcBorders>
            <w:vAlign w:val="center"/>
          </w:tcPr>
          <w:p w14:paraId="1DCA3932" w14:textId="41E87E03"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n/a</w:t>
            </w:r>
          </w:p>
        </w:tc>
        <w:tc>
          <w:tcPr>
            <w:tcW w:w="644" w:type="dxa"/>
            <w:tcBorders>
              <w:bottom w:val="single" w:sz="4" w:space="0" w:color="auto"/>
            </w:tcBorders>
            <w:vAlign w:val="center"/>
          </w:tcPr>
          <w:p w14:paraId="7200FCBE" w14:textId="689A5D0B"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6.8</w:t>
            </w:r>
          </w:p>
        </w:tc>
        <w:tc>
          <w:tcPr>
            <w:tcW w:w="643" w:type="dxa"/>
            <w:tcBorders>
              <w:bottom w:val="single" w:sz="4" w:space="0" w:color="auto"/>
            </w:tcBorders>
            <w:vAlign w:val="center"/>
          </w:tcPr>
          <w:p w14:paraId="2AECED1A" w14:textId="08E89177"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7.2</w:t>
            </w:r>
          </w:p>
        </w:tc>
        <w:tc>
          <w:tcPr>
            <w:tcW w:w="644" w:type="dxa"/>
            <w:tcBorders>
              <w:bottom w:val="single" w:sz="4" w:space="0" w:color="auto"/>
            </w:tcBorders>
            <w:vAlign w:val="center"/>
          </w:tcPr>
          <w:p w14:paraId="5E50BD75" w14:textId="686FABCD"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7.9</w:t>
            </w:r>
          </w:p>
        </w:tc>
        <w:tc>
          <w:tcPr>
            <w:tcW w:w="643" w:type="dxa"/>
            <w:tcBorders>
              <w:bottom w:val="single" w:sz="4" w:space="0" w:color="auto"/>
            </w:tcBorders>
            <w:vAlign w:val="center"/>
          </w:tcPr>
          <w:p w14:paraId="5A81287D" w14:textId="19701643"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8.7</w:t>
            </w:r>
          </w:p>
        </w:tc>
        <w:tc>
          <w:tcPr>
            <w:tcW w:w="644" w:type="dxa"/>
            <w:tcBorders>
              <w:bottom w:val="single" w:sz="4" w:space="0" w:color="auto"/>
              <w:right w:val="single" w:sz="4" w:space="0" w:color="auto"/>
            </w:tcBorders>
            <w:vAlign w:val="center"/>
          </w:tcPr>
          <w:p w14:paraId="27FB2E56" w14:textId="741E52D5" w:rsidR="00996F64" w:rsidRPr="0046635F" w:rsidRDefault="00996F6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9.4</w:t>
            </w:r>
          </w:p>
        </w:tc>
        <w:tc>
          <w:tcPr>
            <w:tcW w:w="643" w:type="dxa"/>
            <w:tcBorders>
              <w:left w:val="single" w:sz="4" w:space="0" w:color="auto"/>
              <w:bottom w:val="single" w:sz="4" w:space="0" w:color="auto"/>
            </w:tcBorders>
            <w:vAlign w:val="center"/>
          </w:tcPr>
          <w:p w14:paraId="6A2D546F" w14:textId="7B91C6F7"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n/a</w:t>
            </w:r>
          </w:p>
        </w:tc>
        <w:tc>
          <w:tcPr>
            <w:tcW w:w="644" w:type="dxa"/>
            <w:tcBorders>
              <w:bottom w:val="single" w:sz="4" w:space="0" w:color="auto"/>
            </w:tcBorders>
            <w:vAlign w:val="center"/>
          </w:tcPr>
          <w:p w14:paraId="680D1331" w14:textId="70CC0D24"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4.6</w:t>
            </w:r>
          </w:p>
        </w:tc>
        <w:tc>
          <w:tcPr>
            <w:tcW w:w="643" w:type="dxa"/>
            <w:tcBorders>
              <w:bottom w:val="single" w:sz="4" w:space="0" w:color="auto"/>
            </w:tcBorders>
            <w:vAlign w:val="center"/>
          </w:tcPr>
          <w:p w14:paraId="58A63C14" w14:textId="3E272B16"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4.0</w:t>
            </w:r>
          </w:p>
        </w:tc>
        <w:tc>
          <w:tcPr>
            <w:tcW w:w="644" w:type="dxa"/>
            <w:tcBorders>
              <w:bottom w:val="single" w:sz="4" w:space="0" w:color="auto"/>
            </w:tcBorders>
            <w:vAlign w:val="center"/>
          </w:tcPr>
          <w:p w14:paraId="7C5BC013" w14:textId="1624F631"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3.7</w:t>
            </w:r>
          </w:p>
        </w:tc>
        <w:tc>
          <w:tcPr>
            <w:tcW w:w="643" w:type="dxa"/>
            <w:tcBorders>
              <w:bottom w:val="single" w:sz="4" w:space="0" w:color="auto"/>
            </w:tcBorders>
            <w:vAlign w:val="center"/>
          </w:tcPr>
          <w:p w14:paraId="66E49FEC" w14:textId="63F9700F"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3.2</w:t>
            </w:r>
          </w:p>
        </w:tc>
        <w:tc>
          <w:tcPr>
            <w:tcW w:w="644" w:type="dxa"/>
            <w:tcBorders>
              <w:bottom w:val="single" w:sz="4" w:space="0" w:color="auto"/>
            </w:tcBorders>
            <w:vAlign w:val="center"/>
          </w:tcPr>
          <w:p w14:paraId="6BD806B6" w14:textId="11ABD1EB" w:rsidR="00996F64" w:rsidRPr="0046635F" w:rsidRDefault="00996F6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3.0</w:t>
            </w:r>
          </w:p>
        </w:tc>
      </w:tr>
      <w:tr w:rsidR="00996F64" w:rsidRPr="0046635F" w14:paraId="4614FD32" w14:textId="77777777" w:rsidTr="00996F64">
        <w:trPr>
          <w:trHeight w:val="240"/>
        </w:trPr>
        <w:tc>
          <w:tcPr>
            <w:tcW w:w="2426" w:type="dxa"/>
            <w:tcBorders>
              <w:bottom w:val="single" w:sz="4" w:space="0" w:color="auto"/>
              <w:right w:val="single" w:sz="4" w:space="0" w:color="auto"/>
            </w:tcBorders>
            <w:shd w:val="clear" w:color="auto" w:fill="auto"/>
            <w:noWrap/>
            <w:vAlign w:val="center"/>
            <w:hideMark/>
          </w:tcPr>
          <w:p w14:paraId="11A2D395" w14:textId="77777777" w:rsidR="00996F64" w:rsidRPr="0046635F" w:rsidRDefault="00996F64" w:rsidP="00996F64">
            <w:pPr>
              <w:rPr>
                <w:rFonts w:ascii="Arial" w:eastAsia="Times New Roman" w:hAnsi="Arial" w:cs="Arial"/>
                <w:b/>
                <w:iCs/>
                <w:sz w:val="17"/>
                <w:szCs w:val="17"/>
                <w:lang w:eastAsia="en-GB"/>
              </w:rPr>
            </w:pPr>
            <w:r w:rsidRPr="0046635F">
              <w:rPr>
                <w:rFonts w:ascii="Arial" w:eastAsia="Times New Roman" w:hAnsi="Arial" w:cs="Arial"/>
                <w:b/>
                <w:iCs/>
                <w:sz w:val="17"/>
                <w:szCs w:val="17"/>
                <w:lang w:eastAsia="en-GB"/>
              </w:rPr>
              <w:t xml:space="preserve">Total </w:t>
            </w:r>
          </w:p>
        </w:tc>
        <w:tc>
          <w:tcPr>
            <w:tcW w:w="642" w:type="dxa"/>
            <w:tcBorders>
              <w:left w:val="single" w:sz="4" w:space="0" w:color="auto"/>
              <w:bottom w:val="single" w:sz="4" w:space="0" w:color="auto"/>
            </w:tcBorders>
            <w:shd w:val="clear" w:color="auto" w:fill="auto"/>
            <w:vAlign w:val="center"/>
          </w:tcPr>
          <w:p w14:paraId="2E9BB952" w14:textId="6011BF33" w:rsidR="00996F64" w:rsidRPr="0046635F" w:rsidRDefault="00996F64" w:rsidP="00996F64">
            <w:pPr>
              <w:ind w:left="72" w:right="72"/>
              <w:jc w:val="right"/>
              <w:rPr>
                <w:rFonts w:ascii="Arial" w:eastAsia="Times New Roman" w:hAnsi="Arial" w:cs="Arial"/>
                <w:b/>
                <w:sz w:val="17"/>
                <w:szCs w:val="17"/>
                <w:lang w:eastAsia="en-GB"/>
              </w:rPr>
            </w:pPr>
            <w:r w:rsidRPr="0046635F">
              <w:rPr>
                <w:rFonts w:ascii="Arial" w:eastAsia="Times New Roman" w:hAnsi="Arial" w:cs="Arial"/>
                <w:b/>
                <w:sz w:val="17"/>
                <w:szCs w:val="17"/>
                <w:lang w:eastAsia="en-GB"/>
              </w:rPr>
              <w:t>100</w:t>
            </w:r>
          </w:p>
        </w:tc>
        <w:tc>
          <w:tcPr>
            <w:tcW w:w="643" w:type="dxa"/>
            <w:tcBorders>
              <w:bottom w:val="single" w:sz="4" w:space="0" w:color="auto"/>
            </w:tcBorders>
            <w:vAlign w:val="center"/>
          </w:tcPr>
          <w:p w14:paraId="27214F7D" w14:textId="77777777" w:rsidR="00996F64" w:rsidRPr="0046635F" w:rsidRDefault="00996F64" w:rsidP="00996F64">
            <w:pPr>
              <w:ind w:left="72" w:right="72"/>
              <w:jc w:val="right"/>
              <w:rPr>
                <w:rFonts w:ascii="Arial" w:eastAsia="Times New Roman" w:hAnsi="Arial" w:cs="Arial"/>
                <w:b/>
                <w:sz w:val="17"/>
                <w:szCs w:val="17"/>
                <w:lang w:eastAsia="en-GB"/>
              </w:rPr>
            </w:pPr>
            <w:r w:rsidRPr="0046635F">
              <w:rPr>
                <w:rFonts w:ascii="Arial" w:eastAsia="Times New Roman" w:hAnsi="Arial" w:cs="Arial"/>
                <w:b/>
                <w:bCs/>
                <w:sz w:val="17"/>
                <w:szCs w:val="17"/>
                <w:lang w:eastAsia="en-GB"/>
              </w:rPr>
              <w:t>100</w:t>
            </w:r>
          </w:p>
        </w:tc>
        <w:tc>
          <w:tcPr>
            <w:tcW w:w="642" w:type="dxa"/>
            <w:tcBorders>
              <w:bottom w:val="single" w:sz="4" w:space="0" w:color="auto"/>
            </w:tcBorders>
            <w:vAlign w:val="center"/>
          </w:tcPr>
          <w:p w14:paraId="43F339F0" w14:textId="77777777" w:rsidR="00996F64" w:rsidRPr="0046635F" w:rsidRDefault="00996F64" w:rsidP="00996F64">
            <w:pPr>
              <w:ind w:left="72" w:right="72"/>
              <w:jc w:val="right"/>
              <w:rPr>
                <w:rFonts w:ascii="Arial" w:eastAsia="Times New Roman" w:hAnsi="Arial" w:cs="Arial"/>
                <w:b/>
                <w:sz w:val="17"/>
                <w:szCs w:val="17"/>
                <w:lang w:eastAsia="en-GB"/>
              </w:rPr>
            </w:pPr>
            <w:r w:rsidRPr="0046635F">
              <w:rPr>
                <w:rFonts w:ascii="Arial" w:eastAsia="Times New Roman" w:hAnsi="Arial" w:cs="Arial"/>
                <w:b/>
                <w:bCs/>
                <w:sz w:val="17"/>
                <w:szCs w:val="17"/>
                <w:lang w:eastAsia="en-GB"/>
              </w:rPr>
              <w:t>100</w:t>
            </w:r>
          </w:p>
        </w:tc>
        <w:tc>
          <w:tcPr>
            <w:tcW w:w="643" w:type="dxa"/>
            <w:tcBorders>
              <w:bottom w:val="single" w:sz="4" w:space="0" w:color="auto"/>
            </w:tcBorders>
            <w:vAlign w:val="center"/>
          </w:tcPr>
          <w:p w14:paraId="6502899F" w14:textId="77777777" w:rsidR="00996F64" w:rsidRPr="0046635F" w:rsidRDefault="00996F64" w:rsidP="00996F64">
            <w:pPr>
              <w:ind w:left="72" w:right="72"/>
              <w:jc w:val="right"/>
              <w:rPr>
                <w:rFonts w:ascii="Arial" w:eastAsia="Times New Roman" w:hAnsi="Arial" w:cs="Arial"/>
                <w:b/>
                <w:sz w:val="17"/>
                <w:szCs w:val="17"/>
                <w:lang w:eastAsia="en-GB"/>
              </w:rPr>
            </w:pPr>
            <w:r w:rsidRPr="0046635F">
              <w:rPr>
                <w:rFonts w:ascii="Arial" w:eastAsia="Times New Roman" w:hAnsi="Arial" w:cs="Arial"/>
                <w:b/>
                <w:bCs/>
                <w:sz w:val="17"/>
                <w:szCs w:val="17"/>
                <w:lang w:eastAsia="en-GB"/>
              </w:rPr>
              <w:t>100</w:t>
            </w:r>
          </w:p>
        </w:tc>
        <w:tc>
          <w:tcPr>
            <w:tcW w:w="642" w:type="dxa"/>
            <w:tcBorders>
              <w:bottom w:val="single" w:sz="4" w:space="0" w:color="auto"/>
            </w:tcBorders>
            <w:vAlign w:val="center"/>
          </w:tcPr>
          <w:p w14:paraId="2D668602" w14:textId="77777777" w:rsidR="00996F64" w:rsidRPr="0046635F" w:rsidRDefault="00996F64" w:rsidP="00996F64">
            <w:pPr>
              <w:ind w:left="72" w:right="72"/>
              <w:jc w:val="right"/>
              <w:rPr>
                <w:rFonts w:ascii="Arial" w:eastAsia="Times New Roman" w:hAnsi="Arial" w:cs="Arial"/>
                <w:b/>
                <w:sz w:val="17"/>
                <w:szCs w:val="17"/>
                <w:lang w:eastAsia="en-GB"/>
              </w:rPr>
            </w:pPr>
            <w:r w:rsidRPr="0046635F">
              <w:rPr>
                <w:rFonts w:ascii="Arial" w:eastAsia="Times New Roman" w:hAnsi="Arial" w:cs="Arial"/>
                <w:b/>
                <w:bCs/>
                <w:sz w:val="17"/>
                <w:szCs w:val="17"/>
                <w:lang w:eastAsia="en-GB"/>
              </w:rPr>
              <w:t>100</w:t>
            </w:r>
          </w:p>
        </w:tc>
        <w:tc>
          <w:tcPr>
            <w:tcW w:w="643" w:type="dxa"/>
            <w:tcBorders>
              <w:bottom w:val="single" w:sz="4" w:space="0" w:color="auto"/>
              <w:right w:val="single" w:sz="4" w:space="0" w:color="auto"/>
            </w:tcBorders>
            <w:vAlign w:val="center"/>
          </w:tcPr>
          <w:p w14:paraId="512FCE1F" w14:textId="77777777" w:rsidR="00996F64" w:rsidRPr="0046635F" w:rsidRDefault="00996F64" w:rsidP="00996F64">
            <w:pPr>
              <w:ind w:left="72" w:right="72"/>
              <w:jc w:val="right"/>
              <w:rPr>
                <w:rFonts w:ascii="Arial" w:eastAsia="Times New Roman" w:hAnsi="Arial" w:cs="Arial"/>
                <w:b/>
                <w:sz w:val="17"/>
                <w:szCs w:val="17"/>
                <w:lang w:eastAsia="en-GB"/>
              </w:rPr>
            </w:pPr>
            <w:r w:rsidRPr="0046635F">
              <w:rPr>
                <w:rFonts w:ascii="Arial" w:eastAsia="Times New Roman" w:hAnsi="Arial" w:cs="Arial"/>
                <w:b/>
                <w:bCs/>
                <w:sz w:val="17"/>
                <w:szCs w:val="17"/>
                <w:lang w:eastAsia="en-GB"/>
              </w:rPr>
              <w:t>100</w:t>
            </w:r>
          </w:p>
        </w:tc>
        <w:tc>
          <w:tcPr>
            <w:tcW w:w="642" w:type="dxa"/>
            <w:tcBorders>
              <w:left w:val="single" w:sz="4" w:space="0" w:color="auto"/>
              <w:bottom w:val="single" w:sz="4" w:space="0" w:color="auto"/>
            </w:tcBorders>
            <w:vAlign w:val="center"/>
          </w:tcPr>
          <w:p w14:paraId="32035B79" w14:textId="77777777" w:rsidR="00996F64" w:rsidRPr="0046635F" w:rsidRDefault="00996F64" w:rsidP="00996F64">
            <w:pPr>
              <w:ind w:left="72" w:right="72"/>
              <w:jc w:val="right"/>
              <w:rPr>
                <w:rFonts w:ascii="Arial" w:hAnsi="Arial" w:cs="Arial"/>
                <w:b/>
                <w:iCs/>
                <w:sz w:val="17"/>
                <w:szCs w:val="17"/>
              </w:rPr>
            </w:pPr>
            <w:r w:rsidRPr="0046635F">
              <w:rPr>
                <w:rFonts w:ascii="Arial" w:eastAsia="Times New Roman" w:hAnsi="Arial" w:cs="Arial"/>
                <w:b/>
                <w:iCs/>
                <w:sz w:val="17"/>
                <w:szCs w:val="17"/>
                <w:lang w:eastAsia="en-GB"/>
              </w:rPr>
              <w:t>n/a</w:t>
            </w:r>
          </w:p>
        </w:tc>
        <w:tc>
          <w:tcPr>
            <w:tcW w:w="644" w:type="dxa"/>
            <w:tcBorders>
              <w:bottom w:val="single" w:sz="4" w:space="0" w:color="auto"/>
            </w:tcBorders>
            <w:vAlign w:val="center"/>
          </w:tcPr>
          <w:p w14:paraId="45D8ED20" w14:textId="77777777" w:rsidR="00996F64" w:rsidRPr="0046635F" w:rsidRDefault="00996F64" w:rsidP="00996F64">
            <w:pPr>
              <w:ind w:left="72" w:right="72"/>
              <w:jc w:val="right"/>
              <w:rPr>
                <w:rFonts w:ascii="Arial" w:hAnsi="Arial" w:cs="Arial"/>
                <w:b/>
                <w:iCs/>
                <w:sz w:val="17"/>
                <w:szCs w:val="17"/>
              </w:rPr>
            </w:pPr>
            <w:r w:rsidRPr="0046635F">
              <w:rPr>
                <w:rFonts w:ascii="Arial" w:eastAsia="Times New Roman" w:hAnsi="Arial" w:cs="Arial"/>
                <w:b/>
                <w:iCs/>
                <w:sz w:val="17"/>
                <w:szCs w:val="17"/>
                <w:lang w:eastAsia="en-GB"/>
              </w:rPr>
              <w:t>100</w:t>
            </w:r>
          </w:p>
        </w:tc>
        <w:tc>
          <w:tcPr>
            <w:tcW w:w="643" w:type="dxa"/>
            <w:tcBorders>
              <w:bottom w:val="single" w:sz="4" w:space="0" w:color="auto"/>
            </w:tcBorders>
            <w:vAlign w:val="center"/>
          </w:tcPr>
          <w:p w14:paraId="2E0DB8FF" w14:textId="77777777" w:rsidR="00996F64" w:rsidRPr="0046635F" w:rsidRDefault="00996F64" w:rsidP="00996F64">
            <w:pPr>
              <w:ind w:left="72" w:right="72"/>
              <w:jc w:val="right"/>
              <w:rPr>
                <w:rFonts w:ascii="Arial" w:hAnsi="Arial" w:cs="Arial"/>
                <w:b/>
                <w:iCs/>
                <w:sz w:val="17"/>
                <w:szCs w:val="17"/>
              </w:rPr>
            </w:pPr>
            <w:r w:rsidRPr="0046635F">
              <w:rPr>
                <w:rFonts w:ascii="Arial" w:eastAsia="Times New Roman" w:hAnsi="Arial" w:cs="Arial"/>
                <w:b/>
                <w:iCs/>
                <w:sz w:val="17"/>
                <w:szCs w:val="17"/>
                <w:lang w:eastAsia="en-GB"/>
              </w:rPr>
              <w:t>100</w:t>
            </w:r>
          </w:p>
        </w:tc>
        <w:tc>
          <w:tcPr>
            <w:tcW w:w="644" w:type="dxa"/>
            <w:tcBorders>
              <w:bottom w:val="single" w:sz="4" w:space="0" w:color="auto"/>
            </w:tcBorders>
            <w:vAlign w:val="center"/>
          </w:tcPr>
          <w:p w14:paraId="5F7ED657" w14:textId="77777777" w:rsidR="00996F64" w:rsidRPr="0046635F" w:rsidRDefault="00996F64" w:rsidP="00996F64">
            <w:pPr>
              <w:ind w:left="72" w:right="72"/>
              <w:jc w:val="right"/>
              <w:rPr>
                <w:rFonts w:ascii="Arial" w:hAnsi="Arial" w:cs="Arial"/>
                <w:b/>
                <w:iCs/>
                <w:sz w:val="17"/>
                <w:szCs w:val="17"/>
              </w:rPr>
            </w:pPr>
            <w:r w:rsidRPr="0046635F">
              <w:rPr>
                <w:rFonts w:ascii="Arial" w:eastAsia="Times New Roman" w:hAnsi="Arial" w:cs="Arial"/>
                <w:b/>
                <w:iCs/>
                <w:sz w:val="17"/>
                <w:szCs w:val="17"/>
                <w:lang w:eastAsia="en-GB"/>
              </w:rPr>
              <w:t>100</w:t>
            </w:r>
          </w:p>
        </w:tc>
        <w:tc>
          <w:tcPr>
            <w:tcW w:w="643" w:type="dxa"/>
            <w:tcBorders>
              <w:bottom w:val="single" w:sz="4" w:space="0" w:color="auto"/>
            </w:tcBorders>
            <w:vAlign w:val="center"/>
          </w:tcPr>
          <w:p w14:paraId="1FF1C14B" w14:textId="77777777" w:rsidR="00996F64" w:rsidRPr="0046635F" w:rsidRDefault="00996F64" w:rsidP="00996F64">
            <w:pPr>
              <w:ind w:left="72" w:right="72"/>
              <w:jc w:val="right"/>
              <w:rPr>
                <w:rFonts w:ascii="Arial" w:hAnsi="Arial" w:cs="Arial"/>
                <w:b/>
                <w:iCs/>
                <w:sz w:val="17"/>
                <w:szCs w:val="17"/>
              </w:rPr>
            </w:pPr>
            <w:r w:rsidRPr="0046635F">
              <w:rPr>
                <w:rFonts w:ascii="Arial" w:eastAsia="Times New Roman" w:hAnsi="Arial" w:cs="Arial"/>
                <w:b/>
                <w:iCs/>
                <w:sz w:val="17"/>
                <w:szCs w:val="17"/>
                <w:lang w:eastAsia="en-GB"/>
              </w:rPr>
              <w:t>100</w:t>
            </w:r>
          </w:p>
        </w:tc>
        <w:tc>
          <w:tcPr>
            <w:tcW w:w="644" w:type="dxa"/>
            <w:tcBorders>
              <w:bottom w:val="single" w:sz="4" w:space="0" w:color="auto"/>
              <w:right w:val="single" w:sz="4" w:space="0" w:color="auto"/>
            </w:tcBorders>
            <w:vAlign w:val="center"/>
          </w:tcPr>
          <w:p w14:paraId="18910D20" w14:textId="77777777" w:rsidR="00996F64" w:rsidRPr="0046635F" w:rsidRDefault="00996F64" w:rsidP="00996F64">
            <w:pPr>
              <w:ind w:left="72" w:right="72"/>
              <w:jc w:val="right"/>
              <w:rPr>
                <w:rFonts w:ascii="Arial" w:hAnsi="Arial" w:cs="Arial"/>
                <w:b/>
                <w:iCs/>
                <w:sz w:val="17"/>
                <w:szCs w:val="17"/>
              </w:rPr>
            </w:pPr>
            <w:r w:rsidRPr="0046635F">
              <w:rPr>
                <w:rFonts w:ascii="Arial" w:eastAsia="Times New Roman" w:hAnsi="Arial" w:cs="Arial"/>
                <w:b/>
                <w:iCs/>
                <w:sz w:val="17"/>
                <w:szCs w:val="17"/>
                <w:lang w:eastAsia="en-GB"/>
              </w:rPr>
              <w:t>100</w:t>
            </w:r>
          </w:p>
        </w:tc>
        <w:tc>
          <w:tcPr>
            <w:tcW w:w="643" w:type="dxa"/>
            <w:tcBorders>
              <w:left w:val="single" w:sz="4" w:space="0" w:color="auto"/>
              <w:bottom w:val="single" w:sz="4" w:space="0" w:color="auto"/>
            </w:tcBorders>
            <w:vAlign w:val="center"/>
          </w:tcPr>
          <w:p w14:paraId="0FB144EB" w14:textId="77777777" w:rsidR="00996F64" w:rsidRPr="0046635F" w:rsidRDefault="00996F64" w:rsidP="00996F64">
            <w:pPr>
              <w:ind w:left="72" w:right="72"/>
              <w:jc w:val="right"/>
              <w:rPr>
                <w:rFonts w:ascii="Arial" w:eastAsia="Times New Roman" w:hAnsi="Arial" w:cs="Arial"/>
                <w:b/>
                <w:iCs/>
                <w:sz w:val="17"/>
                <w:szCs w:val="17"/>
                <w:lang w:eastAsia="en-GB"/>
              </w:rPr>
            </w:pPr>
            <w:r w:rsidRPr="0046635F">
              <w:rPr>
                <w:rFonts w:ascii="Arial" w:eastAsia="Times New Roman" w:hAnsi="Arial" w:cs="Arial"/>
                <w:b/>
                <w:iCs/>
                <w:sz w:val="17"/>
                <w:szCs w:val="17"/>
                <w:lang w:eastAsia="en-GB"/>
              </w:rPr>
              <w:t>n/a</w:t>
            </w:r>
          </w:p>
        </w:tc>
        <w:tc>
          <w:tcPr>
            <w:tcW w:w="644" w:type="dxa"/>
            <w:tcBorders>
              <w:bottom w:val="single" w:sz="4" w:space="0" w:color="auto"/>
            </w:tcBorders>
            <w:vAlign w:val="center"/>
          </w:tcPr>
          <w:p w14:paraId="1EAD9901" w14:textId="77777777" w:rsidR="00996F64" w:rsidRPr="0046635F" w:rsidRDefault="00996F64" w:rsidP="00996F64">
            <w:pPr>
              <w:ind w:left="72" w:right="72"/>
              <w:jc w:val="right"/>
              <w:rPr>
                <w:rFonts w:ascii="Arial" w:eastAsia="Times New Roman" w:hAnsi="Arial" w:cs="Arial"/>
                <w:b/>
                <w:iCs/>
                <w:sz w:val="17"/>
                <w:szCs w:val="17"/>
                <w:lang w:eastAsia="en-GB"/>
              </w:rPr>
            </w:pPr>
            <w:r w:rsidRPr="0046635F">
              <w:rPr>
                <w:rFonts w:ascii="Arial" w:eastAsia="Times New Roman" w:hAnsi="Arial" w:cs="Arial"/>
                <w:b/>
                <w:sz w:val="17"/>
                <w:szCs w:val="17"/>
                <w:lang w:eastAsia="en-GB"/>
              </w:rPr>
              <w:t>1.0</w:t>
            </w:r>
          </w:p>
        </w:tc>
        <w:tc>
          <w:tcPr>
            <w:tcW w:w="643" w:type="dxa"/>
            <w:tcBorders>
              <w:bottom w:val="single" w:sz="4" w:space="0" w:color="auto"/>
            </w:tcBorders>
            <w:vAlign w:val="center"/>
          </w:tcPr>
          <w:p w14:paraId="04D38698" w14:textId="77777777" w:rsidR="00996F64" w:rsidRPr="0046635F" w:rsidRDefault="00996F64" w:rsidP="00996F64">
            <w:pPr>
              <w:ind w:left="72" w:right="72"/>
              <w:jc w:val="right"/>
              <w:rPr>
                <w:rFonts w:ascii="Arial" w:eastAsia="Times New Roman" w:hAnsi="Arial" w:cs="Arial"/>
                <w:b/>
                <w:iCs/>
                <w:sz w:val="17"/>
                <w:szCs w:val="17"/>
                <w:lang w:eastAsia="en-GB"/>
              </w:rPr>
            </w:pPr>
            <w:r w:rsidRPr="0046635F">
              <w:rPr>
                <w:rFonts w:ascii="Arial" w:eastAsia="Times New Roman" w:hAnsi="Arial" w:cs="Arial"/>
                <w:b/>
                <w:sz w:val="17"/>
                <w:szCs w:val="17"/>
                <w:lang w:eastAsia="en-GB"/>
              </w:rPr>
              <w:t>1.0</w:t>
            </w:r>
          </w:p>
        </w:tc>
        <w:tc>
          <w:tcPr>
            <w:tcW w:w="644" w:type="dxa"/>
            <w:tcBorders>
              <w:bottom w:val="single" w:sz="4" w:space="0" w:color="auto"/>
            </w:tcBorders>
            <w:vAlign w:val="center"/>
          </w:tcPr>
          <w:p w14:paraId="41DF36C8" w14:textId="77777777" w:rsidR="00996F64" w:rsidRPr="0046635F" w:rsidRDefault="00996F64" w:rsidP="00996F64">
            <w:pPr>
              <w:ind w:left="72" w:right="72"/>
              <w:jc w:val="right"/>
              <w:rPr>
                <w:rFonts w:ascii="Arial" w:eastAsia="Times New Roman" w:hAnsi="Arial" w:cs="Arial"/>
                <w:b/>
                <w:iCs/>
                <w:sz w:val="17"/>
                <w:szCs w:val="17"/>
                <w:lang w:eastAsia="en-GB"/>
              </w:rPr>
            </w:pPr>
            <w:r w:rsidRPr="0046635F">
              <w:rPr>
                <w:rFonts w:ascii="Arial" w:eastAsia="Times New Roman" w:hAnsi="Arial" w:cs="Arial"/>
                <w:b/>
                <w:sz w:val="17"/>
                <w:szCs w:val="17"/>
                <w:lang w:eastAsia="en-GB"/>
              </w:rPr>
              <w:t>1.0</w:t>
            </w:r>
          </w:p>
        </w:tc>
        <w:tc>
          <w:tcPr>
            <w:tcW w:w="643" w:type="dxa"/>
            <w:tcBorders>
              <w:bottom w:val="single" w:sz="4" w:space="0" w:color="auto"/>
            </w:tcBorders>
            <w:vAlign w:val="center"/>
          </w:tcPr>
          <w:p w14:paraId="2B456E06" w14:textId="77777777" w:rsidR="00996F64" w:rsidRPr="0046635F" w:rsidRDefault="00996F64" w:rsidP="00996F64">
            <w:pPr>
              <w:ind w:left="72" w:right="72"/>
              <w:jc w:val="right"/>
              <w:rPr>
                <w:rFonts w:ascii="Arial" w:eastAsia="Times New Roman" w:hAnsi="Arial" w:cs="Arial"/>
                <w:b/>
                <w:iCs/>
                <w:sz w:val="17"/>
                <w:szCs w:val="17"/>
                <w:lang w:eastAsia="en-GB"/>
              </w:rPr>
            </w:pPr>
            <w:r w:rsidRPr="0046635F">
              <w:rPr>
                <w:rFonts w:ascii="Arial" w:eastAsia="Times New Roman" w:hAnsi="Arial" w:cs="Arial"/>
                <w:b/>
                <w:sz w:val="17"/>
                <w:szCs w:val="17"/>
                <w:lang w:eastAsia="en-GB"/>
              </w:rPr>
              <w:t>1.0</w:t>
            </w:r>
          </w:p>
        </w:tc>
        <w:tc>
          <w:tcPr>
            <w:tcW w:w="644" w:type="dxa"/>
            <w:tcBorders>
              <w:bottom w:val="single" w:sz="4" w:space="0" w:color="auto"/>
            </w:tcBorders>
            <w:vAlign w:val="center"/>
          </w:tcPr>
          <w:p w14:paraId="219AAE14" w14:textId="77777777" w:rsidR="00996F64" w:rsidRPr="0046635F" w:rsidRDefault="00996F64" w:rsidP="00996F64">
            <w:pPr>
              <w:ind w:left="72" w:right="72"/>
              <w:jc w:val="right"/>
              <w:rPr>
                <w:rFonts w:ascii="Arial" w:eastAsia="Times New Roman" w:hAnsi="Arial" w:cs="Arial"/>
                <w:b/>
                <w:iCs/>
                <w:sz w:val="17"/>
                <w:szCs w:val="17"/>
                <w:lang w:eastAsia="en-GB"/>
              </w:rPr>
            </w:pPr>
            <w:r w:rsidRPr="0046635F">
              <w:rPr>
                <w:rFonts w:ascii="Arial" w:eastAsia="Times New Roman" w:hAnsi="Arial" w:cs="Arial"/>
                <w:b/>
                <w:sz w:val="17"/>
                <w:szCs w:val="17"/>
                <w:lang w:eastAsia="en-GB"/>
              </w:rPr>
              <w:t>1.0</w:t>
            </w:r>
          </w:p>
        </w:tc>
      </w:tr>
    </w:tbl>
    <w:p w14:paraId="2E424F64" w14:textId="071E21CD" w:rsidR="00996F64" w:rsidRDefault="00996F64" w:rsidP="00996F64">
      <w:pPr>
        <w:pStyle w:val="Source"/>
      </w:pPr>
      <w:r>
        <w:t>Notes</w:t>
      </w:r>
      <w:proofErr w:type="gramStart"/>
      <w:r>
        <w:t>:</w:t>
      </w:r>
      <w:proofErr w:type="gramEnd"/>
      <w:r>
        <w:br/>
        <w:t>(a) Derived by calculating labour productivity levels (gross value added at constant prices divided by number of persons employed per sector) and expressing the result as a ratio of total economy labour productivity.</w:t>
      </w:r>
      <w:r>
        <w:br/>
        <w:t>Numbers may not sum due to rounding.</w:t>
      </w:r>
      <w:r>
        <w:br/>
        <w:t xml:space="preserve">Source: Authors’ calculations using </w:t>
      </w:r>
      <w:proofErr w:type="spellStart"/>
      <w:r>
        <w:t>UNSD</w:t>
      </w:r>
      <w:proofErr w:type="spellEnd"/>
      <w:r>
        <w:t xml:space="preserve"> </w:t>
      </w:r>
      <w:r w:rsidRPr="00981A1E">
        <w:t>National Accounts Main Aggregates</w:t>
      </w:r>
      <w:r>
        <w:t xml:space="preserve"> data on ‘gross value added by kind of economic activity’ (</w:t>
      </w:r>
      <w:hyperlink r:id="rId18" w:history="1">
        <w:r w:rsidRPr="00981A1E">
          <w:rPr>
            <w:rStyle w:val="Hyperlink"/>
          </w:rPr>
          <w:t>https://data.un.org/search.aspx?q=gross+value+added+datamart%5bsnaama%5d</w:t>
        </w:r>
      </w:hyperlink>
      <w:r>
        <w:t>) and ILO World Employment and Social Outlook (</w:t>
      </w:r>
      <w:proofErr w:type="spellStart"/>
      <w:r>
        <w:t>WESO</w:t>
      </w:r>
      <w:proofErr w:type="spellEnd"/>
      <w:r>
        <w:t>) – Trends 2015 supporting dataset ‘employment by sector and sex’ (</w:t>
      </w:r>
      <w:r w:rsidRPr="00996F64">
        <w:t>http://www.ilo.org/global/research/global-reports/weso/2015/lang--en/index.htm</w:t>
      </w:r>
      <w:r>
        <w:t xml:space="preserve">). NB: the ‘gross value added’ data are an aggregation of the figures for </w:t>
      </w:r>
      <w:r w:rsidRPr="00996F64">
        <w:t>'</w:t>
      </w:r>
      <w:proofErr w:type="spellStart"/>
      <w:r w:rsidRPr="00996F64">
        <w:t>U.R</w:t>
      </w:r>
      <w:proofErr w:type="spellEnd"/>
      <w:r w:rsidRPr="00996F64">
        <w:t>. of Tanzania: Mainland' and 'Zanzibar'</w:t>
      </w:r>
      <w:r>
        <w:t xml:space="preserve">. The employment data relate to ‘Tanzania, United Republic of’. In the </w:t>
      </w:r>
      <w:r w:rsidRPr="00996F64">
        <w:t>'</w:t>
      </w:r>
      <w:proofErr w:type="spellStart"/>
      <w:r w:rsidRPr="00996F64">
        <w:t>U.R</w:t>
      </w:r>
      <w:proofErr w:type="spellEnd"/>
      <w:r w:rsidRPr="00996F64">
        <w:t>. of Tanzania: Mainland'</w:t>
      </w:r>
      <w:r>
        <w:t xml:space="preserve"> gross value added data (there are no corresponding notes regarding the ‘Zanzibar data) ‘Agriculture’ excludes </w:t>
      </w:r>
      <w:r w:rsidRPr="00966EC7">
        <w:t>irrigation canals and landscaping care</w:t>
      </w:r>
      <w:r>
        <w:t>, ‘</w:t>
      </w:r>
      <w:r w:rsidRPr="00966EC7">
        <w:t>Mining, Manufacturing, Utilities</w:t>
      </w:r>
      <w:r>
        <w:t xml:space="preserve">’ (which are disaggregated here) excludes </w:t>
      </w:r>
      <w:r w:rsidRPr="00966EC7">
        <w:t>publishing activities</w:t>
      </w:r>
      <w:r>
        <w:t xml:space="preserve"> and</w:t>
      </w:r>
      <w:r w:rsidRPr="00966EC7">
        <w:t xml:space="preserve"> includes irrigation canals</w:t>
      </w:r>
      <w:r>
        <w:t>, ‘Manufacturing’ e</w:t>
      </w:r>
      <w:r w:rsidRPr="00966EC7">
        <w:t>xcludes recycling and publishing activities</w:t>
      </w:r>
      <w:r>
        <w:t>, ‘</w:t>
      </w:r>
      <w:r w:rsidRPr="00966EC7">
        <w:t>Wholesale, retail trade, restaurants and hotels</w:t>
      </w:r>
      <w:r>
        <w:t>’ e</w:t>
      </w:r>
      <w:r w:rsidRPr="00966EC7">
        <w:t>xcludes repair of personal and household goods</w:t>
      </w:r>
      <w:r>
        <w:t>, ‘</w:t>
      </w:r>
      <w:r w:rsidRPr="00966EC7">
        <w:t>Transport, storage and communication</w:t>
      </w:r>
      <w:r>
        <w:t xml:space="preserve">’ excludes </w:t>
      </w:r>
      <w:r w:rsidRPr="00966EC7">
        <w:t>travel agencies, includes publishing activities, computer and related activities and radio/TV activities</w:t>
      </w:r>
      <w:r>
        <w:t>, ‘Other’ e</w:t>
      </w:r>
      <w:r w:rsidRPr="00966EC7">
        <w:t>xcludes computer and related activities and radio/TV activities</w:t>
      </w:r>
      <w:r>
        <w:t xml:space="preserve"> and</w:t>
      </w:r>
      <w:r w:rsidRPr="00966EC7">
        <w:t xml:space="preserve"> includes travel agencies and landscaping care</w:t>
      </w:r>
      <w:r>
        <w:t>; it was not possible to make corresponding adjustments when aggregating the employment data.</w:t>
      </w:r>
    </w:p>
    <w:p w14:paraId="130566C7" w14:textId="77777777" w:rsidR="00996F64" w:rsidRDefault="00996F64" w:rsidP="00996F64">
      <w:pPr>
        <w:pStyle w:val="BodyText"/>
      </w:pPr>
    </w:p>
    <w:p w14:paraId="51DF7BF7" w14:textId="77777777" w:rsidR="00996F64" w:rsidRDefault="00996F64" w:rsidP="00996F64">
      <w:pPr>
        <w:pStyle w:val="BodyText"/>
      </w:pPr>
      <w:r>
        <w:br w:type="page"/>
      </w:r>
    </w:p>
    <w:p w14:paraId="07A0CEDC" w14:textId="77777777" w:rsidR="00996F64" w:rsidRDefault="00996F64" w:rsidP="00996F64">
      <w:pPr>
        <w:pStyle w:val="BodyText"/>
      </w:pPr>
    </w:p>
    <w:p w14:paraId="3F2C8106" w14:textId="77777777" w:rsidR="00996F64" w:rsidRDefault="00996F64" w:rsidP="00996F64">
      <w:pPr>
        <w:pStyle w:val="BodyText"/>
      </w:pPr>
    </w:p>
    <w:p w14:paraId="295E9860" w14:textId="77777777" w:rsidR="00996F64" w:rsidRDefault="00996F64" w:rsidP="00996F64">
      <w:pPr>
        <w:pStyle w:val="BodyText"/>
      </w:pPr>
    </w:p>
    <w:p w14:paraId="2D086282" w14:textId="77777777" w:rsidR="00996F64" w:rsidRDefault="00996F64" w:rsidP="00996F64">
      <w:pPr>
        <w:pStyle w:val="BodyText"/>
      </w:pPr>
    </w:p>
    <w:p w14:paraId="35B7E194" w14:textId="77777777" w:rsidR="00996F64" w:rsidRDefault="00996F64" w:rsidP="00996F64">
      <w:pPr>
        <w:pStyle w:val="BodyText"/>
      </w:pPr>
    </w:p>
    <w:p w14:paraId="77FDBBEB" w14:textId="5144A7A0" w:rsidR="006977AE" w:rsidRDefault="00F515DA" w:rsidP="00BA5FA0">
      <w:pPr>
        <w:pStyle w:val="TableHeading"/>
      </w:pPr>
      <w:bookmarkStart w:id="20" w:name="_Toc428435125"/>
      <w:r>
        <w:t xml:space="preserve">Labour </w:t>
      </w:r>
      <w:r w:rsidR="00FF41BE">
        <w:t>productivity levels</w:t>
      </w:r>
      <w:r>
        <w:t xml:space="preserve"> and changes </w:t>
      </w:r>
      <w:r w:rsidR="00EA21D5">
        <w:t>Tanzania</w:t>
      </w:r>
      <w:r w:rsidR="00FF41BE">
        <w:t>, 196</w:t>
      </w:r>
      <w:r w:rsidR="00EA21D5">
        <w:t>1</w:t>
      </w:r>
      <w:r w:rsidR="00FF41BE">
        <w:t>–2010</w:t>
      </w:r>
      <w:bookmarkEnd w:id="12"/>
      <w:bookmarkEnd w:id="13"/>
      <w:bookmarkEnd w:id="14"/>
      <w:bookmarkEnd w:id="15"/>
      <w:bookmarkEnd w:id="17"/>
      <w:bookmarkEnd w:id="18"/>
      <w:bookmarkEnd w:id="19"/>
      <w:r w:rsidR="00996F64">
        <w:t xml:space="preserve"> (</w:t>
      </w:r>
      <w:proofErr w:type="spellStart"/>
      <w:r w:rsidR="00996F64">
        <w:t>GGDC</w:t>
      </w:r>
      <w:proofErr w:type="spellEnd"/>
      <w:r w:rsidR="00996F64">
        <w:t xml:space="preserve"> Africa sector database data)</w:t>
      </w:r>
      <w:bookmarkEnd w:id="20"/>
    </w:p>
    <w:tbl>
      <w:tblPr>
        <w:tblStyle w:val="ODITable"/>
        <w:tblW w:w="4933" w:type="pct"/>
        <w:tblInd w:w="115" w:type="dxa"/>
        <w:tblLayout w:type="fixed"/>
        <w:tblCellMar>
          <w:top w:w="14" w:type="dxa"/>
          <w:left w:w="115" w:type="dxa"/>
          <w:bottom w:w="14" w:type="dxa"/>
          <w:right w:w="115" w:type="dxa"/>
        </w:tblCellMar>
        <w:tblLook w:val="04A0" w:firstRow="1" w:lastRow="0" w:firstColumn="1" w:lastColumn="0" w:noHBand="0" w:noVBand="1"/>
      </w:tblPr>
      <w:tblGrid>
        <w:gridCol w:w="2880"/>
        <w:gridCol w:w="1116"/>
        <w:gridCol w:w="1116"/>
        <w:gridCol w:w="1116"/>
        <w:gridCol w:w="1116"/>
        <w:gridCol w:w="1116"/>
        <w:gridCol w:w="1116"/>
        <w:gridCol w:w="1116"/>
        <w:gridCol w:w="1116"/>
        <w:gridCol w:w="1116"/>
        <w:gridCol w:w="1117"/>
      </w:tblGrid>
      <w:tr w:rsidR="00062C4C" w:rsidRPr="00494281" w14:paraId="77FDBBEF" w14:textId="77777777" w:rsidTr="00657F96">
        <w:trPr>
          <w:cnfStyle w:val="100000000000" w:firstRow="1" w:lastRow="0" w:firstColumn="0" w:lastColumn="0" w:oddVBand="0" w:evenVBand="0" w:oddHBand="0" w:evenHBand="0" w:firstRowFirstColumn="0" w:firstRowLastColumn="0" w:lastRowFirstColumn="0" w:lastRowLastColumn="0"/>
        </w:trPr>
        <w:tc>
          <w:tcPr>
            <w:tcW w:w="2880" w:type="dxa"/>
            <w:tcBorders>
              <w:right w:val="single" w:sz="4" w:space="0" w:color="auto"/>
            </w:tcBorders>
            <w:noWrap/>
            <w:hideMark/>
          </w:tcPr>
          <w:p w14:paraId="77FDBBEC" w14:textId="77777777" w:rsidR="00062C4C" w:rsidRPr="00494281" w:rsidRDefault="00062C4C" w:rsidP="00494281">
            <w:pPr>
              <w:pStyle w:val="TableText"/>
              <w:jc w:val="center"/>
              <w:rPr>
                <w:rFonts w:asciiTheme="majorHAnsi" w:hAnsiTheme="majorHAnsi" w:cstheme="majorHAnsi"/>
                <w:szCs w:val="17"/>
                <w:lang w:eastAsia="en-GB"/>
              </w:rPr>
            </w:pPr>
          </w:p>
        </w:tc>
        <w:tc>
          <w:tcPr>
            <w:tcW w:w="6696" w:type="dxa"/>
            <w:gridSpan w:val="6"/>
            <w:tcBorders>
              <w:left w:val="single" w:sz="4" w:space="0" w:color="auto"/>
              <w:right w:val="single" w:sz="4" w:space="0" w:color="auto"/>
            </w:tcBorders>
            <w:noWrap/>
            <w:hideMark/>
          </w:tcPr>
          <w:p w14:paraId="77FDBBED" w14:textId="77777777" w:rsidR="00062C4C" w:rsidRPr="00494281" w:rsidRDefault="00F515DA" w:rsidP="00EA21D5">
            <w:pPr>
              <w:pStyle w:val="TableText"/>
              <w:jc w:val="center"/>
              <w:rPr>
                <w:rFonts w:asciiTheme="majorHAnsi" w:hAnsiTheme="majorHAnsi" w:cstheme="majorHAnsi"/>
                <w:b w:val="0"/>
                <w:color w:val="000000"/>
                <w:szCs w:val="17"/>
                <w:lang w:eastAsia="en-GB"/>
              </w:rPr>
            </w:pPr>
            <w:r>
              <w:rPr>
                <w:rFonts w:asciiTheme="majorHAnsi" w:hAnsiTheme="majorHAnsi" w:cstheme="majorHAnsi"/>
                <w:szCs w:val="17"/>
                <w:lang w:eastAsia="en-GB"/>
              </w:rPr>
              <w:t xml:space="preserve">Labour </w:t>
            </w:r>
            <w:r w:rsidR="00062C4C" w:rsidRPr="00494281">
              <w:rPr>
                <w:rFonts w:asciiTheme="majorHAnsi" w:hAnsiTheme="majorHAnsi" w:cstheme="majorHAnsi"/>
                <w:szCs w:val="17"/>
                <w:lang w:eastAsia="en-GB"/>
              </w:rPr>
              <w:t>productivity levels (index, 196</w:t>
            </w:r>
            <w:r w:rsidR="00EA21D5">
              <w:rPr>
                <w:rFonts w:asciiTheme="majorHAnsi" w:hAnsiTheme="majorHAnsi" w:cstheme="majorHAnsi"/>
                <w:szCs w:val="17"/>
                <w:lang w:eastAsia="en-GB"/>
              </w:rPr>
              <w:t>1</w:t>
            </w:r>
            <w:r w:rsidR="00062C4C" w:rsidRPr="00494281">
              <w:rPr>
                <w:rFonts w:asciiTheme="majorHAnsi" w:hAnsiTheme="majorHAnsi" w:cstheme="majorHAnsi"/>
                <w:szCs w:val="17"/>
                <w:lang w:eastAsia="en-GB"/>
              </w:rPr>
              <w:t>=100)</w:t>
            </w:r>
          </w:p>
        </w:tc>
        <w:tc>
          <w:tcPr>
            <w:tcW w:w="4465" w:type="dxa"/>
            <w:gridSpan w:val="4"/>
            <w:tcBorders>
              <w:left w:val="single" w:sz="4" w:space="0" w:color="auto"/>
            </w:tcBorders>
          </w:tcPr>
          <w:p w14:paraId="77FDBBEE" w14:textId="77777777" w:rsidR="00062C4C" w:rsidRPr="00494281" w:rsidRDefault="00062C4C" w:rsidP="00494281">
            <w:pPr>
              <w:pStyle w:val="TableText"/>
              <w:jc w:val="center"/>
              <w:rPr>
                <w:rFonts w:asciiTheme="majorHAnsi" w:hAnsiTheme="majorHAnsi" w:cstheme="majorHAnsi"/>
                <w:color w:val="000000"/>
                <w:szCs w:val="17"/>
                <w:lang w:eastAsia="en-GB"/>
              </w:rPr>
            </w:pPr>
            <w:r>
              <w:rPr>
                <w:rFonts w:asciiTheme="majorHAnsi" w:hAnsiTheme="majorHAnsi" w:cstheme="majorHAnsi"/>
                <w:color w:val="000000"/>
                <w:szCs w:val="17"/>
                <w:lang w:eastAsia="en-GB"/>
              </w:rPr>
              <w:t>Annualised growth</w:t>
            </w:r>
          </w:p>
        </w:tc>
      </w:tr>
      <w:tr w:rsidR="00062C4C" w:rsidRPr="00494281" w14:paraId="77FDBBFB" w14:textId="77777777" w:rsidTr="00657F96">
        <w:trPr>
          <w:cnfStyle w:val="000000100000" w:firstRow="0" w:lastRow="0" w:firstColumn="0" w:lastColumn="0" w:oddVBand="0" w:evenVBand="0" w:oddHBand="1" w:evenHBand="0" w:firstRowFirstColumn="0" w:firstRowLastColumn="0" w:lastRowFirstColumn="0" w:lastRowLastColumn="0"/>
        </w:trPr>
        <w:tc>
          <w:tcPr>
            <w:tcW w:w="2880" w:type="dxa"/>
            <w:tcBorders>
              <w:top w:val="nil"/>
              <w:right w:val="single" w:sz="4" w:space="0" w:color="auto"/>
            </w:tcBorders>
            <w:shd w:val="clear" w:color="auto" w:fill="E0E0E0" w:themeFill="accent4"/>
            <w:noWrap/>
            <w:hideMark/>
          </w:tcPr>
          <w:p w14:paraId="77FDBBF0" w14:textId="77777777" w:rsidR="00062C4C" w:rsidRPr="00494281" w:rsidRDefault="00062C4C" w:rsidP="00494281">
            <w:pPr>
              <w:pStyle w:val="TableText"/>
              <w:jc w:val="center"/>
              <w:rPr>
                <w:rFonts w:asciiTheme="majorHAnsi" w:hAnsiTheme="majorHAnsi" w:cstheme="majorHAnsi"/>
                <w:i/>
                <w:szCs w:val="17"/>
                <w:lang w:eastAsia="en-GB"/>
              </w:rPr>
            </w:pPr>
          </w:p>
        </w:tc>
        <w:tc>
          <w:tcPr>
            <w:tcW w:w="1116" w:type="dxa"/>
            <w:tcBorders>
              <w:top w:val="nil"/>
              <w:left w:val="single" w:sz="4" w:space="0" w:color="auto"/>
            </w:tcBorders>
            <w:shd w:val="clear" w:color="auto" w:fill="E0E0E0" w:themeFill="accent4"/>
            <w:noWrap/>
            <w:hideMark/>
          </w:tcPr>
          <w:p w14:paraId="77FDBBF1" w14:textId="77777777" w:rsidR="00062C4C" w:rsidRPr="00494281" w:rsidRDefault="00062C4C" w:rsidP="00EA21D5">
            <w:pPr>
              <w:pStyle w:val="TableText"/>
              <w:jc w:val="center"/>
              <w:rPr>
                <w:rFonts w:asciiTheme="majorHAnsi" w:hAnsiTheme="majorHAnsi" w:cstheme="majorHAnsi"/>
                <w:i/>
                <w:color w:val="000000"/>
                <w:szCs w:val="17"/>
                <w:lang w:eastAsia="en-GB"/>
              </w:rPr>
            </w:pPr>
            <w:r w:rsidRPr="00494281">
              <w:rPr>
                <w:rFonts w:asciiTheme="majorHAnsi" w:hAnsiTheme="majorHAnsi" w:cstheme="majorHAnsi"/>
                <w:i/>
                <w:color w:val="000000"/>
                <w:szCs w:val="17"/>
                <w:lang w:eastAsia="en-GB"/>
              </w:rPr>
              <w:t>196</w:t>
            </w:r>
            <w:r w:rsidR="00EA21D5">
              <w:rPr>
                <w:rFonts w:asciiTheme="majorHAnsi" w:hAnsiTheme="majorHAnsi" w:cstheme="majorHAnsi"/>
                <w:i/>
                <w:color w:val="000000"/>
                <w:szCs w:val="17"/>
                <w:lang w:eastAsia="en-GB"/>
              </w:rPr>
              <w:t>1</w:t>
            </w:r>
          </w:p>
        </w:tc>
        <w:tc>
          <w:tcPr>
            <w:tcW w:w="1116" w:type="dxa"/>
            <w:tcBorders>
              <w:top w:val="nil"/>
            </w:tcBorders>
            <w:shd w:val="clear" w:color="auto" w:fill="E0E0E0" w:themeFill="accent4"/>
            <w:noWrap/>
            <w:hideMark/>
          </w:tcPr>
          <w:p w14:paraId="77FDBBF2" w14:textId="77777777" w:rsidR="00062C4C" w:rsidRPr="00494281" w:rsidRDefault="00062C4C" w:rsidP="00494281">
            <w:pPr>
              <w:pStyle w:val="TableText"/>
              <w:jc w:val="center"/>
              <w:rPr>
                <w:rFonts w:asciiTheme="majorHAnsi" w:hAnsiTheme="majorHAnsi" w:cstheme="majorHAnsi"/>
                <w:i/>
                <w:color w:val="000000"/>
                <w:szCs w:val="17"/>
                <w:lang w:eastAsia="en-GB"/>
              </w:rPr>
            </w:pPr>
            <w:r w:rsidRPr="00494281">
              <w:rPr>
                <w:rFonts w:asciiTheme="majorHAnsi" w:hAnsiTheme="majorHAnsi" w:cstheme="majorHAnsi"/>
                <w:i/>
                <w:color w:val="000000"/>
                <w:szCs w:val="17"/>
                <w:lang w:eastAsia="en-GB"/>
              </w:rPr>
              <w:t>1975</w:t>
            </w:r>
          </w:p>
        </w:tc>
        <w:tc>
          <w:tcPr>
            <w:tcW w:w="1116" w:type="dxa"/>
            <w:tcBorders>
              <w:top w:val="nil"/>
            </w:tcBorders>
            <w:shd w:val="clear" w:color="auto" w:fill="E0E0E0" w:themeFill="accent4"/>
            <w:noWrap/>
            <w:hideMark/>
          </w:tcPr>
          <w:p w14:paraId="77FDBBF3" w14:textId="77777777" w:rsidR="00062C4C" w:rsidRPr="00494281" w:rsidRDefault="00062C4C" w:rsidP="00494281">
            <w:pPr>
              <w:pStyle w:val="TableText"/>
              <w:jc w:val="center"/>
              <w:rPr>
                <w:rFonts w:asciiTheme="majorHAnsi" w:hAnsiTheme="majorHAnsi" w:cstheme="majorHAnsi"/>
                <w:i/>
                <w:color w:val="000000"/>
                <w:szCs w:val="17"/>
                <w:lang w:eastAsia="en-GB"/>
              </w:rPr>
            </w:pPr>
            <w:r w:rsidRPr="00494281">
              <w:rPr>
                <w:rFonts w:asciiTheme="majorHAnsi" w:hAnsiTheme="majorHAnsi" w:cstheme="majorHAnsi"/>
                <w:i/>
                <w:color w:val="000000"/>
                <w:szCs w:val="17"/>
                <w:lang w:eastAsia="en-GB"/>
              </w:rPr>
              <w:t>1990</w:t>
            </w:r>
          </w:p>
        </w:tc>
        <w:tc>
          <w:tcPr>
            <w:tcW w:w="1116" w:type="dxa"/>
            <w:tcBorders>
              <w:top w:val="nil"/>
            </w:tcBorders>
            <w:shd w:val="clear" w:color="auto" w:fill="E0E0E0" w:themeFill="accent4"/>
            <w:noWrap/>
            <w:hideMark/>
          </w:tcPr>
          <w:p w14:paraId="77FDBBF4" w14:textId="77777777" w:rsidR="00062C4C" w:rsidRPr="00494281" w:rsidRDefault="00062C4C" w:rsidP="00494281">
            <w:pPr>
              <w:pStyle w:val="TableText"/>
              <w:jc w:val="center"/>
              <w:rPr>
                <w:rFonts w:asciiTheme="majorHAnsi" w:hAnsiTheme="majorHAnsi" w:cstheme="majorHAnsi"/>
                <w:i/>
                <w:color w:val="000000"/>
                <w:szCs w:val="17"/>
                <w:lang w:eastAsia="en-GB"/>
              </w:rPr>
            </w:pPr>
            <w:r w:rsidRPr="00494281">
              <w:rPr>
                <w:rFonts w:asciiTheme="majorHAnsi" w:hAnsiTheme="majorHAnsi" w:cstheme="majorHAnsi"/>
                <w:i/>
                <w:color w:val="000000"/>
                <w:szCs w:val="17"/>
                <w:lang w:eastAsia="en-GB"/>
              </w:rPr>
              <w:t>2000</w:t>
            </w:r>
          </w:p>
        </w:tc>
        <w:tc>
          <w:tcPr>
            <w:tcW w:w="1116" w:type="dxa"/>
            <w:tcBorders>
              <w:top w:val="nil"/>
            </w:tcBorders>
            <w:shd w:val="clear" w:color="auto" w:fill="E0E0E0" w:themeFill="accent4"/>
            <w:noWrap/>
            <w:hideMark/>
          </w:tcPr>
          <w:p w14:paraId="77FDBBF5" w14:textId="77777777" w:rsidR="00062C4C" w:rsidRPr="00494281" w:rsidRDefault="00062C4C" w:rsidP="00494281">
            <w:pPr>
              <w:pStyle w:val="TableText"/>
              <w:jc w:val="center"/>
              <w:rPr>
                <w:rFonts w:asciiTheme="majorHAnsi" w:hAnsiTheme="majorHAnsi" w:cstheme="majorHAnsi"/>
                <w:i/>
                <w:color w:val="000000"/>
                <w:szCs w:val="17"/>
                <w:lang w:eastAsia="en-GB"/>
              </w:rPr>
            </w:pPr>
            <w:r w:rsidRPr="00494281">
              <w:rPr>
                <w:rFonts w:asciiTheme="majorHAnsi" w:hAnsiTheme="majorHAnsi" w:cstheme="majorHAnsi"/>
                <w:i/>
                <w:color w:val="000000"/>
                <w:szCs w:val="17"/>
                <w:lang w:eastAsia="en-GB"/>
              </w:rPr>
              <w:t>2005</w:t>
            </w:r>
          </w:p>
        </w:tc>
        <w:tc>
          <w:tcPr>
            <w:tcW w:w="1116" w:type="dxa"/>
            <w:tcBorders>
              <w:top w:val="nil"/>
              <w:right w:val="single" w:sz="4" w:space="0" w:color="auto"/>
            </w:tcBorders>
            <w:shd w:val="clear" w:color="auto" w:fill="E0E0E0" w:themeFill="accent4"/>
            <w:noWrap/>
            <w:hideMark/>
          </w:tcPr>
          <w:p w14:paraId="77FDBBF6" w14:textId="77777777" w:rsidR="00062C4C" w:rsidRPr="00494281" w:rsidRDefault="00062C4C" w:rsidP="00494281">
            <w:pPr>
              <w:pStyle w:val="TableText"/>
              <w:jc w:val="center"/>
              <w:rPr>
                <w:rFonts w:asciiTheme="majorHAnsi" w:hAnsiTheme="majorHAnsi" w:cstheme="majorHAnsi"/>
                <w:i/>
                <w:color w:val="000000"/>
                <w:szCs w:val="17"/>
                <w:lang w:eastAsia="en-GB"/>
              </w:rPr>
            </w:pPr>
            <w:r w:rsidRPr="00494281">
              <w:rPr>
                <w:rFonts w:asciiTheme="majorHAnsi" w:hAnsiTheme="majorHAnsi" w:cstheme="majorHAnsi"/>
                <w:i/>
                <w:color w:val="000000"/>
                <w:szCs w:val="17"/>
                <w:lang w:eastAsia="en-GB"/>
              </w:rPr>
              <w:t>2010</w:t>
            </w:r>
          </w:p>
        </w:tc>
        <w:tc>
          <w:tcPr>
            <w:tcW w:w="1116" w:type="dxa"/>
            <w:tcBorders>
              <w:top w:val="nil"/>
              <w:left w:val="single" w:sz="4" w:space="0" w:color="auto"/>
            </w:tcBorders>
            <w:shd w:val="clear" w:color="auto" w:fill="E0E0E0" w:themeFill="accent4"/>
            <w:hideMark/>
          </w:tcPr>
          <w:p w14:paraId="77FDBBF7" w14:textId="77777777" w:rsidR="00062C4C" w:rsidRPr="00494281" w:rsidRDefault="00062C4C" w:rsidP="00EA21D5">
            <w:pPr>
              <w:pStyle w:val="TableText"/>
              <w:jc w:val="center"/>
              <w:rPr>
                <w:rFonts w:asciiTheme="majorHAnsi" w:hAnsiTheme="majorHAnsi" w:cstheme="majorHAnsi"/>
                <w:i/>
                <w:color w:val="000000"/>
                <w:szCs w:val="17"/>
                <w:lang w:eastAsia="en-GB"/>
              </w:rPr>
            </w:pPr>
            <w:r>
              <w:rPr>
                <w:rFonts w:asciiTheme="majorHAnsi" w:hAnsiTheme="majorHAnsi" w:cstheme="majorHAnsi"/>
                <w:i/>
                <w:color w:val="000000"/>
                <w:szCs w:val="17"/>
                <w:lang w:eastAsia="en-GB"/>
              </w:rPr>
              <w:t>196</w:t>
            </w:r>
            <w:r w:rsidR="00EA21D5">
              <w:rPr>
                <w:rFonts w:asciiTheme="majorHAnsi" w:hAnsiTheme="majorHAnsi" w:cstheme="majorHAnsi"/>
                <w:i/>
                <w:color w:val="000000"/>
                <w:szCs w:val="17"/>
                <w:lang w:eastAsia="en-GB"/>
              </w:rPr>
              <w:t>1</w:t>
            </w:r>
            <w:r>
              <w:rPr>
                <w:rFonts w:asciiTheme="majorHAnsi" w:hAnsiTheme="majorHAnsi" w:cstheme="majorHAnsi"/>
                <w:i/>
                <w:color w:val="000000"/>
                <w:szCs w:val="17"/>
                <w:lang w:eastAsia="en-GB"/>
              </w:rPr>
              <w:t>–2010</w:t>
            </w:r>
          </w:p>
        </w:tc>
        <w:tc>
          <w:tcPr>
            <w:tcW w:w="1116" w:type="dxa"/>
            <w:tcBorders>
              <w:top w:val="nil"/>
            </w:tcBorders>
            <w:shd w:val="clear" w:color="auto" w:fill="E0E0E0" w:themeFill="accent4"/>
          </w:tcPr>
          <w:p w14:paraId="77FDBBF8" w14:textId="77777777" w:rsidR="00062C4C" w:rsidRPr="00494281" w:rsidRDefault="00062C4C" w:rsidP="00494281">
            <w:pPr>
              <w:pStyle w:val="TableText"/>
              <w:jc w:val="center"/>
              <w:rPr>
                <w:rFonts w:asciiTheme="majorHAnsi" w:hAnsiTheme="majorHAnsi" w:cstheme="majorHAnsi"/>
                <w:i/>
                <w:color w:val="000000"/>
                <w:szCs w:val="17"/>
                <w:lang w:eastAsia="en-GB"/>
              </w:rPr>
            </w:pPr>
            <w:r>
              <w:rPr>
                <w:rFonts w:asciiTheme="majorHAnsi" w:hAnsiTheme="majorHAnsi" w:cstheme="majorHAnsi"/>
                <w:i/>
                <w:color w:val="000000"/>
                <w:szCs w:val="17"/>
                <w:lang w:eastAsia="en-GB"/>
              </w:rPr>
              <w:t>1990–2000</w:t>
            </w:r>
          </w:p>
        </w:tc>
        <w:tc>
          <w:tcPr>
            <w:tcW w:w="1116" w:type="dxa"/>
            <w:tcBorders>
              <w:top w:val="nil"/>
            </w:tcBorders>
            <w:shd w:val="clear" w:color="auto" w:fill="E0E0E0" w:themeFill="accent4"/>
          </w:tcPr>
          <w:p w14:paraId="77FDBBF9" w14:textId="77777777" w:rsidR="00062C4C" w:rsidRPr="00494281" w:rsidRDefault="00062C4C" w:rsidP="00494281">
            <w:pPr>
              <w:pStyle w:val="TableText"/>
              <w:jc w:val="center"/>
              <w:rPr>
                <w:rFonts w:asciiTheme="majorHAnsi" w:hAnsiTheme="majorHAnsi" w:cstheme="majorHAnsi"/>
                <w:i/>
                <w:color w:val="000000"/>
                <w:szCs w:val="17"/>
                <w:lang w:eastAsia="en-GB"/>
              </w:rPr>
            </w:pPr>
            <w:r>
              <w:rPr>
                <w:rFonts w:asciiTheme="majorHAnsi" w:hAnsiTheme="majorHAnsi" w:cstheme="majorHAnsi"/>
                <w:i/>
                <w:color w:val="000000"/>
                <w:szCs w:val="17"/>
                <w:lang w:eastAsia="en-GB"/>
              </w:rPr>
              <w:t>2000–05</w:t>
            </w:r>
          </w:p>
        </w:tc>
        <w:tc>
          <w:tcPr>
            <w:tcW w:w="1117" w:type="dxa"/>
            <w:tcBorders>
              <w:top w:val="nil"/>
            </w:tcBorders>
            <w:shd w:val="clear" w:color="auto" w:fill="E0E0E0" w:themeFill="accent4"/>
          </w:tcPr>
          <w:p w14:paraId="77FDBBFA" w14:textId="77777777" w:rsidR="00062C4C" w:rsidRPr="00494281" w:rsidRDefault="00062C4C" w:rsidP="00494281">
            <w:pPr>
              <w:pStyle w:val="TableText"/>
              <w:jc w:val="center"/>
              <w:rPr>
                <w:rFonts w:asciiTheme="majorHAnsi" w:hAnsiTheme="majorHAnsi" w:cstheme="majorHAnsi"/>
                <w:i/>
                <w:color w:val="000000"/>
                <w:szCs w:val="17"/>
                <w:lang w:eastAsia="en-GB"/>
              </w:rPr>
            </w:pPr>
            <w:r>
              <w:rPr>
                <w:rFonts w:asciiTheme="majorHAnsi" w:hAnsiTheme="majorHAnsi" w:cstheme="majorHAnsi"/>
                <w:i/>
                <w:color w:val="000000"/>
                <w:szCs w:val="17"/>
                <w:lang w:eastAsia="en-GB"/>
              </w:rPr>
              <w:t>2005–10</w:t>
            </w:r>
          </w:p>
        </w:tc>
      </w:tr>
      <w:tr w:rsidR="00EA21D5" w:rsidRPr="00EA21D5" w14:paraId="77FDBC07" w14:textId="77777777" w:rsidTr="00657F96">
        <w:trPr>
          <w:cnfStyle w:val="000000010000" w:firstRow="0" w:lastRow="0" w:firstColumn="0" w:lastColumn="0" w:oddVBand="0" w:evenVBand="0" w:oddHBand="0" w:evenHBand="1" w:firstRowFirstColumn="0" w:firstRowLastColumn="0" w:lastRowFirstColumn="0" w:lastRowLastColumn="0"/>
        </w:trPr>
        <w:tc>
          <w:tcPr>
            <w:tcW w:w="2880" w:type="dxa"/>
            <w:tcBorders>
              <w:bottom w:val="single" w:sz="4" w:space="0" w:color="auto"/>
              <w:right w:val="single" w:sz="4" w:space="0" w:color="auto"/>
            </w:tcBorders>
            <w:noWrap/>
            <w:tcMar>
              <w:left w:w="0" w:type="dxa"/>
              <w:right w:w="0" w:type="dxa"/>
            </w:tcMar>
            <w:hideMark/>
          </w:tcPr>
          <w:p w14:paraId="77FDBBFC" w14:textId="77777777" w:rsidR="00EA21D5" w:rsidRPr="00EA21D5" w:rsidRDefault="00EA21D5" w:rsidP="00494281">
            <w:pPr>
              <w:pStyle w:val="TableText"/>
              <w:rPr>
                <w:rFonts w:asciiTheme="majorHAnsi" w:hAnsiTheme="majorHAnsi" w:cstheme="majorHAnsi"/>
                <w:b/>
                <w:color w:val="000000"/>
                <w:szCs w:val="17"/>
                <w:lang w:eastAsia="en-GB"/>
              </w:rPr>
            </w:pPr>
            <w:r w:rsidRPr="00EA21D5">
              <w:rPr>
                <w:rFonts w:asciiTheme="majorHAnsi" w:hAnsiTheme="majorHAnsi" w:cstheme="majorHAnsi"/>
                <w:b/>
                <w:color w:val="000000"/>
                <w:szCs w:val="17"/>
                <w:lang w:eastAsia="en-GB"/>
              </w:rPr>
              <w:t>Agriculture</w:t>
            </w:r>
          </w:p>
        </w:tc>
        <w:tc>
          <w:tcPr>
            <w:tcW w:w="1116" w:type="dxa"/>
            <w:tcBorders>
              <w:left w:val="single" w:sz="4" w:space="0" w:color="auto"/>
              <w:bottom w:val="single" w:sz="4" w:space="0" w:color="auto"/>
            </w:tcBorders>
            <w:noWrap/>
          </w:tcPr>
          <w:p w14:paraId="77FDBBFD" w14:textId="77777777" w:rsidR="00EA21D5" w:rsidRPr="00EA21D5" w:rsidRDefault="00EA21D5" w:rsidP="00F975F4">
            <w:pPr>
              <w:jc w:val="center"/>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100</w:t>
            </w:r>
          </w:p>
        </w:tc>
        <w:tc>
          <w:tcPr>
            <w:tcW w:w="1116" w:type="dxa"/>
            <w:tcBorders>
              <w:bottom w:val="single" w:sz="4" w:space="0" w:color="auto"/>
            </w:tcBorders>
            <w:noWrap/>
          </w:tcPr>
          <w:p w14:paraId="77FDBBFE"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114.9</w:t>
            </w:r>
          </w:p>
        </w:tc>
        <w:tc>
          <w:tcPr>
            <w:tcW w:w="1116" w:type="dxa"/>
            <w:tcBorders>
              <w:bottom w:val="single" w:sz="4" w:space="0" w:color="auto"/>
            </w:tcBorders>
            <w:noWrap/>
          </w:tcPr>
          <w:p w14:paraId="77FDBBFF"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122.6</w:t>
            </w:r>
          </w:p>
        </w:tc>
        <w:tc>
          <w:tcPr>
            <w:tcW w:w="1116" w:type="dxa"/>
            <w:tcBorders>
              <w:bottom w:val="single" w:sz="4" w:space="0" w:color="auto"/>
            </w:tcBorders>
            <w:noWrap/>
          </w:tcPr>
          <w:p w14:paraId="77FDBC00"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143.0</w:t>
            </w:r>
          </w:p>
        </w:tc>
        <w:tc>
          <w:tcPr>
            <w:tcW w:w="1116" w:type="dxa"/>
            <w:tcBorders>
              <w:bottom w:val="single" w:sz="4" w:space="0" w:color="auto"/>
            </w:tcBorders>
            <w:noWrap/>
          </w:tcPr>
          <w:p w14:paraId="77FDBC01"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165.2</w:t>
            </w:r>
          </w:p>
        </w:tc>
        <w:tc>
          <w:tcPr>
            <w:tcW w:w="1116" w:type="dxa"/>
            <w:tcBorders>
              <w:bottom w:val="single" w:sz="4" w:space="0" w:color="auto"/>
              <w:right w:val="single" w:sz="4" w:space="0" w:color="auto"/>
            </w:tcBorders>
            <w:noWrap/>
          </w:tcPr>
          <w:p w14:paraId="77FDBC02"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188.0</w:t>
            </w:r>
          </w:p>
        </w:tc>
        <w:tc>
          <w:tcPr>
            <w:tcW w:w="1116" w:type="dxa"/>
            <w:tcBorders>
              <w:left w:val="single" w:sz="4" w:space="0" w:color="auto"/>
              <w:bottom w:val="single" w:sz="4" w:space="0" w:color="auto"/>
            </w:tcBorders>
            <w:noWrap/>
          </w:tcPr>
          <w:p w14:paraId="77FDBC03"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1.3%</w:t>
            </w:r>
          </w:p>
        </w:tc>
        <w:tc>
          <w:tcPr>
            <w:tcW w:w="1116" w:type="dxa"/>
            <w:tcBorders>
              <w:bottom w:val="single" w:sz="4" w:space="0" w:color="auto"/>
            </w:tcBorders>
          </w:tcPr>
          <w:p w14:paraId="77FDBC04"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1.5%</w:t>
            </w:r>
          </w:p>
        </w:tc>
        <w:tc>
          <w:tcPr>
            <w:tcW w:w="1116" w:type="dxa"/>
            <w:tcBorders>
              <w:bottom w:val="single" w:sz="4" w:space="0" w:color="auto"/>
            </w:tcBorders>
          </w:tcPr>
          <w:p w14:paraId="77FDBC05"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2.9%</w:t>
            </w:r>
          </w:p>
        </w:tc>
        <w:tc>
          <w:tcPr>
            <w:tcW w:w="1117" w:type="dxa"/>
            <w:tcBorders>
              <w:bottom w:val="single" w:sz="4" w:space="0" w:color="auto"/>
            </w:tcBorders>
          </w:tcPr>
          <w:p w14:paraId="77FDBC06"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2.6%</w:t>
            </w:r>
          </w:p>
        </w:tc>
      </w:tr>
      <w:tr w:rsidR="00EA21D5" w:rsidRPr="00EA21D5" w14:paraId="77FDBC13" w14:textId="77777777" w:rsidTr="00657F96">
        <w:trPr>
          <w:cnfStyle w:val="000000100000" w:firstRow="0" w:lastRow="0" w:firstColumn="0" w:lastColumn="0" w:oddVBand="0" w:evenVBand="0" w:oddHBand="1" w:evenHBand="0" w:firstRowFirstColumn="0" w:firstRowLastColumn="0" w:lastRowFirstColumn="0" w:lastRowLastColumn="0"/>
        </w:trPr>
        <w:tc>
          <w:tcPr>
            <w:tcW w:w="2880" w:type="dxa"/>
            <w:tcBorders>
              <w:top w:val="single" w:sz="4" w:space="0" w:color="auto"/>
              <w:bottom w:val="nil"/>
              <w:right w:val="single" w:sz="4" w:space="0" w:color="auto"/>
            </w:tcBorders>
            <w:noWrap/>
            <w:tcMar>
              <w:left w:w="0" w:type="dxa"/>
              <w:right w:w="0" w:type="dxa"/>
            </w:tcMar>
            <w:hideMark/>
          </w:tcPr>
          <w:p w14:paraId="77FDBC08" w14:textId="77777777" w:rsidR="00EA21D5" w:rsidRPr="00EA21D5" w:rsidRDefault="00EA21D5" w:rsidP="00494281">
            <w:pPr>
              <w:pStyle w:val="TableText"/>
              <w:rPr>
                <w:rFonts w:asciiTheme="majorHAnsi" w:hAnsiTheme="majorHAnsi" w:cstheme="majorHAnsi"/>
                <w:b/>
                <w:color w:val="000000"/>
                <w:szCs w:val="17"/>
                <w:lang w:eastAsia="en-GB"/>
              </w:rPr>
            </w:pPr>
            <w:r w:rsidRPr="00EA21D5">
              <w:rPr>
                <w:rFonts w:asciiTheme="majorHAnsi" w:hAnsiTheme="majorHAnsi" w:cstheme="majorHAnsi"/>
                <w:b/>
                <w:color w:val="000000"/>
                <w:szCs w:val="17"/>
                <w:lang w:eastAsia="en-GB"/>
              </w:rPr>
              <w:t>Industry</w:t>
            </w:r>
          </w:p>
        </w:tc>
        <w:tc>
          <w:tcPr>
            <w:tcW w:w="1116" w:type="dxa"/>
            <w:tcBorders>
              <w:top w:val="single" w:sz="4" w:space="0" w:color="auto"/>
              <w:left w:val="single" w:sz="4" w:space="0" w:color="auto"/>
              <w:bottom w:val="nil"/>
            </w:tcBorders>
            <w:noWrap/>
          </w:tcPr>
          <w:p w14:paraId="77FDBC09" w14:textId="77777777" w:rsidR="00EA21D5" w:rsidRPr="00EA21D5" w:rsidRDefault="00EA21D5" w:rsidP="00F975F4">
            <w:pPr>
              <w:jc w:val="center"/>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100</w:t>
            </w:r>
          </w:p>
        </w:tc>
        <w:tc>
          <w:tcPr>
            <w:tcW w:w="1116" w:type="dxa"/>
            <w:tcBorders>
              <w:top w:val="single" w:sz="4" w:space="0" w:color="auto"/>
              <w:bottom w:val="nil"/>
            </w:tcBorders>
            <w:noWrap/>
          </w:tcPr>
          <w:p w14:paraId="77FDBC0A"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77.3</w:t>
            </w:r>
          </w:p>
        </w:tc>
        <w:tc>
          <w:tcPr>
            <w:tcW w:w="1116" w:type="dxa"/>
            <w:tcBorders>
              <w:top w:val="single" w:sz="4" w:space="0" w:color="auto"/>
              <w:bottom w:val="nil"/>
            </w:tcBorders>
            <w:noWrap/>
          </w:tcPr>
          <w:p w14:paraId="77FDBC0B"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68.4</w:t>
            </w:r>
          </w:p>
        </w:tc>
        <w:tc>
          <w:tcPr>
            <w:tcW w:w="1116" w:type="dxa"/>
            <w:tcBorders>
              <w:top w:val="single" w:sz="4" w:space="0" w:color="auto"/>
              <w:bottom w:val="nil"/>
            </w:tcBorders>
            <w:noWrap/>
          </w:tcPr>
          <w:p w14:paraId="77FDBC0C"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59.3</w:t>
            </w:r>
          </w:p>
        </w:tc>
        <w:tc>
          <w:tcPr>
            <w:tcW w:w="1116" w:type="dxa"/>
            <w:tcBorders>
              <w:top w:val="single" w:sz="4" w:space="0" w:color="auto"/>
              <w:bottom w:val="nil"/>
            </w:tcBorders>
            <w:noWrap/>
          </w:tcPr>
          <w:p w14:paraId="77FDBC0D"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59.6</w:t>
            </w:r>
          </w:p>
        </w:tc>
        <w:tc>
          <w:tcPr>
            <w:tcW w:w="1116" w:type="dxa"/>
            <w:tcBorders>
              <w:top w:val="single" w:sz="4" w:space="0" w:color="auto"/>
              <w:bottom w:val="nil"/>
              <w:right w:val="single" w:sz="4" w:space="0" w:color="auto"/>
            </w:tcBorders>
            <w:noWrap/>
          </w:tcPr>
          <w:p w14:paraId="77FDBC0E"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59.1</w:t>
            </w:r>
          </w:p>
        </w:tc>
        <w:tc>
          <w:tcPr>
            <w:tcW w:w="1116" w:type="dxa"/>
            <w:tcBorders>
              <w:top w:val="single" w:sz="4" w:space="0" w:color="auto"/>
              <w:left w:val="single" w:sz="4" w:space="0" w:color="auto"/>
              <w:bottom w:val="nil"/>
            </w:tcBorders>
            <w:noWrap/>
          </w:tcPr>
          <w:p w14:paraId="77FDBC0F"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-1.1%</w:t>
            </w:r>
          </w:p>
        </w:tc>
        <w:tc>
          <w:tcPr>
            <w:tcW w:w="1116" w:type="dxa"/>
            <w:tcBorders>
              <w:top w:val="single" w:sz="4" w:space="0" w:color="auto"/>
              <w:bottom w:val="nil"/>
            </w:tcBorders>
          </w:tcPr>
          <w:p w14:paraId="77FDBC10"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-1.4%</w:t>
            </w:r>
          </w:p>
        </w:tc>
        <w:tc>
          <w:tcPr>
            <w:tcW w:w="1116" w:type="dxa"/>
            <w:tcBorders>
              <w:top w:val="single" w:sz="4" w:space="0" w:color="auto"/>
              <w:bottom w:val="nil"/>
            </w:tcBorders>
          </w:tcPr>
          <w:p w14:paraId="77FDBC11"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0.1%</w:t>
            </w:r>
          </w:p>
        </w:tc>
        <w:tc>
          <w:tcPr>
            <w:tcW w:w="1117" w:type="dxa"/>
            <w:tcBorders>
              <w:top w:val="single" w:sz="4" w:space="0" w:color="auto"/>
              <w:bottom w:val="nil"/>
            </w:tcBorders>
          </w:tcPr>
          <w:p w14:paraId="77FDBC12"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-0.2%</w:t>
            </w:r>
          </w:p>
        </w:tc>
      </w:tr>
      <w:tr w:rsidR="00EA21D5" w:rsidRPr="00494281" w14:paraId="77FDBC1F" w14:textId="77777777" w:rsidTr="00657F96">
        <w:trPr>
          <w:cnfStyle w:val="000000010000" w:firstRow="0" w:lastRow="0" w:firstColumn="0" w:lastColumn="0" w:oddVBand="0" w:evenVBand="0" w:oddHBand="0" w:evenHBand="1" w:firstRowFirstColumn="0" w:firstRowLastColumn="0" w:lastRowFirstColumn="0" w:lastRowLastColumn="0"/>
        </w:trPr>
        <w:tc>
          <w:tcPr>
            <w:tcW w:w="2880" w:type="dxa"/>
            <w:tcBorders>
              <w:top w:val="nil"/>
              <w:bottom w:val="nil"/>
              <w:right w:val="single" w:sz="4" w:space="0" w:color="auto"/>
            </w:tcBorders>
            <w:noWrap/>
            <w:tcMar>
              <w:left w:w="0" w:type="dxa"/>
              <w:right w:w="0" w:type="dxa"/>
            </w:tcMar>
            <w:hideMark/>
          </w:tcPr>
          <w:p w14:paraId="77FDBC14" w14:textId="77777777" w:rsidR="00EA21D5" w:rsidRPr="00494281" w:rsidRDefault="00EA21D5" w:rsidP="00494281">
            <w:pPr>
              <w:pStyle w:val="TableText"/>
              <w:ind w:left="144"/>
              <w:rPr>
                <w:rFonts w:asciiTheme="majorHAnsi" w:hAnsiTheme="majorHAnsi" w:cstheme="majorHAnsi"/>
                <w:color w:val="000000"/>
                <w:szCs w:val="17"/>
                <w:lang w:eastAsia="en-GB"/>
              </w:rPr>
            </w:pPr>
            <w:r w:rsidRPr="00E65B70">
              <w:rPr>
                <w:rFonts w:asciiTheme="majorHAnsi" w:hAnsiTheme="majorHAnsi" w:cstheme="majorHAnsi"/>
                <w:color w:val="000000"/>
                <w:szCs w:val="17"/>
                <w:lang w:eastAsia="en-GB"/>
              </w:rPr>
              <w:t>Mining</w:t>
            </w:r>
          </w:p>
        </w:tc>
        <w:tc>
          <w:tcPr>
            <w:tcW w:w="1116" w:type="dxa"/>
            <w:tcBorders>
              <w:top w:val="nil"/>
              <w:left w:val="single" w:sz="4" w:space="0" w:color="auto"/>
              <w:bottom w:val="nil"/>
            </w:tcBorders>
            <w:noWrap/>
          </w:tcPr>
          <w:p w14:paraId="77FDBC15" w14:textId="77777777" w:rsidR="00EA21D5" w:rsidRPr="00F975F4" w:rsidRDefault="00EA21D5" w:rsidP="00F975F4">
            <w:pPr>
              <w:jc w:val="center"/>
              <w:rPr>
                <w:rFonts w:asciiTheme="majorHAnsi" w:eastAsia="Times New Roman" w:hAnsiTheme="majorHAnsi" w:cstheme="majorHAnsi"/>
                <w:sz w:val="17"/>
                <w:szCs w:val="17"/>
                <w:lang w:eastAsia="en-GB"/>
              </w:rPr>
            </w:pPr>
            <w:r w:rsidRPr="00F975F4">
              <w:rPr>
                <w:rFonts w:asciiTheme="majorHAnsi" w:eastAsia="Times New Roman" w:hAnsiTheme="majorHAnsi" w:cstheme="majorHAnsi"/>
                <w:sz w:val="17"/>
                <w:szCs w:val="17"/>
                <w:lang w:eastAsia="en-GB"/>
              </w:rPr>
              <w:t>100</w:t>
            </w:r>
          </w:p>
        </w:tc>
        <w:tc>
          <w:tcPr>
            <w:tcW w:w="1116" w:type="dxa"/>
            <w:tcBorders>
              <w:top w:val="nil"/>
              <w:bottom w:val="nil"/>
            </w:tcBorders>
            <w:noWrap/>
          </w:tcPr>
          <w:p w14:paraId="77FDBC16"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13.9</w:t>
            </w:r>
          </w:p>
        </w:tc>
        <w:tc>
          <w:tcPr>
            <w:tcW w:w="1116" w:type="dxa"/>
            <w:tcBorders>
              <w:top w:val="nil"/>
              <w:bottom w:val="nil"/>
            </w:tcBorders>
            <w:noWrap/>
          </w:tcPr>
          <w:p w14:paraId="77FDBC17"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5.4</w:t>
            </w:r>
          </w:p>
        </w:tc>
        <w:tc>
          <w:tcPr>
            <w:tcW w:w="1116" w:type="dxa"/>
            <w:tcBorders>
              <w:top w:val="nil"/>
              <w:bottom w:val="nil"/>
            </w:tcBorders>
            <w:noWrap/>
          </w:tcPr>
          <w:p w14:paraId="77FDBC18"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18.4</w:t>
            </w:r>
          </w:p>
        </w:tc>
        <w:tc>
          <w:tcPr>
            <w:tcW w:w="1116" w:type="dxa"/>
            <w:tcBorders>
              <w:top w:val="nil"/>
              <w:bottom w:val="nil"/>
            </w:tcBorders>
            <w:noWrap/>
          </w:tcPr>
          <w:p w14:paraId="77FDBC19"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34.1</w:t>
            </w:r>
          </w:p>
        </w:tc>
        <w:tc>
          <w:tcPr>
            <w:tcW w:w="1116" w:type="dxa"/>
            <w:tcBorders>
              <w:top w:val="nil"/>
              <w:bottom w:val="nil"/>
              <w:right w:val="single" w:sz="4" w:space="0" w:color="auto"/>
            </w:tcBorders>
            <w:noWrap/>
          </w:tcPr>
          <w:p w14:paraId="77FDBC1A"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66.5</w:t>
            </w:r>
          </w:p>
        </w:tc>
        <w:tc>
          <w:tcPr>
            <w:tcW w:w="1116" w:type="dxa"/>
            <w:tcBorders>
              <w:top w:val="nil"/>
              <w:left w:val="single" w:sz="4" w:space="0" w:color="auto"/>
              <w:bottom w:val="nil"/>
            </w:tcBorders>
            <w:noWrap/>
          </w:tcPr>
          <w:p w14:paraId="77FDBC1B"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-0.8%</w:t>
            </w:r>
          </w:p>
        </w:tc>
        <w:tc>
          <w:tcPr>
            <w:tcW w:w="1116" w:type="dxa"/>
            <w:tcBorders>
              <w:top w:val="nil"/>
              <w:bottom w:val="nil"/>
            </w:tcBorders>
          </w:tcPr>
          <w:p w14:paraId="77FDBC1C"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13.0%</w:t>
            </w:r>
          </w:p>
        </w:tc>
        <w:tc>
          <w:tcPr>
            <w:tcW w:w="1116" w:type="dxa"/>
            <w:tcBorders>
              <w:top w:val="nil"/>
              <w:bottom w:val="nil"/>
            </w:tcBorders>
          </w:tcPr>
          <w:p w14:paraId="77FDBC1D"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13.1%</w:t>
            </w:r>
          </w:p>
        </w:tc>
        <w:tc>
          <w:tcPr>
            <w:tcW w:w="1117" w:type="dxa"/>
            <w:tcBorders>
              <w:top w:val="nil"/>
              <w:bottom w:val="nil"/>
            </w:tcBorders>
          </w:tcPr>
          <w:p w14:paraId="77FDBC1E"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14.3%</w:t>
            </w:r>
          </w:p>
        </w:tc>
      </w:tr>
      <w:tr w:rsidR="00EA21D5" w:rsidRPr="00494281" w14:paraId="77FDBC2B" w14:textId="77777777" w:rsidTr="00657F96">
        <w:trPr>
          <w:cnfStyle w:val="000000100000" w:firstRow="0" w:lastRow="0" w:firstColumn="0" w:lastColumn="0" w:oddVBand="0" w:evenVBand="0" w:oddHBand="1" w:evenHBand="0" w:firstRowFirstColumn="0" w:firstRowLastColumn="0" w:lastRowFirstColumn="0" w:lastRowLastColumn="0"/>
        </w:trPr>
        <w:tc>
          <w:tcPr>
            <w:tcW w:w="2880" w:type="dxa"/>
            <w:tcBorders>
              <w:top w:val="nil"/>
              <w:bottom w:val="nil"/>
              <w:right w:val="single" w:sz="4" w:space="0" w:color="auto"/>
            </w:tcBorders>
            <w:noWrap/>
            <w:tcMar>
              <w:left w:w="0" w:type="dxa"/>
              <w:right w:w="0" w:type="dxa"/>
            </w:tcMar>
            <w:hideMark/>
          </w:tcPr>
          <w:p w14:paraId="77FDBC20" w14:textId="77777777" w:rsidR="00EA21D5" w:rsidRPr="00494281" w:rsidRDefault="00EA21D5" w:rsidP="00494281">
            <w:pPr>
              <w:pStyle w:val="TableText"/>
              <w:ind w:left="144"/>
              <w:rPr>
                <w:rFonts w:asciiTheme="majorHAnsi" w:hAnsiTheme="majorHAnsi" w:cstheme="majorHAnsi"/>
                <w:color w:val="000000"/>
                <w:szCs w:val="17"/>
                <w:lang w:eastAsia="en-GB"/>
              </w:rPr>
            </w:pPr>
            <w:r w:rsidRPr="00E65B70">
              <w:rPr>
                <w:rFonts w:asciiTheme="majorHAnsi" w:hAnsiTheme="majorHAnsi" w:cstheme="majorHAnsi"/>
                <w:color w:val="000000"/>
                <w:szCs w:val="17"/>
                <w:lang w:eastAsia="en-GB"/>
              </w:rPr>
              <w:t>Manufacturing</w:t>
            </w:r>
          </w:p>
        </w:tc>
        <w:tc>
          <w:tcPr>
            <w:tcW w:w="1116" w:type="dxa"/>
            <w:tcBorders>
              <w:top w:val="nil"/>
              <w:left w:val="single" w:sz="4" w:space="0" w:color="auto"/>
              <w:bottom w:val="nil"/>
            </w:tcBorders>
            <w:noWrap/>
          </w:tcPr>
          <w:p w14:paraId="77FDBC21" w14:textId="77777777" w:rsidR="00EA21D5" w:rsidRPr="00F975F4" w:rsidRDefault="00EA21D5" w:rsidP="00F975F4">
            <w:pPr>
              <w:jc w:val="center"/>
              <w:rPr>
                <w:rFonts w:asciiTheme="majorHAnsi" w:eastAsia="Times New Roman" w:hAnsiTheme="majorHAnsi" w:cstheme="majorHAnsi"/>
                <w:sz w:val="17"/>
                <w:szCs w:val="17"/>
                <w:lang w:eastAsia="en-GB"/>
              </w:rPr>
            </w:pPr>
            <w:r w:rsidRPr="00F975F4">
              <w:rPr>
                <w:rFonts w:asciiTheme="majorHAnsi" w:eastAsia="Times New Roman" w:hAnsiTheme="majorHAnsi" w:cstheme="majorHAnsi"/>
                <w:sz w:val="17"/>
                <w:szCs w:val="17"/>
                <w:lang w:eastAsia="en-GB"/>
              </w:rPr>
              <w:t>100</w:t>
            </w:r>
          </w:p>
        </w:tc>
        <w:tc>
          <w:tcPr>
            <w:tcW w:w="1116" w:type="dxa"/>
            <w:tcBorders>
              <w:top w:val="nil"/>
              <w:bottom w:val="nil"/>
            </w:tcBorders>
            <w:noWrap/>
          </w:tcPr>
          <w:p w14:paraId="77FDBC22"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126.2</w:t>
            </w:r>
          </w:p>
        </w:tc>
        <w:tc>
          <w:tcPr>
            <w:tcW w:w="1116" w:type="dxa"/>
            <w:tcBorders>
              <w:top w:val="nil"/>
              <w:bottom w:val="nil"/>
            </w:tcBorders>
            <w:noWrap/>
          </w:tcPr>
          <w:p w14:paraId="77FDBC23"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93.6</w:t>
            </w:r>
          </w:p>
        </w:tc>
        <w:tc>
          <w:tcPr>
            <w:tcW w:w="1116" w:type="dxa"/>
            <w:tcBorders>
              <w:top w:val="nil"/>
              <w:bottom w:val="nil"/>
            </w:tcBorders>
            <w:noWrap/>
          </w:tcPr>
          <w:p w14:paraId="77FDBC24"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93.7</w:t>
            </w:r>
          </w:p>
        </w:tc>
        <w:tc>
          <w:tcPr>
            <w:tcW w:w="1116" w:type="dxa"/>
            <w:tcBorders>
              <w:top w:val="nil"/>
              <w:bottom w:val="nil"/>
            </w:tcBorders>
            <w:noWrap/>
          </w:tcPr>
          <w:p w14:paraId="77FDBC25"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94.4</w:t>
            </w:r>
          </w:p>
        </w:tc>
        <w:tc>
          <w:tcPr>
            <w:tcW w:w="1116" w:type="dxa"/>
            <w:tcBorders>
              <w:top w:val="nil"/>
              <w:bottom w:val="nil"/>
              <w:right w:val="single" w:sz="4" w:space="0" w:color="auto"/>
            </w:tcBorders>
            <w:noWrap/>
          </w:tcPr>
          <w:p w14:paraId="77FDBC26"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100.0</w:t>
            </w:r>
          </w:p>
        </w:tc>
        <w:tc>
          <w:tcPr>
            <w:tcW w:w="1116" w:type="dxa"/>
            <w:tcBorders>
              <w:top w:val="nil"/>
              <w:left w:val="single" w:sz="4" w:space="0" w:color="auto"/>
              <w:bottom w:val="nil"/>
            </w:tcBorders>
            <w:noWrap/>
          </w:tcPr>
          <w:p w14:paraId="77FDBC27"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0.0%</w:t>
            </w:r>
          </w:p>
        </w:tc>
        <w:tc>
          <w:tcPr>
            <w:tcW w:w="1116" w:type="dxa"/>
            <w:tcBorders>
              <w:top w:val="nil"/>
              <w:bottom w:val="nil"/>
            </w:tcBorders>
          </w:tcPr>
          <w:p w14:paraId="77FDBC28"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0.0%</w:t>
            </w:r>
          </w:p>
        </w:tc>
        <w:tc>
          <w:tcPr>
            <w:tcW w:w="1116" w:type="dxa"/>
            <w:tcBorders>
              <w:top w:val="nil"/>
              <w:bottom w:val="nil"/>
            </w:tcBorders>
          </w:tcPr>
          <w:p w14:paraId="77FDBC29"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0.2%</w:t>
            </w:r>
          </w:p>
        </w:tc>
        <w:tc>
          <w:tcPr>
            <w:tcW w:w="1117" w:type="dxa"/>
            <w:tcBorders>
              <w:top w:val="nil"/>
              <w:bottom w:val="nil"/>
            </w:tcBorders>
          </w:tcPr>
          <w:p w14:paraId="77FDBC2A"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1.2%</w:t>
            </w:r>
          </w:p>
        </w:tc>
      </w:tr>
      <w:tr w:rsidR="00EA21D5" w:rsidRPr="00494281" w14:paraId="77FDBC37" w14:textId="77777777" w:rsidTr="00657F96">
        <w:trPr>
          <w:cnfStyle w:val="000000010000" w:firstRow="0" w:lastRow="0" w:firstColumn="0" w:lastColumn="0" w:oddVBand="0" w:evenVBand="0" w:oddHBand="0" w:evenHBand="1" w:firstRowFirstColumn="0" w:firstRowLastColumn="0" w:lastRowFirstColumn="0" w:lastRowLastColumn="0"/>
        </w:trPr>
        <w:tc>
          <w:tcPr>
            <w:tcW w:w="2880" w:type="dxa"/>
            <w:tcBorders>
              <w:top w:val="nil"/>
              <w:bottom w:val="single" w:sz="4" w:space="0" w:color="auto"/>
              <w:right w:val="single" w:sz="4" w:space="0" w:color="auto"/>
            </w:tcBorders>
            <w:noWrap/>
            <w:tcMar>
              <w:left w:w="0" w:type="dxa"/>
              <w:right w:w="0" w:type="dxa"/>
            </w:tcMar>
            <w:hideMark/>
          </w:tcPr>
          <w:p w14:paraId="77FDBC2C" w14:textId="77777777" w:rsidR="00EA21D5" w:rsidRPr="00494281" w:rsidRDefault="00EA21D5" w:rsidP="00494281">
            <w:pPr>
              <w:pStyle w:val="TableText"/>
              <w:ind w:left="144"/>
              <w:rPr>
                <w:rFonts w:asciiTheme="majorHAnsi" w:hAnsiTheme="majorHAnsi" w:cstheme="majorHAnsi"/>
                <w:color w:val="000000"/>
                <w:szCs w:val="17"/>
                <w:lang w:eastAsia="en-GB"/>
              </w:rPr>
            </w:pPr>
            <w:r w:rsidRPr="00E65B70">
              <w:rPr>
                <w:rFonts w:asciiTheme="majorHAnsi" w:hAnsiTheme="majorHAnsi" w:cstheme="majorHAnsi"/>
                <w:color w:val="000000"/>
                <w:szCs w:val="17"/>
                <w:lang w:eastAsia="en-GB"/>
              </w:rPr>
              <w:t>Other</w:t>
            </w:r>
          </w:p>
        </w:tc>
        <w:tc>
          <w:tcPr>
            <w:tcW w:w="1116" w:type="dxa"/>
            <w:tcBorders>
              <w:top w:val="nil"/>
              <w:left w:val="single" w:sz="4" w:space="0" w:color="auto"/>
              <w:bottom w:val="single" w:sz="4" w:space="0" w:color="auto"/>
            </w:tcBorders>
            <w:noWrap/>
          </w:tcPr>
          <w:p w14:paraId="77FDBC2D" w14:textId="77777777" w:rsidR="00EA21D5" w:rsidRPr="00F975F4" w:rsidRDefault="00EA21D5" w:rsidP="00F975F4">
            <w:pPr>
              <w:jc w:val="center"/>
              <w:rPr>
                <w:rFonts w:asciiTheme="majorHAnsi" w:eastAsia="Times New Roman" w:hAnsiTheme="majorHAnsi" w:cstheme="majorHAnsi"/>
                <w:sz w:val="17"/>
                <w:szCs w:val="17"/>
                <w:lang w:eastAsia="en-GB"/>
              </w:rPr>
            </w:pPr>
            <w:r w:rsidRPr="00F975F4">
              <w:rPr>
                <w:rFonts w:asciiTheme="majorHAnsi" w:eastAsia="Times New Roman" w:hAnsiTheme="majorHAnsi" w:cstheme="majorHAnsi"/>
                <w:sz w:val="17"/>
                <w:szCs w:val="17"/>
                <w:lang w:eastAsia="en-GB"/>
              </w:rPr>
              <w:t>100</w:t>
            </w:r>
          </w:p>
        </w:tc>
        <w:tc>
          <w:tcPr>
            <w:tcW w:w="1116" w:type="dxa"/>
            <w:tcBorders>
              <w:top w:val="nil"/>
              <w:bottom w:val="single" w:sz="4" w:space="0" w:color="auto"/>
            </w:tcBorders>
            <w:noWrap/>
          </w:tcPr>
          <w:p w14:paraId="77FDBC2E"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44.1</w:t>
            </w:r>
          </w:p>
        </w:tc>
        <w:tc>
          <w:tcPr>
            <w:tcW w:w="1116" w:type="dxa"/>
            <w:tcBorders>
              <w:top w:val="nil"/>
              <w:bottom w:val="single" w:sz="4" w:space="0" w:color="auto"/>
            </w:tcBorders>
            <w:noWrap/>
          </w:tcPr>
          <w:p w14:paraId="77FDBC2F"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49.8</w:t>
            </w:r>
          </w:p>
        </w:tc>
        <w:tc>
          <w:tcPr>
            <w:tcW w:w="1116" w:type="dxa"/>
            <w:tcBorders>
              <w:top w:val="nil"/>
              <w:bottom w:val="single" w:sz="4" w:space="0" w:color="auto"/>
            </w:tcBorders>
            <w:noWrap/>
          </w:tcPr>
          <w:p w14:paraId="77FDBC30"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32.8</w:t>
            </w:r>
          </w:p>
        </w:tc>
        <w:tc>
          <w:tcPr>
            <w:tcW w:w="1116" w:type="dxa"/>
            <w:tcBorders>
              <w:top w:val="nil"/>
              <w:bottom w:val="single" w:sz="4" w:space="0" w:color="auto"/>
            </w:tcBorders>
            <w:noWrap/>
          </w:tcPr>
          <w:p w14:paraId="77FDBC31"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26.0</w:t>
            </w:r>
          </w:p>
        </w:tc>
        <w:tc>
          <w:tcPr>
            <w:tcW w:w="1116" w:type="dxa"/>
            <w:tcBorders>
              <w:top w:val="nil"/>
              <w:bottom w:val="single" w:sz="4" w:space="0" w:color="auto"/>
              <w:right w:val="single" w:sz="4" w:space="0" w:color="auto"/>
            </w:tcBorders>
            <w:noWrap/>
          </w:tcPr>
          <w:p w14:paraId="77FDBC32"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21.8</w:t>
            </w:r>
          </w:p>
        </w:tc>
        <w:tc>
          <w:tcPr>
            <w:tcW w:w="1116" w:type="dxa"/>
            <w:tcBorders>
              <w:top w:val="nil"/>
              <w:left w:val="single" w:sz="4" w:space="0" w:color="auto"/>
              <w:bottom w:val="single" w:sz="4" w:space="0" w:color="auto"/>
            </w:tcBorders>
            <w:noWrap/>
          </w:tcPr>
          <w:p w14:paraId="77FDBC33"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-3.1%</w:t>
            </w:r>
          </w:p>
        </w:tc>
        <w:tc>
          <w:tcPr>
            <w:tcW w:w="1116" w:type="dxa"/>
            <w:tcBorders>
              <w:top w:val="nil"/>
              <w:bottom w:val="single" w:sz="4" w:space="0" w:color="auto"/>
            </w:tcBorders>
          </w:tcPr>
          <w:p w14:paraId="77FDBC34"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-4.1%</w:t>
            </w:r>
          </w:p>
        </w:tc>
        <w:tc>
          <w:tcPr>
            <w:tcW w:w="1116" w:type="dxa"/>
            <w:tcBorders>
              <w:top w:val="nil"/>
              <w:bottom w:val="single" w:sz="4" w:space="0" w:color="auto"/>
            </w:tcBorders>
          </w:tcPr>
          <w:p w14:paraId="77FDBC35"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-4.5%</w:t>
            </w:r>
          </w:p>
        </w:tc>
        <w:tc>
          <w:tcPr>
            <w:tcW w:w="1117" w:type="dxa"/>
            <w:tcBorders>
              <w:top w:val="nil"/>
              <w:bottom w:val="single" w:sz="4" w:space="0" w:color="auto"/>
            </w:tcBorders>
          </w:tcPr>
          <w:p w14:paraId="77FDBC36"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-3.5%</w:t>
            </w:r>
          </w:p>
        </w:tc>
      </w:tr>
      <w:tr w:rsidR="00EA21D5" w:rsidRPr="00EA21D5" w14:paraId="77FDBC43" w14:textId="77777777" w:rsidTr="00657F96">
        <w:trPr>
          <w:cnfStyle w:val="000000100000" w:firstRow="0" w:lastRow="0" w:firstColumn="0" w:lastColumn="0" w:oddVBand="0" w:evenVBand="0" w:oddHBand="1" w:evenHBand="0" w:firstRowFirstColumn="0" w:firstRowLastColumn="0" w:lastRowFirstColumn="0" w:lastRowLastColumn="0"/>
        </w:trPr>
        <w:tc>
          <w:tcPr>
            <w:tcW w:w="2880" w:type="dxa"/>
            <w:tcBorders>
              <w:top w:val="single" w:sz="4" w:space="0" w:color="auto"/>
              <w:bottom w:val="nil"/>
              <w:right w:val="single" w:sz="4" w:space="0" w:color="auto"/>
            </w:tcBorders>
            <w:noWrap/>
            <w:tcMar>
              <w:left w:w="0" w:type="dxa"/>
              <w:right w:w="0" w:type="dxa"/>
            </w:tcMar>
            <w:hideMark/>
          </w:tcPr>
          <w:p w14:paraId="77FDBC38" w14:textId="77777777" w:rsidR="00EA21D5" w:rsidRPr="00EA21D5" w:rsidRDefault="00EA21D5" w:rsidP="00494281">
            <w:pPr>
              <w:pStyle w:val="TableText"/>
              <w:rPr>
                <w:rFonts w:asciiTheme="majorHAnsi" w:hAnsiTheme="majorHAnsi" w:cstheme="majorHAnsi"/>
                <w:b/>
                <w:color w:val="000000"/>
                <w:szCs w:val="17"/>
                <w:lang w:eastAsia="en-GB"/>
              </w:rPr>
            </w:pPr>
            <w:r w:rsidRPr="00EA21D5">
              <w:rPr>
                <w:rFonts w:asciiTheme="majorHAnsi" w:hAnsiTheme="majorHAnsi" w:cstheme="majorHAnsi"/>
                <w:b/>
                <w:color w:val="000000"/>
                <w:szCs w:val="17"/>
                <w:lang w:eastAsia="en-GB"/>
              </w:rPr>
              <w:t>Services</w:t>
            </w:r>
          </w:p>
        </w:tc>
        <w:tc>
          <w:tcPr>
            <w:tcW w:w="1116" w:type="dxa"/>
            <w:tcBorders>
              <w:top w:val="single" w:sz="4" w:space="0" w:color="auto"/>
              <w:left w:val="single" w:sz="4" w:space="0" w:color="auto"/>
              <w:bottom w:val="nil"/>
            </w:tcBorders>
            <w:noWrap/>
          </w:tcPr>
          <w:p w14:paraId="77FDBC39" w14:textId="77777777" w:rsidR="00EA21D5" w:rsidRPr="00EA21D5" w:rsidRDefault="00EA21D5" w:rsidP="00F975F4">
            <w:pPr>
              <w:jc w:val="center"/>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100</w:t>
            </w:r>
          </w:p>
        </w:tc>
        <w:tc>
          <w:tcPr>
            <w:tcW w:w="1116" w:type="dxa"/>
            <w:tcBorders>
              <w:top w:val="single" w:sz="4" w:space="0" w:color="auto"/>
              <w:bottom w:val="nil"/>
            </w:tcBorders>
            <w:noWrap/>
          </w:tcPr>
          <w:p w14:paraId="77FDBC3A"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195.6</w:t>
            </w:r>
          </w:p>
        </w:tc>
        <w:tc>
          <w:tcPr>
            <w:tcW w:w="1116" w:type="dxa"/>
            <w:tcBorders>
              <w:top w:val="single" w:sz="4" w:space="0" w:color="auto"/>
              <w:bottom w:val="nil"/>
            </w:tcBorders>
            <w:noWrap/>
          </w:tcPr>
          <w:p w14:paraId="77FDBC3B"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125.3</w:t>
            </w:r>
          </w:p>
        </w:tc>
        <w:tc>
          <w:tcPr>
            <w:tcW w:w="1116" w:type="dxa"/>
            <w:tcBorders>
              <w:top w:val="single" w:sz="4" w:space="0" w:color="auto"/>
              <w:bottom w:val="nil"/>
            </w:tcBorders>
            <w:noWrap/>
          </w:tcPr>
          <w:p w14:paraId="77FDBC3C"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109.7</w:t>
            </w:r>
          </w:p>
        </w:tc>
        <w:tc>
          <w:tcPr>
            <w:tcW w:w="1116" w:type="dxa"/>
            <w:tcBorders>
              <w:top w:val="single" w:sz="4" w:space="0" w:color="auto"/>
              <w:bottom w:val="nil"/>
            </w:tcBorders>
            <w:noWrap/>
          </w:tcPr>
          <w:p w14:paraId="77FDBC3D"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109.0</w:t>
            </w:r>
          </w:p>
        </w:tc>
        <w:tc>
          <w:tcPr>
            <w:tcW w:w="1116" w:type="dxa"/>
            <w:tcBorders>
              <w:top w:val="single" w:sz="4" w:space="0" w:color="auto"/>
              <w:bottom w:val="nil"/>
              <w:right w:val="single" w:sz="4" w:space="0" w:color="auto"/>
            </w:tcBorders>
            <w:noWrap/>
          </w:tcPr>
          <w:p w14:paraId="77FDBC3E"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113.8</w:t>
            </w:r>
          </w:p>
        </w:tc>
        <w:tc>
          <w:tcPr>
            <w:tcW w:w="1116" w:type="dxa"/>
            <w:tcBorders>
              <w:top w:val="single" w:sz="4" w:space="0" w:color="auto"/>
              <w:left w:val="single" w:sz="4" w:space="0" w:color="auto"/>
              <w:bottom w:val="nil"/>
            </w:tcBorders>
            <w:noWrap/>
          </w:tcPr>
          <w:p w14:paraId="77FDBC3F"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0.3%</w:t>
            </w:r>
          </w:p>
        </w:tc>
        <w:tc>
          <w:tcPr>
            <w:tcW w:w="1116" w:type="dxa"/>
            <w:tcBorders>
              <w:top w:val="single" w:sz="4" w:space="0" w:color="auto"/>
              <w:bottom w:val="nil"/>
            </w:tcBorders>
          </w:tcPr>
          <w:p w14:paraId="77FDBC40"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-1.3%</w:t>
            </w:r>
          </w:p>
        </w:tc>
        <w:tc>
          <w:tcPr>
            <w:tcW w:w="1116" w:type="dxa"/>
            <w:tcBorders>
              <w:top w:val="single" w:sz="4" w:space="0" w:color="auto"/>
              <w:bottom w:val="nil"/>
            </w:tcBorders>
          </w:tcPr>
          <w:p w14:paraId="77FDBC41"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-0.1%</w:t>
            </w:r>
          </w:p>
        </w:tc>
        <w:tc>
          <w:tcPr>
            <w:tcW w:w="1117" w:type="dxa"/>
            <w:tcBorders>
              <w:top w:val="single" w:sz="4" w:space="0" w:color="auto"/>
              <w:bottom w:val="nil"/>
            </w:tcBorders>
          </w:tcPr>
          <w:p w14:paraId="77FDBC42"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0.9%</w:t>
            </w:r>
          </w:p>
        </w:tc>
      </w:tr>
      <w:tr w:rsidR="00EA21D5" w:rsidRPr="00494281" w14:paraId="77FDBC4F" w14:textId="77777777" w:rsidTr="00657F96">
        <w:trPr>
          <w:cnfStyle w:val="000000010000" w:firstRow="0" w:lastRow="0" w:firstColumn="0" w:lastColumn="0" w:oddVBand="0" w:evenVBand="0" w:oddHBand="0" w:evenHBand="1" w:firstRowFirstColumn="0" w:firstRowLastColumn="0" w:lastRowFirstColumn="0" w:lastRowLastColumn="0"/>
        </w:trPr>
        <w:tc>
          <w:tcPr>
            <w:tcW w:w="2880" w:type="dxa"/>
            <w:tcBorders>
              <w:top w:val="nil"/>
              <w:bottom w:val="nil"/>
              <w:right w:val="single" w:sz="4" w:space="0" w:color="auto"/>
            </w:tcBorders>
            <w:noWrap/>
            <w:tcMar>
              <w:left w:w="0" w:type="dxa"/>
              <w:right w:w="0" w:type="dxa"/>
            </w:tcMar>
            <w:hideMark/>
          </w:tcPr>
          <w:p w14:paraId="77FDBC44" w14:textId="77777777" w:rsidR="00EA21D5" w:rsidRPr="00494281" w:rsidRDefault="00EA21D5" w:rsidP="00494281">
            <w:pPr>
              <w:pStyle w:val="TableText"/>
              <w:ind w:left="144"/>
              <w:rPr>
                <w:rFonts w:asciiTheme="majorHAnsi" w:hAnsiTheme="majorHAnsi" w:cstheme="majorHAnsi"/>
                <w:color w:val="000000"/>
                <w:szCs w:val="17"/>
                <w:lang w:eastAsia="en-GB"/>
              </w:rPr>
            </w:pPr>
            <w:r w:rsidRPr="00E65B70">
              <w:rPr>
                <w:rFonts w:asciiTheme="majorHAnsi" w:hAnsiTheme="majorHAnsi" w:cstheme="majorHAnsi"/>
                <w:color w:val="000000"/>
                <w:szCs w:val="17"/>
                <w:lang w:eastAsia="en-GB"/>
              </w:rPr>
              <w:t>Market services</w:t>
            </w:r>
          </w:p>
        </w:tc>
        <w:tc>
          <w:tcPr>
            <w:tcW w:w="1116" w:type="dxa"/>
            <w:tcBorders>
              <w:top w:val="nil"/>
              <w:left w:val="single" w:sz="4" w:space="0" w:color="auto"/>
              <w:bottom w:val="nil"/>
            </w:tcBorders>
            <w:noWrap/>
          </w:tcPr>
          <w:p w14:paraId="77FDBC45" w14:textId="77777777" w:rsidR="00EA21D5" w:rsidRPr="00F975F4" w:rsidRDefault="00EA21D5" w:rsidP="00F975F4">
            <w:pPr>
              <w:jc w:val="center"/>
              <w:rPr>
                <w:rFonts w:asciiTheme="majorHAnsi" w:eastAsia="Times New Roman" w:hAnsiTheme="majorHAnsi" w:cstheme="majorHAnsi"/>
                <w:sz w:val="17"/>
                <w:szCs w:val="17"/>
                <w:lang w:eastAsia="en-GB"/>
              </w:rPr>
            </w:pPr>
            <w:r w:rsidRPr="00F975F4">
              <w:rPr>
                <w:rFonts w:asciiTheme="majorHAnsi" w:eastAsia="Times New Roman" w:hAnsiTheme="majorHAnsi" w:cstheme="majorHAnsi"/>
                <w:sz w:val="17"/>
                <w:szCs w:val="17"/>
                <w:lang w:eastAsia="en-GB"/>
              </w:rPr>
              <w:t>100</w:t>
            </w:r>
          </w:p>
        </w:tc>
        <w:tc>
          <w:tcPr>
            <w:tcW w:w="1116" w:type="dxa"/>
            <w:tcBorders>
              <w:top w:val="nil"/>
              <w:bottom w:val="nil"/>
            </w:tcBorders>
            <w:noWrap/>
          </w:tcPr>
          <w:p w14:paraId="77FDBC46"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73.4</w:t>
            </w:r>
          </w:p>
        </w:tc>
        <w:tc>
          <w:tcPr>
            <w:tcW w:w="1116" w:type="dxa"/>
            <w:tcBorders>
              <w:top w:val="nil"/>
              <w:bottom w:val="nil"/>
            </w:tcBorders>
            <w:noWrap/>
          </w:tcPr>
          <w:p w14:paraId="77FDBC47"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42.1</w:t>
            </w:r>
          </w:p>
        </w:tc>
        <w:tc>
          <w:tcPr>
            <w:tcW w:w="1116" w:type="dxa"/>
            <w:tcBorders>
              <w:top w:val="nil"/>
              <w:bottom w:val="nil"/>
            </w:tcBorders>
            <w:noWrap/>
          </w:tcPr>
          <w:p w14:paraId="77FDBC48"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38.1</w:t>
            </w:r>
          </w:p>
        </w:tc>
        <w:tc>
          <w:tcPr>
            <w:tcW w:w="1116" w:type="dxa"/>
            <w:tcBorders>
              <w:top w:val="nil"/>
              <w:bottom w:val="nil"/>
            </w:tcBorders>
            <w:noWrap/>
          </w:tcPr>
          <w:p w14:paraId="77FDBC49"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37.6</w:t>
            </w:r>
          </w:p>
        </w:tc>
        <w:tc>
          <w:tcPr>
            <w:tcW w:w="1116" w:type="dxa"/>
            <w:tcBorders>
              <w:top w:val="nil"/>
              <w:bottom w:val="nil"/>
              <w:right w:val="single" w:sz="4" w:space="0" w:color="auto"/>
            </w:tcBorders>
            <w:noWrap/>
          </w:tcPr>
          <w:p w14:paraId="77FDBC4A"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39.0</w:t>
            </w:r>
          </w:p>
        </w:tc>
        <w:tc>
          <w:tcPr>
            <w:tcW w:w="1116" w:type="dxa"/>
            <w:tcBorders>
              <w:top w:val="nil"/>
              <w:left w:val="single" w:sz="4" w:space="0" w:color="auto"/>
              <w:bottom w:val="nil"/>
            </w:tcBorders>
            <w:noWrap/>
          </w:tcPr>
          <w:p w14:paraId="77FDBC4B"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-1.9%</w:t>
            </w:r>
          </w:p>
        </w:tc>
        <w:tc>
          <w:tcPr>
            <w:tcW w:w="1116" w:type="dxa"/>
            <w:tcBorders>
              <w:top w:val="nil"/>
              <w:bottom w:val="nil"/>
            </w:tcBorders>
          </w:tcPr>
          <w:p w14:paraId="77FDBC4C"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-1.0%</w:t>
            </w:r>
          </w:p>
        </w:tc>
        <w:tc>
          <w:tcPr>
            <w:tcW w:w="1116" w:type="dxa"/>
            <w:tcBorders>
              <w:top w:val="nil"/>
              <w:bottom w:val="nil"/>
            </w:tcBorders>
          </w:tcPr>
          <w:p w14:paraId="77FDBC4D"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-0.3%</w:t>
            </w:r>
          </w:p>
        </w:tc>
        <w:tc>
          <w:tcPr>
            <w:tcW w:w="1117" w:type="dxa"/>
            <w:tcBorders>
              <w:top w:val="nil"/>
              <w:bottom w:val="nil"/>
            </w:tcBorders>
          </w:tcPr>
          <w:p w14:paraId="77FDBC4E"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0.8%</w:t>
            </w:r>
          </w:p>
        </w:tc>
      </w:tr>
      <w:tr w:rsidR="00EA21D5" w:rsidRPr="00F975F4" w14:paraId="77FDBC5B" w14:textId="77777777" w:rsidTr="00657F96">
        <w:trPr>
          <w:cnfStyle w:val="000000100000" w:firstRow="0" w:lastRow="0" w:firstColumn="0" w:lastColumn="0" w:oddVBand="0" w:evenVBand="0" w:oddHBand="1" w:evenHBand="0" w:firstRowFirstColumn="0" w:firstRowLastColumn="0" w:lastRowFirstColumn="0" w:lastRowLastColumn="0"/>
        </w:trPr>
        <w:tc>
          <w:tcPr>
            <w:tcW w:w="2880" w:type="dxa"/>
            <w:tcBorders>
              <w:top w:val="nil"/>
              <w:bottom w:val="nil"/>
              <w:right w:val="single" w:sz="4" w:space="0" w:color="auto"/>
            </w:tcBorders>
            <w:noWrap/>
            <w:tcMar>
              <w:left w:w="0" w:type="dxa"/>
              <w:right w:w="0" w:type="dxa"/>
            </w:tcMar>
            <w:hideMark/>
          </w:tcPr>
          <w:p w14:paraId="77FDBC50" w14:textId="77777777" w:rsidR="00EA21D5" w:rsidRPr="00F975F4" w:rsidRDefault="00EA21D5" w:rsidP="00494281">
            <w:pPr>
              <w:pStyle w:val="TableText"/>
              <w:ind w:left="288"/>
              <w:rPr>
                <w:rFonts w:asciiTheme="majorHAnsi" w:hAnsiTheme="majorHAnsi" w:cstheme="majorHAnsi"/>
                <w:i/>
                <w:iCs/>
                <w:color w:val="000000"/>
                <w:szCs w:val="17"/>
                <w:lang w:eastAsia="en-GB"/>
              </w:rPr>
            </w:pPr>
            <w:r w:rsidRPr="00F975F4">
              <w:rPr>
                <w:rFonts w:asciiTheme="majorHAnsi" w:hAnsiTheme="majorHAnsi" w:cstheme="majorHAnsi"/>
                <w:i/>
                <w:iCs/>
                <w:color w:val="000000"/>
                <w:szCs w:val="17"/>
                <w:lang w:eastAsia="en-GB"/>
              </w:rPr>
              <w:t>Distribution services</w:t>
            </w:r>
          </w:p>
        </w:tc>
        <w:tc>
          <w:tcPr>
            <w:tcW w:w="1116" w:type="dxa"/>
            <w:tcBorders>
              <w:top w:val="nil"/>
              <w:left w:val="single" w:sz="4" w:space="0" w:color="auto"/>
              <w:bottom w:val="nil"/>
            </w:tcBorders>
            <w:noWrap/>
          </w:tcPr>
          <w:p w14:paraId="77FDBC51" w14:textId="77777777" w:rsidR="00EA21D5" w:rsidRPr="00F975F4" w:rsidRDefault="00EA21D5" w:rsidP="00F975F4">
            <w:pPr>
              <w:jc w:val="center"/>
              <w:rPr>
                <w:rFonts w:asciiTheme="majorHAnsi" w:eastAsia="Times New Roman" w:hAnsiTheme="majorHAnsi" w:cstheme="majorHAnsi"/>
                <w:i/>
                <w:sz w:val="17"/>
                <w:szCs w:val="17"/>
                <w:lang w:eastAsia="en-GB"/>
              </w:rPr>
            </w:pPr>
            <w:r w:rsidRPr="00F975F4">
              <w:rPr>
                <w:rFonts w:asciiTheme="majorHAnsi" w:eastAsia="Times New Roman" w:hAnsiTheme="majorHAnsi" w:cstheme="majorHAnsi"/>
                <w:i/>
                <w:sz w:val="17"/>
                <w:szCs w:val="17"/>
                <w:lang w:eastAsia="en-GB"/>
              </w:rPr>
              <w:t>100</w:t>
            </w:r>
          </w:p>
        </w:tc>
        <w:tc>
          <w:tcPr>
            <w:tcW w:w="1116" w:type="dxa"/>
            <w:tcBorders>
              <w:top w:val="nil"/>
              <w:bottom w:val="nil"/>
            </w:tcBorders>
            <w:noWrap/>
          </w:tcPr>
          <w:p w14:paraId="77FDBC52"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69.9</w:t>
            </w:r>
          </w:p>
        </w:tc>
        <w:tc>
          <w:tcPr>
            <w:tcW w:w="1116" w:type="dxa"/>
            <w:tcBorders>
              <w:top w:val="nil"/>
              <w:bottom w:val="nil"/>
            </w:tcBorders>
            <w:noWrap/>
          </w:tcPr>
          <w:p w14:paraId="77FDBC53"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36.4</w:t>
            </w:r>
          </w:p>
        </w:tc>
        <w:tc>
          <w:tcPr>
            <w:tcW w:w="1116" w:type="dxa"/>
            <w:tcBorders>
              <w:top w:val="nil"/>
              <w:bottom w:val="nil"/>
            </w:tcBorders>
            <w:noWrap/>
          </w:tcPr>
          <w:p w14:paraId="77FDBC54"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34.0</w:t>
            </w:r>
          </w:p>
        </w:tc>
        <w:tc>
          <w:tcPr>
            <w:tcW w:w="1116" w:type="dxa"/>
            <w:tcBorders>
              <w:top w:val="nil"/>
              <w:bottom w:val="nil"/>
            </w:tcBorders>
            <w:noWrap/>
          </w:tcPr>
          <w:p w14:paraId="77FDBC55"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33.4</w:t>
            </w:r>
          </w:p>
        </w:tc>
        <w:tc>
          <w:tcPr>
            <w:tcW w:w="1116" w:type="dxa"/>
            <w:tcBorders>
              <w:top w:val="nil"/>
              <w:bottom w:val="nil"/>
              <w:right w:val="single" w:sz="4" w:space="0" w:color="auto"/>
            </w:tcBorders>
            <w:noWrap/>
          </w:tcPr>
          <w:p w14:paraId="77FDBC56"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34.9</w:t>
            </w:r>
          </w:p>
        </w:tc>
        <w:tc>
          <w:tcPr>
            <w:tcW w:w="1116" w:type="dxa"/>
            <w:tcBorders>
              <w:top w:val="nil"/>
              <w:left w:val="single" w:sz="4" w:space="0" w:color="auto"/>
              <w:bottom w:val="nil"/>
            </w:tcBorders>
            <w:noWrap/>
          </w:tcPr>
          <w:p w14:paraId="77FDBC57"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-2.1%</w:t>
            </w:r>
          </w:p>
        </w:tc>
        <w:tc>
          <w:tcPr>
            <w:tcW w:w="1116" w:type="dxa"/>
            <w:tcBorders>
              <w:top w:val="nil"/>
              <w:bottom w:val="nil"/>
            </w:tcBorders>
          </w:tcPr>
          <w:p w14:paraId="77FDBC58"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-0.7%</w:t>
            </w:r>
          </w:p>
        </w:tc>
        <w:tc>
          <w:tcPr>
            <w:tcW w:w="1116" w:type="dxa"/>
            <w:tcBorders>
              <w:top w:val="nil"/>
              <w:bottom w:val="nil"/>
            </w:tcBorders>
          </w:tcPr>
          <w:p w14:paraId="77FDBC59"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-0.3%</w:t>
            </w:r>
          </w:p>
        </w:tc>
        <w:tc>
          <w:tcPr>
            <w:tcW w:w="1117" w:type="dxa"/>
            <w:tcBorders>
              <w:top w:val="nil"/>
              <w:bottom w:val="nil"/>
            </w:tcBorders>
          </w:tcPr>
          <w:p w14:paraId="77FDBC5A"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0.9%</w:t>
            </w:r>
          </w:p>
        </w:tc>
      </w:tr>
      <w:tr w:rsidR="00EA21D5" w:rsidRPr="00F975F4" w14:paraId="77FDBC67" w14:textId="77777777" w:rsidTr="00657F96">
        <w:trPr>
          <w:cnfStyle w:val="000000010000" w:firstRow="0" w:lastRow="0" w:firstColumn="0" w:lastColumn="0" w:oddVBand="0" w:evenVBand="0" w:oddHBand="0" w:evenHBand="1" w:firstRowFirstColumn="0" w:firstRowLastColumn="0" w:lastRowFirstColumn="0" w:lastRowLastColumn="0"/>
        </w:trPr>
        <w:tc>
          <w:tcPr>
            <w:tcW w:w="2880" w:type="dxa"/>
            <w:tcBorders>
              <w:top w:val="nil"/>
              <w:bottom w:val="nil"/>
              <w:right w:val="single" w:sz="4" w:space="0" w:color="auto"/>
            </w:tcBorders>
            <w:noWrap/>
            <w:tcMar>
              <w:left w:w="0" w:type="dxa"/>
              <w:right w:w="0" w:type="dxa"/>
            </w:tcMar>
            <w:hideMark/>
          </w:tcPr>
          <w:p w14:paraId="77FDBC5C" w14:textId="77777777" w:rsidR="00EA21D5" w:rsidRPr="00F975F4" w:rsidRDefault="00EA21D5" w:rsidP="00494281">
            <w:pPr>
              <w:pStyle w:val="TableText"/>
              <w:ind w:left="288"/>
              <w:rPr>
                <w:rFonts w:asciiTheme="majorHAnsi" w:hAnsiTheme="majorHAnsi" w:cstheme="majorHAnsi"/>
                <w:i/>
                <w:iCs/>
                <w:color w:val="000000"/>
                <w:szCs w:val="17"/>
                <w:lang w:eastAsia="en-GB"/>
              </w:rPr>
            </w:pPr>
            <w:r w:rsidRPr="00F975F4">
              <w:rPr>
                <w:rFonts w:asciiTheme="majorHAnsi" w:hAnsiTheme="majorHAnsi" w:cstheme="majorHAnsi"/>
                <w:i/>
                <w:iCs/>
                <w:color w:val="000000"/>
                <w:szCs w:val="17"/>
                <w:lang w:eastAsia="en-GB"/>
              </w:rPr>
              <w:t>Finance and business services</w:t>
            </w:r>
          </w:p>
        </w:tc>
        <w:tc>
          <w:tcPr>
            <w:tcW w:w="1116" w:type="dxa"/>
            <w:tcBorders>
              <w:top w:val="nil"/>
              <w:left w:val="single" w:sz="4" w:space="0" w:color="auto"/>
              <w:bottom w:val="nil"/>
            </w:tcBorders>
            <w:noWrap/>
          </w:tcPr>
          <w:p w14:paraId="77FDBC5D" w14:textId="77777777" w:rsidR="00EA21D5" w:rsidRPr="00F975F4" w:rsidRDefault="00EA21D5" w:rsidP="00F975F4">
            <w:pPr>
              <w:jc w:val="center"/>
              <w:rPr>
                <w:rFonts w:asciiTheme="majorHAnsi" w:eastAsia="Times New Roman" w:hAnsiTheme="majorHAnsi" w:cstheme="majorHAnsi"/>
                <w:i/>
                <w:sz w:val="17"/>
                <w:szCs w:val="17"/>
                <w:lang w:eastAsia="en-GB"/>
              </w:rPr>
            </w:pPr>
            <w:r w:rsidRPr="00F975F4">
              <w:rPr>
                <w:rFonts w:asciiTheme="majorHAnsi" w:eastAsia="Times New Roman" w:hAnsiTheme="majorHAnsi" w:cstheme="majorHAnsi"/>
                <w:i/>
                <w:sz w:val="17"/>
                <w:szCs w:val="17"/>
                <w:lang w:eastAsia="en-GB"/>
              </w:rPr>
              <w:t>100</w:t>
            </w:r>
          </w:p>
        </w:tc>
        <w:tc>
          <w:tcPr>
            <w:tcW w:w="1116" w:type="dxa"/>
            <w:tcBorders>
              <w:top w:val="nil"/>
              <w:bottom w:val="nil"/>
            </w:tcBorders>
            <w:noWrap/>
          </w:tcPr>
          <w:p w14:paraId="77FDBC5E"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116.4</w:t>
            </w:r>
          </w:p>
        </w:tc>
        <w:tc>
          <w:tcPr>
            <w:tcW w:w="1116" w:type="dxa"/>
            <w:tcBorders>
              <w:top w:val="nil"/>
              <w:bottom w:val="nil"/>
            </w:tcBorders>
            <w:noWrap/>
          </w:tcPr>
          <w:p w14:paraId="77FDBC5F"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133.2</w:t>
            </w:r>
          </w:p>
        </w:tc>
        <w:tc>
          <w:tcPr>
            <w:tcW w:w="1116" w:type="dxa"/>
            <w:tcBorders>
              <w:top w:val="nil"/>
              <w:bottom w:val="nil"/>
            </w:tcBorders>
            <w:noWrap/>
          </w:tcPr>
          <w:p w14:paraId="77FDBC60"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147.5</w:t>
            </w:r>
          </w:p>
        </w:tc>
        <w:tc>
          <w:tcPr>
            <w:tcW w:w="1116" w:type="dxa"/>
            <w:tcBorders>
              <w:top w:val="nil"/>
              <w:bottom w:val="nil"/>
            </w:tcBorders>
            <w:noWrap/>
          </w:tcPr>
          <w:p w14:paraId="77FDBC61"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177.4</w:t>
            </w:r>
          </w:p>
        </w:tc>
        <w:tc>
          <w:tcPr>
            <w:tcW w:w="1116" w:type="dxa"/>
            <w:tcBorders>
              <w:top w:val="nil"/>
              <w:bottom w:val="nil"/>
              <w:right w:val="single" w:sz="4" w:space="0" w:color="auto"/>
            </w:tcBorders>
            <w:noWrap/>
          </w:tcPr>
          <w:p w14:paraId="77FDBC62"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224.3</w:t>
            </w:r>
          </w:p>
        </w:tc>
        <w:tc>
          <w:tcPr>
            <w:tcW w:w="1116" w:type="dxa"/>
            <w:tcBorders>
              <w:top w:val="nil"/>
              <w:left w:val="single" w:sz="4" w:space="0" w:color="auto"/>
              <w:bottom w:val="nil"/>
            </w:tcBorders>
            <w:noWrap/>
          </w:tcPr>
          <w:p w14:paraId="77FDBC63"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1.7%</w:t>
            </w:r>
          </w:p>
        </w:tc>
        <w:tc>
          <w:tcPr>
            <w:tcW w:w="1116" w:type="dxa"/>
            <w:tcBorders>
              <w:top w:val="nil"/>
              <w:bottom w:val="nil"/>
            </w:tcBorders>
          </w:tcPr>
          <w:p w14:paraId="77FDBC64"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1.0%</w:t>
            </w:r>
          </w:p>
        </w:tc>
        <w:tc>
          <w:tcPr>
            <w:tcW w:w="1116" w:type="dxa"/>
            <w:tcBorders>
              <w:top w:val="nil"/>
              <w:bottom w:val="nil"/>
            </w:tcBorders>
          </w:tcPr>
          <w:p w14:paraId="77FDBC65"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3.8%</w:t>
            </w:r>
          </w:p>
        </w:tc>
        <w:tc>
          <w:tcPr>
            <w:tcW w:w="1117" w:type="dxa"/>
            <w:tcBorders>
              <w:top w:val="nil"/>
              <w:bottom w:val="nil"/>
            </w:tcBorders>
          </w:tcPr>
          <w:p w14:paraId="77FDBC66"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4.8%</w:t>
            </w:r>
          </w:p>
        </w:tc>
      </w:tr>
      <w:tr w:rsidR="00EA21D5" w:rsidRPr="00F975F4" w14:paraId="77FDBC73" w14:textId="77777777" w:rsidTr="00657F96">
        <w:trPr>
          <w:cnfStyle w:val="000000100000" w:firstRow="0" w:lastRow="0" w:firstColumn="0" w:lastColumn="0" w:oddVBand="0" w:evenVBand="0" w:oddHBand="1" w:evenHBand="0" w:firstRowFirstColumn="0" w:firstRowLastColumn="0" w:lastRowFirstColumn="0" w:lastRowLastColumn="0"/>
        </w:trPr>
        <w:tc>
          <w:tcPr>
            <w:tcW w:w="2880" w:type="dxa"/>
            <w:tcBorders>
              <w:top w:val="nil"/>
              <w:bottom w:val="nil"/>
              <w:right w:val="single" w:sz="4" w:space="0" w:color="auto"/>
            </w:tcBorders>
            <w:noWrap/>
            <w:tcMar>
              <w:left w:w="0" w:type="dxa"/>
              <w:right w:w="0" w:type="dxa"/>
            </w:tcMar>
            <w:hideMark/>
          </w:tcPr>
          <w:p w14:paraId="77FDBC68" w14:textId="77777777" w:rsidR="00EA21D5" w:rsidRPr="00F975F4" w:rsidRDefault="00EA21D5" w:rsidP="00494281">
            <w:pPr>
              <w:pStyle w:val="TableText"/>
              <w:ind w:left="144"/>
              <w:rPr>
                <w:rFonts w:asciiTheme="majorHAnsi" w:hAnsiTheme="majorHAnsi" w:cstheme="majorHAnsi"/>
                <w:color w:val="000000"/>
                <w:szCs w:val="17"/>
                <w:lang w:eastAsia="en-GB"/>
              </w:rPr>
            </w:pPr>
            <w:r w:rsidRPr="00F975F4">
              <w:rPr>
                <w:rFonts w:asciiTheme="majorHAnsi" w:hAnsiTheme="majorHAnsi" w:cstheme="majorHAnsi"/>
                <w:color w:val="000000"/>
                <w:szCs w:val="17"/>
                <w:lang w:eastAsia="en-GB"/>
              </w:rPr>
              <w:t>Non-market services</w:t>
            </w:r>
          </w:p>
        </w:tc>
        <w:tc>
          <w:tcPr>
            <w:tcW w:w="1116" w:type="dxa"/>
            <w:tcBorders>
              <w:top w:val="nil"/>
              <w:left w:val="single" w:sz="4" w:space="0" w:color="auto"/>
              <w:bottom w:val="nil"/>
            </w:tcBorders>
            <w:noWrap/>
          </w:tcPr>
          <w:p w14:paraId="77FDBC69" w14:textId="77777777" w:rsidR="00EA21D5" w:rsidRPr="00F975F4" w:rsidRDefault="00EA21D5" w:rsidP="00F975F4">
            <w:pPr>
              <w:jc w:val="center"/>
              <w:rPr>
                <w:rFonts w:asciiTheme="majorHAnsi" w:eastAsia="Times New Roman" w:hAnsiTheme="majorHAnsi" w:cstheme="majorHAnsi"/>
                <w:sz w:val="17"/>
                <w:szCs w:val="17"/>
                <w:lang w:eastAsia="en-GB"/>
              </w:rPr>
            </w:pPr>
            <w:r w:rsidRPr="00F975F4">
              <w:rPr>
                <w:rFonts w:asciiTheme="majorHAnsi" w:eastAsia="Times New Roman" w:hAnsiTheme="majorHAnsi" w:cstheme="majorHAnsi"/>
                <w:sz w:val="17"/>
                <w:szCs w:val="17"/>
                <w:lang w:eastAsia="en-GB"/>
              </w:rPr>
              <w:t>100</w:t>
            </w:r>
          </w:p>
        </w:tc>
        <w:tc>
          <w:tcPr>
            <w:tcW w:w="1116" w:type="dxa"/>
            <w:tcBorders>
              <w:top w:val="nil"/>
              <w:bottom w:val="nil"/>
            </w:tcBorders>
            <w:noWrap/>
          </w:tcPr>
          <w:p w14:paraId="77FDBC6A"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350.7</w:t>
            </w:r>
          </w:p>
        </w:tc>
        <w:tc>
          <w:tcPr>
            <w:tcW w:w="1116" w:type="dxa"/>
            <w:tcBorders>
              <w:top w:val="nil"/>
              <w:bottom w:val="nil"/>
            </w:tcBorders>
            <w:noWrap/>
          </w:tcPr>
          <w:p w14:paraId="77FDBC6B"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274.8</w:t>
            </w:r>
          </w:p>
        </w:tc>
        <w:tc>
          <w:tcPr>
            <w:tcW w:w="1116" w:type="dxa"/>
            <w:tcBorders>
              <w:top w:val="nil"/>
              <w:bottom w:val="nil"/>
            </w:tcBorders>
            <w:noWrap/>
          </w:tcPr>
          <w:p w14:paraId="77FDBC6C"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222.1</w:t>
            </w:r>
          </w:p>
        </w:tc>
        <w:tc>
          <w:tcPr>
            <w:tcW w:w="1116" w:type="dxa"/>
            <w:tcBorders>
              <w:top w:val="nil"/>
              <w:bottom w:val="nil"/>
            </w:tcBorders>
            <w:noWrap/>
          </w:tcPr>
          <w:p w14:paraId="77FDBC6D"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228.2</w:t>
            </w:r>
          </w:p>
        </w:tc>
        <w:tc>
          <w:tcPr>
            <w:tcW w:w="1116" w:type="dxa"/>
            <w:tcBorders>
              <w:top w:val="nil"/>
              <w:bottom w:val="nil"/>
              <w:right w:val="single" w:sz="4" w:space="0" w:color="auto"/>
            </w:tcBorders>
            <w:noWrap/>
          </w:tcPr>
          <w:p w14:paraId="77FDBC6E"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233.7</w:t>
            </w:r>
          </w:p>
        </w:tc>
        <w:tc>
          <w:tcPr>
            <w:tcW w:w="1116" w:type="dxa"/>
            <w:tcBorders>
              <w:top w:val="nil"/>
              <w:left w:val="single" w:sz="4" w:space="0" w:color="auto"/>
              <w:bottom w:val="nil"/>
            </w:tcBorders>
            <w:noWrap/>
          </w:tcPr>
          <w:p w14:paraId="77FDBC6F"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1.7%</w:t>
            </w:r>
          </w:p>
        </w:tc>
        <w:tc>
          <w:tcPr>
            <w:tcW w:w="1116" w:type="dxa"/>
            <w:tcBorders>
              <w:top w:val="nil"/>
              <w:bottom w:val="nil"/>
            </w:tcBorders>
          </w:tcPr>
          <w:p w14:paraId="77FDBC70"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-2.1%</w:t>
            </w:r>
          </w:p>
        </w:tc>
        <w:tc>
          <w:tcPr>
            <w:tcW w:w="1116" w:type="dxa"/>
            <w:tcBorders>
              <w:top w:val="nil"/>
              <w:bottom w:val="nil"/>
            </w:tcBorders>
          </w:tcPr>
          <w:p w14:paraId="77FDBC71"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0.5%</w:t>
            </w:r>
          </w:p>
        </w:tc>
        <w:tc>
          <w:tcPr>
            <w:tcW w:w="1117" w:type="dxa"/>
            <w:tcBorders>
              <w:top w:val="nil"/>
              <w:bottom w:val="nil"/>
            </w:tcBorders>
          </w:tcPr>
          <w:p w14:paraId="77FDBC72"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0.5%</w:t>
            </w:r>
          </w:p>
        </w:tc>
      </w:tr>
      <w:tr w:rsidR="00EA21D5" w:rsidRPr="00F975F4" w14:paraId="77FDBC7F" w14:textId="77777777" w:rsidTr="00657F96">
        <w:trPr>
          <w:cnfStyle w:val="000000010000" w:firstRow="0" w:lastRow="0" w:firstColumn="0" w:lastColumn="0" w:oddVBand="0" w:evenVBand="0" w:oddHBand="0" w:evenHBand="1" w:firstRowFirstColumn="0" w:firstRowLastColumn="0" w:lastRowFirstColumn="0" w:lastRowLastColumn="0"/>
        </w:trPr>
        <w:tc>
          <w:tcPr>
            <w:tcW w:w="2880" w:type="dxa"/>
            <w:tcBorders>
              <w:top w:val="nil"/>
              <w:bottom w:val="nil"/>
              <w:right w:val="single" w:sz="4" w:space="0" w:color="auto"/>
            </w:tcBorders>
            <w:noWrap/>
            <w:tcMar>
              <w:left w:w="0" w:type="dxa"/>
              <w:right w:w="0" w:type="dxa"/>
            </w:tcMar>
            <w:hideMark/>
          </w:tcPr>
          <w:p w14:paraId="77FDBC74" w14:textId="77777777" w:rsidR="00EA21D5" w:rsidRPr="00F975F4" w:rsidRDefault="00EA21D5" w:rsidP="00494281">
            <w:pPr>
              <w:pStyle w:val="TableText"/>
              <w:ind w:left="288"/>
              <w:rPr>
                <w:rFonts w:asciiTheme="majorHAnsi" w:hAnsiTheme="majorHAnsi" w:cstheme="majorHAnsi"/>
                <w:i/>
                <w:iCs/>
                <w:color w:val="000000"/>
                <w:szCs w:val="17"/>
                <w:lang w:eastAsia="en-GB"/>
              </w:rPr>
            </w:pPr>
            <w:r w:rsidRPr="00F975F4">
              <w:rPr>
                <w:rFonts w:asciiTheme="majorHAnsi" w:hAnsiTheme="majorHAnsi" w:cstheme="majorHAnsi"/>
                <w:i/>
                <w:iCs/>
                <w:color w:val="000000"/>
                <w:szCs w:val="17"/>
                <w:lang w:eastAsia="en-GB"/>
              </w:rPr>
              <w:t>Government services</w:t>
            </w:r>
          </w:p>
        </w:tc>
        <w:tc>
          <w:tcPr>
            <w:tcW w:w="1116" w:type="dxa"/>
            <w:tcBorders>
              <w:top w:val="nil"/>
              <w:left w:val="single" w:sz="4" w:space="0" w:color="auto"/>
              <w:bottom w:val="nil"/>
            </w:tcBorders>
            <w:noWrap/>
          </w:tcPr>
          <w:p w14:paraId="77FDBC75" w14:textId="77777777" w:rsidR="00EA21D5" w:rsidRPr="00F975F4" w:rsidRDefault="00EA21D5" w:rsidP="00F975F4">
            <w:pPr>
              <w:jc w:val="center"/>
              <w:rPr>
                <w:rFonts w:asciiTheme="majorHAnsi" w:eastAsia="Times New Roman" w:hAnsiTheme="majorHAnsi" w:cstheme="majorHAnsi"/>
                <w:i/>
                <w:sz w:val="17"/>
                <w:szCs w:val="17"/>
                <w:lang w:eastAsia="en-GB"/>
              </w:rPr>
            </w:pPr>
            <w:r w:rsidRPr="00F975F4">
              <w:rPr>
                <w:rFonts w:asciiTheme="majorHAnsi" w:eastAsia="Times New Roman" w:hAnsiTheme="majorHAnsi" w:cstheme="majorHAnsi"/>
                <w:i/>
                <w:sz w:val="17"/>
                <w:szCs w:val="17"/>
                <w:lang w:eastAsia="en-GB"/>
              </w:rPr>
              <w:t>100</w:t>
            </w:r>
          </w:p>
        </w:tc>
        <w:tc>
          <w:tcPr>
            <w:tcW w:w="1116" w:type="dxa"/>
            <w:tcBorders>
              <w:top w:val="nil"/>
              <w:bottom w:val="nil"/>
            </w:tcBorders>
            <w:noWrap/>
          </w:tcPr>
          <w:p w14:paraId="77FDBC76"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347.0</w:t>
            </w:r>
          </w:p>
        </w:tc>
        <w:tc>
          <w:tcPr>
            <w:tcW w:w="1116" w:type="dxa"/>
            <w:tcBorders>
              <w:top w:val="nil"/>
              <w:bottom w:val="nil"/>
            </w:tcBorders>
            <w:noWrap/>
          </w:tcPr>
          <w:p w14:paraId="77FDBC77"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245.7</w:t>
            </w:r>
          </w:p>
        </w:tc>
        <w:tc>
          <w:tcPr>
            <w:tcW w:w="1116" w:type="dxa"/>
            <w:tcBorders>
              <w:top w:val="nil"/>
              <w:bottom w:val="nil"/>
            </w:tcBorders>
            <w:noWrap/>
          </w:tcPr>
          <w:p w14:paraId="77FDBC78"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214.0</w:t>
            </w:r>
          </w:p>
        </w:tc>
        <w:tc>
          <w:tcPr>
            <w:tcW w:w="1116" w:type="dxa"/>
            <w:tcBorders>
              <w:top w:val="nil"/>
              <w:bottom w:val="nil"/>
            </w:tcBorders>
            <w:noWrap/>
          </w:tcPr>
          <w:p w14:paraId="77FDBC79"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201.1</w:t>
            </w:r>
          </w:p>
        </w:tc>
        <w:tc>
          <w:tcPr>
            <w:tcW w:w="1116" w:type="dxa"/>
            <w:tcBorders>
              <w:top w:val="nil"/>
              <w:bottom w:val="nil"/>
              <w:right w:val="single" w:sz="4" w:space="0" w:color="auto"/>
            </w:tcBorders>
            <w:noWrap/>
          </w:tcPr>
          <w:p w14:paraId="77FDBC7A"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198.8</w:t>
            </w:r>
          </w:p>
        </w:tc>
        <w:tc>
          <w:tcPr>
            <w:tcW w:w="1116" w:type="dxa"/>
            <w:tcBorders>
              <w:top w:val="nil"/>
              <w:left w:val="single" w:sz="4" w:space="0" w:color="auto"/>
              <w:bottom w:val="nil"/>
            </w:tcBorders>
            <w:noWrap/>
          </w:tcPr>
          <w:p w14:paraId="77FDBC7B"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1.4%</w:t>
            </w:r>
          </w:p>
        </w:tc>
        <w:tc>
          <w:tcPr>
            <w:tcW w:w="1116" w:type="dxa"/>
            <w:tcBorders>
              <w:top w:val="nil"/>
              <w:bottom w:val="nil"/>
            </w:tcBorders>
          </w:tcPr>
          <w:p w14:paraId="77FDBC7C"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-1.4%</w:t>
            </w:r>
          </w:p>
        </w:tc>
        <w:tc>
          <w:tcPr>
            <w:tcW w:w="1116" w:type="dxa"/>
            <w:tcBorders>
              <w:top w:val="nil"/>
              <w:bottom w:val="nil"/>
            </w:tcBorders>
          </w:tcPr>
          <w:p w14:paraId="77FDBC7D"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-1.2%</w:t>
            </w:r>
          </w:p>
        </w:tc>
        <w:tc>
          <w:tcPr>
            <w:tcW w:w="1117" w:type="dxa"/>
            <w:tcBorders>
              <w:top w:val="nil"/>
              <w:bottom w:val="nil"/>
            </w:tcBorders>
          </w:tcPr>
          <w:p w14:paraId="77FDBC7E"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-0.2%</w:t>
            </w:r>
          </w:p>
        </w:tc>
      </w:tr>
      <w:tr w:rsidR="00EA21D5" w:rsidRPr="00F975F4" w14:paraId="77FDBC8B" w14:textId="77777777" w:rsidTr="00657F96">
        <w:trPr>
          <w:cnfStyle w:val="000000100000" w:firstRow="0" w:lastRow="0" w:firstColumn="0" w:lastColumn="0" w:oddVBand="0" w:evenVBand="0" w:oddHBand="1" w:evenHBand="0" w:firstRowFirstColumn="0" w:firstRowLastColumn="0" w:lastRowFirstColumn="0" w:lastRowLastColumn="0"/>
        </w:trPr>
        <w:tc>
          <w:tcPr>
            <w:tcW w:w="2880" w:type="dxa"/>
            <w:tcBorders>
              <w:top w:val="nil"/>
              <w:right w:val="single" w:sz="4" w:space="0" w:color="auto"/>
            </w:tcBorders>
            <w:noWrap/>
            <w:tcMar>
              <w:left w:w="0" w:type="dxa"/>
              <w:right w:w="0" w:type="dxa"/>
            </w:tcMar>
            <w:hideMark/>
          </w:tcPr>
          <w:p w14:paraId="77FDBC80" w14:textId="77777777" w:rsidR="00EA21D5" w:rsidRPr="00F975F4" w:rsidRDefault="00EA21D5" w:rsidP="00494281">
            <w:pPr>
              <w:pStyle w:val="TableText"/>
              <w:ind w:left="288"/>
              <w:rPr>
                <w:rFonts w:asciiTheme="majorHAnsi" w:hAnsiTheme="majorHAnsi" w:cstheme="majorHAnsi"/>
                <w:i/>
                <w:iCs/>
                <w:color w:val="000000"/>
                <w:szCs w:val="17"/>
                <w:lang w:eastAsia="en-GB"/>
              </w:rPr>
            </w:pPr>
            <w:r w:rsidRPr="00F975F4">
              <w:rPr>
                <w:rFonts w:asciiTheme="majorHAnsi" w:hAnsiTheme="majorHAnsi" w:cstheme="majorHAnsi"/>
                <w:i/>
                <w:iCs/>
                <w:color w:val="000000"/>
                <w:szCs w:val="17"/>
                <w:lang w:eastAsia="en-GB"/>
              </w:rPr>
              <w:t>Other services</w:t>
            </w:r>
          </w:p>
        </w:tc>
        <w:tc>
          <w:tcPr>
            <w:tcW w:w="1116" w:type="dxa"/>
            <w:tcBorders>
              <w:top w:val="nil"/>
              <w:left w:val="single" w:sz="4" w:space="0" w:color="auto"/>
            </w:tcBorders>
            <w:noWrap/>
          </w:tcPr>
          <w:p w14:paraId="77FDBC81" w14:textId="77777777" w:rsidR="00EA21D5" w:rsidRPr="00F975F4" w:rsidRDefault="00EA21D5" w:rsidP="00F975F4">
            <w:pPr>
              <w:jc w:val="center"/>
              <w:rPr>
                <w:rFonts w:asciiTheme="majorHAnsi" w:eastAsia="Times New Roman" w:hAnsiTheme="majorHAnsi" w:cstheme="majorHAnsi"/>
                <w:i/>
                <w:sz w:val="17"/>
                <w:szCs w:val="17"/>
                <w:lang w:eastAsia="en-GB"/>
              </w:rPr>
            </w:pPr>
            <w:r w:rsidRPr="00F975F4">
              <w:rPr>
                <w:rFonts w:asciiTheme="majorHAnsi" w:eastAsia="Times New Roman" w:hAnsiTheme="majorHAnsi" w:cstheme="majorHAnsi"/>
                <w:i/>
                <w:sz w:val="17"/>
                <w:szCs w:val="17"/>
                <w:lang w:eastAsia="en-GB"/>
              </w:rPr>
              <w:t>100</w:t>
            </w:r>
          </w:p>
        </w:tc>
        <w:tc>
          <w:tcPr>
            <w:tcW w:w="1116" w:type="dxa"/>
            <w:tcBorders>
              <w:top w:val="nil"/>
            </w:tcBorders>
            <w:noWrap/>
          </w:tcPr>
          <w:p w14:paraId="77FDBC82"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356.3</w:t>
            </w:r>
          </w:p>
        </w:tc>
        <w:tc>
          <w:tcPr>
            <w:tcW w:w="1116" w:type="dxa"/>
            <w:tcBorders>
              <w:top w:val="nil"/>
            </w:tcBorders>
            <w:noWrap/>
          </w:tcPr>
          <w:p w14:paraId="77FDBC83"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381.0</w:t>
            </w:r>
          </w:p>
        </w:tc>
        <w:tc>
          <w:tcPr>
            <w:tcW w:w="1116" w:type="dxa"/>
            <w:tcBorders>
              <w:top w:val="nil"/>
            </w:tcBorders>
            <w:noWrap/>
          </w:tcPr>
          <w:p w14:paraId="77FDBC84"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336.2</w:t>
            </w:r>
          </w:p>
        </w:tc>
        <w:tc>
          <w:tcPr>
            <w:tcW w:w="1116" w:type="dxa"/>
            <w:tcBorders>
              <w:top w:val="nil"/>
            </w:tcBorders>
            <w:noWrap/>
          </w:tcPr>
          <w:p w14:paraId="77FDBC85"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318.1</w:t>
            </w:r>
          </w:p>
        </w:tc>
        <w:tc>
          <w:tcPr>
            <w:tcW w:w="1116" w:type="dxa"/>
            <w:tcBorders>
              <w:top w:val="nil"/>
              <w:right w:val="single" w:sz="4" w:space="0" w:color="auto"/>
            </w:tcBorders>
            <w:noWrap/>
          </w:tcPr>
          <w:p w14:paraId="77FDBC86"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316.4</w:t>
            </w:r>
          </w:p>
        </w:tc>
        <w:tc>
          <w:tcPr>
            <w:tcW w:w="1116" w:type="dxa"/>
            <w:tcBorders>
              <w:top w:val="nil"/>
              <w:left w:val="single" w:sz="4" w:space="0" w:color="auto"/>
            </w:tcBorders>
            <w:noWrap/>
          </w:tcPr>
          <w:p w14:paraId="77FDBC87"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2.4%</w:t>
            </w:r>
          </w:p>
        </w:tc>
        <w:tc>
          <w:tcPr>
            <w:tcW w:w="1116" w:type="dxa"/>
            <w:tcBorders>
              <w:top w:val="nil"/>
            </w:tcBorders>
          </w:tcPr>
          <w:p w14:paraId="77FDBC88"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-1.2%</w:t>
            </w:r>
          </w:p>
        </w:tc>
        <w:tc>
          <w:tcPr>
            <w:tcW w:w="1116" w:type="dxa"/>
            <w:tcBorders>
              <w:top w:val="nil"/>
            </w:tcBorders>
          </w:tcPr>
          <w:p w14:paraId="77FDBC89"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-1.1%</w:t>
            </w:r>
          </w:p>
        </w:tc>
        <w:tc>
          <w:tcPr>
            <w:tcW w:w="1117" w:type="dxa"/>
            <w:tcBorders>
              <w:top w:val="nil"/>
            </w:tcBorders>
          </w:tcPr>
          <w:p w14:paraId="77FDBC8A" w14:textId="77777777" w:rsidR="00EA21D5" w:rsidRPr="00EA21D5" w:rsidRDefault="00EA21D5" w:rsidP="00EA21D5">
            <w:pPr>
              <w:spacing w:line="220" w:lineRule="atLeast"/>
              <w:ind w:right="216"/>
              <w:jc w:val="right"/>
              <w:rPr>
                <w:rFonts w:asciiTheme="majorHAnsi" w:eastAsia="Times New Roman" w:hAnsiTheme="majorHAnsi" w:cstheme="majorHAnsi"/>
                <w:sz w:val="17"/>
                <w:szCs w:val="17"/>
                <w:lang w:eastAsia="en-GB"/>
              </w:rPr>
            </w:pPr>
            <w:r w:rsidRPr="00EA21D5">
              <w:rPr>
                <w:rFonts w:asciiTheme="majorHAnsi" w:eastAsia="Times New Roman" w:hAnsiTheme="majorHAnsi" w:cstheme="majorHAnsi"/>
                <w:sz w:val="17"/>
                <w:szCs w:val="17"/>
                <w:lang w:eastAsia="en-GB"/>
              </w:rPr>
              <w:t>-0.1%</w:t>
            </w:r>
          </w:p>
        </w:tc>
      </w:tr>
      <w:tr w:rsidR="00EA21D5" w:rsidRPr="00EA21D5" w14:paraId="77FDBC97" w14:textId="77777777" w:rsidTr="00657F96">
        <w:trPr>
          <w:cnfStyle w:val="000000010000" w:firstRow="0" w:lastRow="0" w:firstColumn="0" w:lastColumn="0" w:oddVBand="0" w:evenVBand="0" w:oddHBand="0" w:evenHBand="1" w:firstRowFirstColumn="0" w:firstRowLastColumn="0" w:lastRowFirstColumn="0" w:lastRowLastColumn="0"/>
        </w:trPr>
        <w:tc>
          <w:tcPr>
            <w:tcW w:w="2880" w:type="dxa"/>
            <w:tcBorders>
              <w:right w:val="single" w:sz="4" w:space="0" w:color="auto"/>
            </w:tcBorders>
            <w:noWrap/>
            <w:tcMar>
              <w:left w:w="0" w:type="dxa"/>
              <w:right w:w="0" w:type="dxa"/>
            </w:tcMar>
            <w:hideMark/>
          </w:tcPr>
          <w:p w14:paraId="77FDBC8C" w14:textId="77777777" w:rsidR="00EA21D5" w:rsidRPr="00EA21D5" w:rsidRDefault="00EA21D5" w:rsidP="00062C4C">
            <w:pPr>
              <w:pStyle w:val="TableText"/>
              <w:rPr>
                <w:rFonts w:asciiTheme="majorHAnsi" w:hAnsiTheme="majorHAnsi" w:cstheme="majorHAnsi"/>
                <w:b/>
                <w:color w:val="000000"/>
                <w:szCs w:val="17"/>
                <w:lang w:eastAsia="en-GB"/>
              </w:rPr>
            </w:pPr>
            <w:r w:rsidRPr="00EA21D5">
              <w:rPr>
                <w:rFonts w:asciiTheme="majorHAnsi" w:hAnsiTheme="majorHAnsi" w:cstheme="majorHAnsi"/>
                <w:b/>
                <w:color w:val="000000"/>
                <w:szCs w:val="17"/>
                <w:lang w:eastAsia="en-GB"/>
              </w:rPr>
              <w:t>Total economy</w:t>
            </w:r>
          </w:p>
        </w:tc>
        <w:tc>
          <w:tcPr>
            <w:tcW w:w="1116" w:type="dxa"/>
            <w:tcBorders>
              <w:left w:val="single" w:sz="4" w:space="0" w:color="auto"/>
            </w:tcBorders>
            <w:noWrap/>
          </w:tcPr>
          <w:p w14:paraId="77FDBC8D" w14:textId="77777777" w:rsidR="00EA21D5" w:rsidRPr="00EA21D5" w:rsidRDefault="00EA21D5" w:rsidP="00F975F4">
            <w:pPr>
              <w:jc w:val="center"/>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100</w:t>
            </w:r>
          </w:p>
        </w:tc>
        <w:tc>
          <w:tcPr>
            <w:tcW w:w="1116" w:type="dxa"/>
            <w:noWrap/>
          </w:tcPr>
          <w:p w14:paraId="77FDBC8E"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144.3</w:t>
            </w:r>
          </w:p>
        </w:tc>
        <w:tc>
          <w:tcPr>
            <w:tcW w:w="1116" w:type="dxa"/>
            <w:noWrap/>
          </w:tcPr>
          <w:p w14:paraId="77FDBC8F"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133.9</w:t>
            </w:r>
          </w:p>
        </w:tc>
        <w:tc>
          <w:tcPr>
            <w:tcW w:w="1116" w:type="dxa"/>
            <w:noWrap/>
          </w:tcPr>
          <w:p w14:paraId="77FDBC90"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143.5</w:t>
            </w:r>
          </w:p>
        </w:tc>
        <w:tc>
          <w:tcPr>
            <w:tcW w:w="1116" w:type="dxa"/>
            <w:noWrap/>
          </w:tcPr>
          <w:p w14:paraId="77FDBC91"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175.6</w:t>
            </w:r>
          </w:p>
        </w:tc>
        <w:tc>
          <w:tcPr>
            <w:tcW w:w="1116" w:type="dxa"/>
            <w:tcBorders>
              <w:right w:val="single" w:sz="4" w:space="0" w:color="auto"/>
            </w:tcBorders>
            <w:noWrap/>
          </w:tcPr>
          <w:p w14:paraId="77FDBC92"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213.2</w:t>
            </w:r>
          </w:p>
        </w:tc>
        <w:tc>
          <w:tcPr>
            <w:tcW w:w="1116" w:type="dxa"/>
            <w:tcBorders>
              <w:left w:val="single" w:sz="4" w:space="0" w:color="auto"/>
            </w:tcBorders>
            <w:noWrap/>
          </w:tcPr>
          <w:p w14:paraId="77FDBC93"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1.6%</w:t>
            </w:r>
          </w:p>
        </w:tc>
        <w:tc>
          <w:tcPr>
            <w:tcW w:w="1116" w:type="dxa"/>
          </w:tcPr>
          <w:p w14:paraId="77FDBC94"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0.7%</w:t>
            </w:r>
          </w:p>
        </w:tc>
        <w:tc>
          <w:tcPr>
            <w:tcW w:w="1116" w:type="dxa"/>
          </w:tcPr>
          <w:p w14:paraId="77FDBC95"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4.1%</w:t>
            </w:r>
          </w:p>
        </w:tc>
        <w:tc>
          <w:tcPr>
            <w:tcW w:w="1117" w:type="dxa"/>
          </w:tcPr>
          <w:p w14:paraId="77FDBC96" w14:textId="77777777" w:rsidR="00EA21D5" w:rsidRPr="00EA21D5" w:rsidRDefault="00EA21D5" w:rsidP="00EA21D5">
            <w:pPr>
              <w:spacing w:line="220" w:lineRule="atLeast"/>
              <w:ind w:right="216"/>
              <w:jc w:val="right"/>
              <w:rPr>
                <w:rFonts w:asciiTheme="majorHAnsi" w:eastAsia="Times New Roman" w:hAnsiTheme="majorHAnsi" w:cstheme="majorHAnsi"/>
                <w:b/>
                <w:sz w:val="17"/>
                <w:szCs w:val="17"/>
                <w:lang w:eastAsia="en-GB"/>
              </w:rPr>
            </w:pPr>
            <w:r w:rsidRPr="00EA21D5">
              <w:rPr>
                <w:rFonts w:asciiTheme="majorHAnsi" w:eastAsia="Times New Roman" w:hAnsiTheme="majorHAnsi" w:cstheme="majorHAnsi"/>
                <w:b/>
                <w:sz w:val="17"/>
                <w:szCs w:val="17"/>
                <w:lang w:eastAsia="en-GB"/>
              </w:rPr>
              <w:t>4.0%</w:t>
            </w:r>
          </w:p>
        </w:tc>
      </w:tr>
    </w:tbl>
    <w:p w14:paraId="77FDBC98" w14:textId="77777777" w:rsidR="00FF41BE" w:rsidRDefault="006E46CD" w:rsidP="00FF41BE">
      <w:pPr>
        <w:pStyle w:val="Source"/>
      </w:pPr>
      <w:r>
        <w:t xml:space="preserve">Note: Derived by calculating labour productivity levels (gross value added </w:t>
      </w:r>
      <w:r w:rsidR="00E44849">
        <w:t xml:space="preserve">at constant 2005 prices </w:t>
      </w:r>
      <w:r>
        <w:t>divided by number of persons engaged) and expressing the result</w:t>
      </w:r>
      <w:r w:rsidR="0079184A">
        <w:t>s</w:t>
      </w:r>
      <w:r>
        <w:t xml:space="preserve"> as </w:t>
      </w:r>
      <w:r w:rsidR="0079184A">
        <w:t xml:space="preserve">an index </w:t>
      </w:r>
      <w:r w:rsidR="00E44849">
        <w:t xml:space="preserve">related to </w:t>
      </w:r>
      <w:r w:rsidR="0079184A">
        <w:t>196</w:t>
      </w:r>
      <w:r w:rsidR="00F64B41">
        <w:t>1</w:t>
      </w:r>
      <w:r w:rsidR="0079184A">
        <w:t xml:space="preserve"> levels. </w:t>
      </w:r>
      <w:r>
        <w:br/>
      </w:r>
      <w:r w:rsidR="00FF41BE">
        <w:t>Source: Authors’ calculations using the Africa Sector Database</w:t>
      </w:r>
      <w:r w:rsidR="001228CD">
        <w:t xml:space="preserve"> (</w:t>
      </w:r>
      <w:hyperlink r:id="rId19" w:history="1">
        <w:r w:rsidR="001228CD" w:rsidRPr="001228CD">
          <w:rPr>
            <w:rStyle w:val="Hyperlink"/>
          </w:rPr>
          <w:t>http://www.rug.nl/research/ggdc/data/africa-sector-database</w:t>
        </w:r>
      </w:hyperlink>
      <w:r w:rsidR="001228CD">
        <w:t>)</w:t>
      </w:r>
      <w:r w:rsidR="00714EDC">
        <w:t xml:space="preserve">; </w:t>
      </w:r>
      <w:r w:rsidR="00714EDC" w:rsidRPr="00714EDC">
        <w:t>de Vries et al. (2013)</w:t>
      </w:r>
      <w:r w:rsidR="00FF41BE">
        <w:t>.</w:t>
      </w:r>
    </w:p>
    <w:p w14:paraId="3FE0757D" w14:textId="77777777" w:rsidR="00996F64" w:rsidRDefault="00996F64" w:rsidP="00FF41BE">
      <w:pPr>
        <w:pStyle w:val="Source"/>
      </w:pPr>
    </w:p>
    <w:p w14:paraId="4E056A06" w14:textId="77777777" w:rsidR="00996F64" w:rsidRDefault="00996F64">
      <w:pPr>
        <w:rPr>
          <w:rFonts w:ascii="Arial" w:hAnsi="Arial"/>
          <w:i/>
          <w:sz w:val="16"/>
        </w:rPr>
      </w:pPr>
      <w:r>
        <w:br w:type="page"/>
      </w:r>
    </w:p>
    <w:p w14:paraId="53A8BB7B" w14:textId="77777777" w:rsidR="00232104" w:rsidRDefault="00232104" w:rsidP="00232104">
      <w:pPr>
        <w:pStyle w:val="BodyText"/>
      </w:pPr>
    </w:p>
    <w:p w14:paraId="0B2D48FC" w14:textId="77777777" w:rsidR="00232104" w:rsidRDefault="00232104" w:rsidP="00232104">
      <w:pPr>
        <w:pStyle w:val="BodyText"/>
      </w:pPr>
    </w:p>
    <w:p w14:paraId="6355A337" w14:textId="77777777" w:rsidR="00232104" w:rsidRDefault="00232104" w:rsidP="00232104">
      <w:pPr>
        <w:pStyle w:val="BodyText"/>
      </w:pPr>
    </w:p>
    <w:p w14:paraId="6763739B" w14:textId="77777777" w:rsidR="00232104" w:rsidRDefault="00232104" w:rsidP="00232104">
      <w:pPr>
        <w:pStyle w:val="BodyText"/>
      </w:pPr>
    </w:p>
    <w:p w14:paraId="6D570076" w14:textId="77777777" w:rsidR="00232104" w:rsidRDefault="00232104" w:rsidP="00232104">
      <w:pPr>
        <w:pStyle w:val="BodyText"/>
      </w:pPr>
    </w:p>
    <w:p w14:paraId="1AB72EA6" w14:textId="67AF540E" w:rsidR="00996F64" w:rsidRDefault="00996F64" w:rsidP="00996F64">
      <w:pPr>
        <w:pStyle w:val="TableHeading"/>
        <w:numPr>
          <w:ilvl w:val="0"/>
          <w:numId w:val="33"/>
        </w:numPr>
        <w:tabs>
          <w:tab w:val="right" w:pos="9806"/>
          <w:tab w:val="right" w:pos="13925"/>
        </w:tabs>
      </w:pPr>
      <w:bookmarkStart w:id="21" w:name="_Toc428435126"/>
      <w:r>
        <w:t xml:space="preserve">Labour productivity levels and changes, </w:t>
      </w:r>
      <w:r w:rsidR="00232104">
        <w:rPr>
          <w:noProof/>
        </w:rPr>
        <w:t>Tanzania</w:t>
      </w:r>
      <w:r>
        <w:t>, 1991–2013 (</w:t>
      </w:r>
      <w:proofErr w:type="spellStart"/>
      <w:r>
        <w:t>UNSD</w:t>
      </w:r>
      <w:proofErr w:type="spellEnd"/>
      <w:r>
        <w:t xml:space="preserve">/ILO </w:t>
      </w:r>
      <w:proofErr w:type="spellStart"/>
      <w:r>
        <w:t>WESO</w:t>
      </w:r>
      <w:proofErr w:type="spellEnd"/>
      <w:r>
        <w:t xml:space="preserve"> data) </w:t>
      </w:r>
      <w:r>
        <w:tab/>
      </w:r>
      <w:r w:rsidRPr="001B0E3C">
        <w:rPr>
          <w:color w:val="FF0000"/>
        </w:rPr>
        <w:t>NEW</w:t>
      </w:r>
      <w:bookmarkEnd w:id="21"/>
    </w:p>
    <w:tbl>
      <w:tblPr>
        <w:tblW w:w="3750" w:type="pct"/>
        <w:tblLayout w:type="fixed"/>
        <w:tblCellMar>
          <w:top w:w="14" w:type="dxa"/>
          <w:left w:w="0" w:type="dxa"/>
          <w:bottom w:w="14" w:type="dxa"/>
          <w:right w:w="0" w:type="dxa"/>
        </w:tblCellMar>
        <w:tblLook w:val="04A0" w:firstRow="1" w:lastRow="0" w:firstColumn="1" w:lastColumn="0" w:noHBand="0" w:noVBand="1"/>
      </w:tblPr>
      <w:tblGrid>
        <w:gridCol w:w="2875"/>
        <w:gridCol w:w="759"/>
        <w:gridCol w:w="763"/>
        <w:gridCol w:w="763"/>
        <w:gridCol w:w="763"/>
        <w:gridCol w:w="761"/>
        <w:gridCol w:w="763"/>
        <w:gridCol w:w="763"/>
        <w:gridCol w:w="764"/>
        <w:gridCol w:w="764"/>
        <w:gridCol w:w="764"/>
      </w:tblGrid>
      <w:tr w:rsidR="00996F64" w:rsidRPr="0046635F" w14:paraId="636A829B" w14:textId="77777777" w:rsidTr="00996F64">
        <w:tc>
          <w:tcPr>
            <w:tcW w:w="2875" w:type="dxa"/>
            <w:tcBorders>
              <w:right w:val="single" w:sz="4" w:space="0" w:color="auto"/>
            </w:tcBorders>
            <w:shd w:val="clear" w:color="auto" w:fill="D9D9D9" w:themeFill="background1" w:themeFillShade="D9"/>
            <w:noWrap/>
            <w:hideMark/>
          </w:tcPr>
          <w:p w14:paraId="00855F70" w14:textId="77777777" w:rsidR="00996F64" w:rsidRPr="0046635F" w:rsidRDefault="00996F64" w:rsidP="00996F64">
            <w:pPr>
              <w:ind w:left="144" w:right="144"/>
              <w:jc w:val="center"/>
              <w:rPr>
                <w:rFonts w:ascii="Arial" w:hAnsi="Arial" w:cs="Arial"/>
                <w:b/>
                <w:sz w:val="17"/>
                <w:szCs w:val="17"/>
                <w:lang w:eastAsia="en-GB"/>
              </w:rPr>
            </w:pPr>
            <w:r w:rsidRPr="0046635F">
              <w:rPr>
                <w:rFonts w:ascii="Arial" w:hAnsi="Arial" w:cs="Arial"/>
                <w:b/>
                <w:bCs/>
                <w:sz w:val="17"/>
                <w:szCs w:val="17"/>
              </w:rPr>
              <w:t>Economic activity</w:t>
            </w:r>
          </w:p>
        </w:tc>
        <w:tc>
          <w:tcPr>
            <w:tcW w:w="3809" w:type="dxa"/>
            <w:gridSpan w:val="5"/>
            <w:tcBorders>
              <w:left w:val="single" w:sz="4" w:space="0" w:color="auto"/>
              <w:right w:val="single" w:sz="4" w:space="0" w:color="auto"/>
            </w:tcBorders>
            <w:shd w:val="clear" w:color="auto" w:fill="D9D9D9" w:themeFill="background1" w:themeFillShade="D9"/>
          </w:tcPr>
          <w:p w14:paraId="17AB09F5" w14:textId="77777777" w:rsidR="00996F64" w:rsidRPr="0046635F" w:rsidRDefault="00996F64" w:rsidP="00996F64">
            <w:pPr>
              <w:ind w:left="144" w:right="144"/>
              <w:jc w:val="center"/>
              <w:rPr>
                <w:rFonts w:ascii="Arial" w:eastAsia="Times New Roman" w:hAnsi="Arial" w:cs="Arial"/>
                <w:sz w:val="17"/>
                <w:szCs w:val="17"/>
                <w:lang w:eastAsia="en-GB"/>
              </w:rPr>
            </w:pPr>
            <w:r w:rsidRPr="0046635F">
              <w:rPr>
                <w:rFonts w:ascii="Arial" w:eastAsia="Times New Roman" w:hAnsi="Arial" w:cs="Arial"/>
                <w:b/>
                <w:bCs/>
                <w:sz w:val="17"/>
                <w:szCs w:val="17"/>
                <w:lang w:eastAsia="en-GB"/>
              </w:rPr>
              <w:t>Labour productivity (index, 1991=100)</w:t>
            </w:r>
          </w:p>
        </w:tc>
        <w:tc>
          <w:tcPr>
            <w:tcW w:w="3818" w:type="dxa"/>
            <w:gridSpan w:val="5"/>
            <w:tcBorders>
              <w:left w:val="single" w:sz="4" w:space="0" w:color="auto"/>
            </w:tcBorders>
            <w:shd w:val="clear" w:color="auto" w:fill="D9D9D9" w:themeFill="background1" w:themeFillShade="D9"/>
          </w:tcPr>
          <w:p w14:paraId="17A9AD50" w14:textId="77777777" w:rsidR="00996F64" w:rsidRPr="0046635F" w:rsidRDefault="00996F64" w:rsidP="00996F64">
            <w:pPr>
              <w:ind w:left="144" w:right="144"/>
              <w:jc w:val="center"/>
              <w:rPr>
                <w:rFonts w:ascii="Arial" w:hAnsi="Arial" w:cs="Arial"/>
                <w:b/>
                <w:bCs/>
                <w:sz w:val="17"/>
                <w:szCs w:val="17"/>
              </w:rPr>
            </w:pPr>
            <w:r w:rsidRPr="0046635F">
              <w:rPr>
                <w:rFonts w:ascii="Arial" w:eastAsia="Times New Roman" w:hAnsi="Arial" w:cs="Arial"/>
                <w:b/>
                <w:bCs/>
                <w:sz w:val="17"/>
                <w:szCs w:val="17"/>
                <w:lang w:eastAsia="en-GB"/>
              </w:rPr>
              <w:t>Annualised growth in labour productivity</w:t>
            </w:r>
          </w:p>
        </w:tc>
      </w:tr>
      <w:tr w:rsidR="00996F64" w:rsidRPr="0046635F" w14:paraId="0351ACA3" w14:textId="77777777" w:rsidTr="00996F64">
        <w:trPr>
          <w:trHeight w:val="240"/>
        </w:trPr>
        <w:tc>
          <w:tcPr>
            <w:tcW w:w="2875" w:type="dxa"/>
            <w:tcBorders>
              <w:bottom w:val="single" w:sz="4" w:space="0" w:color="auto"/>
              <w:right w:val="single" w:sz="4" w:space="0" w:color="auto"/>
            </w:tcBorders>
            <w:shd w:val="clear" w:color="auto" w:fill="D9D9D9" w:themeFill="background1" w:themeFillShade="D9"/>
            <w:noWrap/>
            <w:hideMark/>
          </w:tcPr>
          <w:p w14:paraId="082160C5" w14:textId="77777777" w:rsidR="00996F64" w:rsidRPr="0046635F" w:rsidRDefault="00996F64" w:rsidP="00996F64">
            <w:pPr>
              <w:jc w:val="center"/>
              <w:rPr>
                <w:rFonts w:ascii="Arial" w:eastAsia="Times New Roman" w:hAnsi="Arial" w:cs="Arial"/>
                <w:bCs/>
                <w:i/>
                <w:sz w:val="17"/>
                <w:szCs w:val="17"/>
                <w:lang w:eastAsia="en-GB"/>
              </w:rPr>
            </w:pPr>
          </w:p>
        </w:tc>
        <w:tc>
          <w:tcPr>
            <w:tcW w:w="759" w:type="dxa"/>
            <w:tcBorders>
              <w:left w:val="single" w:sz="4" w:space="0" w:color="auto"/>
              <w:bottom w:val="single" w:sz="4" w:space="0" w:color="auto"/>
            </w:tcBorders>
            <w:shd w:val="clear" w:color="auto" w:fill="D9D9D9" w:themeFill="background1" w:themeFillShade="D9"/>
          </w:tcPr>
          <w:p w14:paraId="038A2961" w14:textId="77777777" w:rsidR="00996F64" w:rsidRPr="0046635F" w:rsidRDefault="00996F64" w:rsidP="00996F64">
            <w:pPr>
              <w:jc w:val="center"/>
              <w:rPr>
                <w:rFonts w:ascii="Arial" w:eastAsia="Times New Roman" w:hAnsi="Arial" w:cs="Arial"/>
                <w:i/>
                <w:sz w:val="17"/>
                <w:szCs w:val="17"/>
                <w:lang w:eastAsia="en-GB"/>
              </w:rPr>
            </w:pPr>
            <w:r w:rsidRPr="0046635F">
              <w:rPr>
                <w:rFonts w:ascii="Arial" w:eastAsia="Times New Roman" w:hAnsi="Arial" w:cs="Arial"/>
                <w:bCs/>
                <w:i/>
                <w:sz w:val="17"/>
                <w:szCs w:val="17"/>
                <w:lang w:eastAsia="en-GB"/>
              </w:rPr>
              <w:t>1991</w:t>
            </w:r>
          </w:p>
        </w:tc>
        <w:tc>
          <w:tcPr>
            <w:tcW w:w="763" w:type="dxa"/>
            <w:tcBorders>
              <w:bottom w:val="single" w:sz="4" w:space="0" w:color="auto"/>
            </w:tcBorders>
            <w:shd w:val="clear" w:color="auto" w:fill="D9D9D9" w:themeFill="background1" w:themeFillShade="D9"/>
          </w:tcPr>
          <w:p w14:paraId="66623079" w14:textId="77777777" w:rsidR="00996F64" w:rsidRPr="0046635F" w:rsidRDefault="00996F64" w:rsidP="00996F64">
            <w:pPr>
              <w:jc w:val="center"/>
              <w:rPr>
                <w:rFonts w:ascii="Arial" w:eastAsia="Times New Roman" w:hAnsi="Arial" w:cs="Arial"/>
                <w:i/>
                <w:sz w:val="17"/>
                <w:szCs w:val="17"/>
                <w:lang w:eastAsia="en-GB"/>
              </w:rPr>
            </w:pPr>
            <w:r w:rsidRPr="0046635F">
              <w:rPr>
                <w:rFonts w:ascii="Arial" w:eastAsia="Times New Roman" w:hAnsi="Arial" w:cs="Arial"/>
                <w:bCs/>
                <w:i/>
                <w:sz w:val="17"/>
                <w:szCs w:val="17"/>
                <w:lang w:eastAsia="en-GB"/>
              </w:rPr>
              <w:t>2000</w:t>
            </w:r>
          </w:p>
        </w:tc>
        <w:tc>
          <w:tcPr>
            <w:tcW w:w="763" w:type="dxa"/>
            <w:tcBorders>
              <w:bottom w:val="single" w:sz="4" w:space="0" w:color="auto"/>
            </w:tcBorders>
            <w:shd w:val="clear" w:color="auto" w:fill="D9D9D9" w:themeFill="background1" w:themeFillShade="D9"/>
          </w:tcPr>
          <w:p w14:paraId="5FEA81AC" w14:textId="77777777" w:rsidR="00996F64" w:rsidRPr="0046635F" w:rsidRDefault="00996F64" w:rsidP="00996F64">
            <w:pPr>
              <w:jc w:val="center"/>
              <w:rPr>
                <w:rFonts w:ascii="Arial" w:eastAsia="Times New Roman" w:hAnsi="Arial" w:cs="Arial"/>
                <w:i/>
                <w:sz w:val="17"/>
                <w:szCs w:val="17"/>
                <w:lang w:eastAsia="en-GB"/>
              </w:rPr>
            </w:pPr>
            <w:r w:rsidRPr="0046635F">
              <w:rPr>
                <w:rFonts w:ascii="Arial" w:eastAsia="Times New Roman" w:hAnsi="Arial" w:cs="Arial"/>
                <w:bCs/>
                <w:i/>
                <w:sz w:val="17"/>
                <w:szCs w:val="17"/>
                <w:lang w:eastAsia="en-GB"/>
              </w:rPr>
              <w:t>2005</w:t>
            </w:r>
          </w:p>
        </w:tc>
        <w:tc>
          <w:tcPr>
            <w:tcW w:w="763" w:type="dxa"/>
            <w:tcBorders>
              <w:bottom w:val="single" w:sz="4" w:space="0" w:color="auto"/>
            </w:tcBorders>
            <w:shd w:val="clear" w:color="auto" w:fill="D9D9D9" w:themeFill="background1" w:themeFillShade="D9"/>
          </w:tcPr>
          <w:p w14:paraId="427D9D05" w14:textId="77777777" w:rsidR="00996F64" w:rsidRPr="0046635F" w:rsidRDefault="00996F64" w:rsidP="00996F64">
            <w:pPr>
              <w:jc w:val="center"/>
              <w:rPr>
                <w:rFonts w:ascii="Arial" w:eastAsia="Times New Roman" w:hAnsi="Arial" w:cs="Arial"/>
                <w:i/>
                <w:sz w:val="17"/>
                <w:szCs w:val="17"/>
                <w:lang w:eastAsia="en-GB"/>
              </w:rPr>
            </w:pPr>
            <w:r w:rsidRPr="0046635F">
              <w:rPr>
                <w:rFonts w:ascii="Arial" w:eastAsia="Times New Roman" w:hAnsi="Arial" w:cs="Arial"/>
                <w:bCs/>
                <w:i/>
                <w:sz w:val="17"/>
                <w:szCs w:val="17"/>
                <w:lang w:eastAsia="en-GB"/>
              </w:rPr>
              <w:t>2010</w:t>
            </w:r>
          </w:p>
        </w:tc>
        <w:tc>
          <w:tcPr>
            <w:tcW w:w="761" w:type="dxa"/>
            <w:tcBorders>
              <w:bottom w:val="single" w:sz="4" w:space="0" w:color="auto"/>
              <w:right w:val="single" w:sz="4" w:space="0" w:color="auto"/>
            </w:tcBorders>
            <w:shd w:val="clear" w:color="auto" w:fill="D9D9D9" w:themeFill="background1" w:themeFillShade="D9"/>
          </w:tcPr>
          <w:p w14:paraId="67FD941E" w14:textId="77777777" w:rsidR="00996F64" w:rsidRPr="0046635F" w:rsidRDefault="00996F64" w:rsidP="00996F64">
            <w:pPr>
              <w:jc w:val="center"/>
              <w:rPr>
                <w:rFonts w:ascii="Arial" w:eastAsia="Times New Roman" w:hAnsi="Arial" w:cs="Arial"/>
                <w:i/>
                <w:sz w:val="17"/>
                <w:szCs w:val="17"/>
                <w:lang w:eastAsia="en-GB"/>
              </w:rPr>
            </w:pPr>
            <w:r w:rsidRPr="0046635F">
              <w:rPr>
                <w:rFonts w:ascii="Arial" w:eastAsia="Times New Roman" w:hAnsi="Arial" w:cs="Arial"/>
                <w:bCs/>
                <w:i/>
                <w:sz w:val="17"/>
                <w:szCs w:val="17"/>
                <w:lang w:eastAsia="en-GB"/>
              </w:rPr>
              <w:t>2013</w:t>
            </w:r>
          </w:p>
        </w:tc>
        <w:tc>
          <w:tcPr>
            <w:tcW w:w="763" w:type="dxa"/>
            <w:tcBorders>
              <w:left w:val="single" w:sz="4" w:space="0" w:color="auto"/>
              <w:bottom w:val="single" w:sz="4" w:space="0" w:color="auto"/>
            </w:tcBorders>
            <w:shd w:val="clear" w:color="auto" w:fill="D9D9D9" w:themeFill="background1" w:themeFillShade="D9"/>
          </w:tcPr>
          <w:p w14:paraId="062831CC" w14:textId="77777777" w:rsidR="00996F64" w:rsidRPr="0046635F" w:rsidRDefault="00996F64" w:rsidP="00996F64">
            <w:pPr>
              <w:jc w:val="center"/>
              <w:rPr>
                <w:rFonts w:ascii="Arial" w:eastAsia="Times New Roman" w:hAnsi="Arial" w:cs="Arial"/>
                <w:i/>
                <w:sz w:val="17"/>
                <w:szCs w:val="17"/>
                <w:lang w:eastAsia="en-GB"/>
              </w:rPr>
            </w:pPr>
            <w:r w:rsidRPr="0046635F">
              <w:rPr>
                <w:rFonts w:ascii="Arial" w:eastAsia="Times New Roman" w:hAnsi="Arial" w:cs="Arial"/>
                <w:bCs/>
                <w:i/>
                <w:sz w:val="17"/>
                <w:szCs w:val="17"/>
                <w:lang w:eastAsia="en-GB"/>
              </w:rPr>
              <w:t>1991-2013</w:t>
            </w:r>
          </w:p>
        </w:tc>
        <w:tc>
          <w:tcPr>
            <w:tcW w:w="763" w:type="dxa"/>
            <w:tcBorders>
              <w:bottom w:val="single" w:sz="4" w:space="0" w:color="auto"/>
            </w:tcBorders>
            <w:shd w:val="clear" w:color="auto" w:fill="D9D9D9" w:themeFill="background1" w:themeFillShade="D9"/>
          </w:tcPr>
          <w:p w14:paraId="4F0B0BFE" w14:textId="77777777" w:rsidR="00996F64" w:rsidRPr="0046635F" w:rsidRDefault="00996F64" w:rsidP="00996F64">
            <w:pPr>
              <w:jc w:val="center"/>
              <w:rPr>
                <w:rFonts w:ascii="Arial" w:hAnsi="Arial" w:cs="Arial"/>
                <w:bCs/>
                <w:i/>
                <w:sz w:val="17"/>
                <w:szCs w:val="17"/>
              </w:rPr>
            </w:pPr>
            <w:r w:rsidRPr="0046635F">
              <w:rPr>
                <w:rFonts w:ascii="Arial" w:eastAsia="Times New Roman" w:hAnsi="Arial" w:cs="Arial"/>
                <w:bCs/>
                <w:i/>
                <w:sz w:val="17"/>
                <w:szCs w:val="17"/>
                <w:lang w:eastAsia="en-GB"/>
              </w:rPr>
              <w:t>1991-2000</w:t>
            </w:r>
          </w:p>
        </w:tc>
        <w:tc>
          <w:tcPr>
            <w:tcW w:w="764" w:type="dxa"/>
            <w:tcBorders>
              <w:bottom w:val="single" w:sz="4" w:space="0" w:color="auto"/>
            </w:tcBorders>
            <w:shd w:val="clear" w:color="auto" w:fill="D9D9D9" w:themeFill="background1" w:themeFillShade="D9"/>
          </w:tcPr>
          <w:p w14:paraId="75D7E18B" w14:textId="77777777" w:rsidR="00996F64" w:rsidRPr="0046635F" w:rsidRDefault="00996F64" w:rsidP="00996F64">
            <w:pPr>
              <w:jc w:val="center"/>
              <w:rPr>
                <w:rFonts w:ascii="Arial" w:hAnsi="Arial" w:cs="Arial"/>
                <w:bCs/>
                <w:i/>
                <w:sz w:val="17"/>
                <w:szCs w:val="17"/>
              </w:rPr>
            </w:pPr>
            <w:r w:rsidRPr="0046635F">
              <w:rPr>
                <w:rFonts w:ascii="Arial" w:eastAsia="Times New Roman" w:hAnsi="Arial" w:cs="Arial"/>
                <w:bCs/>
                <w:i/>
                <w:sz w:val="17"/>
                <w:szCs w:val="17"/>
                <w:lang w:eastAsia="en-GB"/>
              </w:rPr>
              <w:t>2000-05</w:t>
            </w:r>
          </w:p>
        </w:tc>
        <w:tc>
          <w:tcPr>
            <w:tcW w:w="764" w:type="dxa"/>
            <w:tcBorders>
              <w:bottom w:val="single" w:sz="4" w:space="0" w:color="auto"/>
            </w:tcBorders>
            <w:shd w:val="clear" w:color="auto" w:fill="D9D9D9" w:themeFill="background1" w:themeFillShade="D9"/>
          </w:tcPr>
          <w:p w14:paraId="75F47C44" w14:textId="77777777" w:rsidR="00996F64" w:rsidRPr="0046635F" w:rsidRDefault="00996F64" w:rsidP="00996F64">
            <w:pPr>
              <w:jc w:val="center"/>
              <w:rPr>
                <w:rFonts w:ascii="Arial" w:hAnsi="Arial" w:cs="Arial"/>
                <w:bCs/>
                <w:i/>
                <w:sz w:val="17"/>
                <w:szCs w:val="17"/>
              </w:rPr>
            </w:pPr>
            <w:r w:rsidRPr="0046635F">
              <w:rPr>
                <w:rFonts w:ascii="Arial" w:eastAsia="Times New Roman" w:hAnsi="Arial" w:cs="Arial"/>
                <w:bCs/>
                <w:i/>
                <w:sz w:val="17"/>
                <w:szCs w:val="17"/>
                <w:lang w:eastAsia="en-GB"/>
              </w:rPr>
              <w:t>2005-10</w:t>
            </w:r>
          </w:p>
        </w:tc>
        <w:tc>
          <w:tcPr>
            <w:tcW w:w="764" w:type="dxa"/>
            <w:tcBorders>
              <w:bottom w:val="single" w:sz="4" w:space="0" w:color="auto"/>
            </w:tcBorders>
            <w:shd w:val="clear" w:color="auto" w:fill="D9D9D9" w:themeFill="background1" w:themeFillShade="D9"/>
          </w:tcPr>
          <w:p w14:paraId="3F5036C3" w14:textId="77777777" w:rsidR="00996F64" w:rsidRPr="0046635F" w:rsidRDefault="00996F64" w:rsidP="00996F64">
            <w:pPr>
              <w:jc w:val="center"/>
              <w:rPr>
                <w:rFonts w:ascii="Arial" w:hAnsi="Arial" w:cs="Arial"/>
                <w:bCs/>
                <w:i/>
                <w:sz w:val="17"/>
                <w:szCs w:val="17"/>
              </w:rPr>
            </w:pPr>
            <w:r w:rsidRPr="0046635F">
              <w:rPr>
                <w:rFonts w:ascii="Arial" w:eastAsia="Times New Roman" w:hAnsi="Arial" w:cs="Arial"/>
                <w:bCs/>
                <w:i/>
                <w:sz w:val="17"/>
                <w:szCs w:val="17"/>
                <w:lang w:eastAsia="en-GB"/>
              </w:rPr>
              <w:t>2010-13</w:t>
            </w:r>
          </w:p>
        </w:tc>
      </w:tr>
      <w:tr w:rsidR="00232104" w:rsidRPr="0046635F" w14:paraId="1D428365" w14:textId="77777777" w:rsidTr="00232104">
        <w:trPr>
          <w:trHeight w:val="240"/>
        </w:trPr>
        <w:tc>
          <w:tcPr>
            <w:tcW w:w="2875" w:type="dxa"/>
            <w:tcBorders>
              <w:top w:val="single" w:sz="4" w:space="0" w:color="auto"/>
              <w:right w:val="single" w:sz="4" w:space="0" w:color="auto"/>
            </w:tcBorders>
            <w:shd w:val="clear" w:color="auto" w:fill="auto"/>
            <w:noWrap/>
            <w:vAlign w:val="center"/>
            <w:hideMark/>
          </w:tcPr>
          <w:p w14:paraId="6F589BDD" w14:textId="77777777" w:rsidR="00232104" w:rsidRPr="0046635F" w:rsidRDefault="00232104" w:rsidP="00996F64">
            <w:pPr>
              <w:rPr>
                <w:rFonts w:ascii="Arial" w:eastAsia="Times New Roman" w:hAnsi="Arial" w:cs="Arial"/>
                <w:sz w:val="17"/>
                <w:szCs w:val="17"/>
                <w:lang w:eastAsia="en-GB"/>
              </w:rPr>
            </w:pPr>
            <w:r w:rsidRPr="0046635F">
              <w:rPr>
                <w:rFonts w:ascii="Arial" w:eastAsia="Times New Roman" w:hAnsi="Arial" w:cs="Arial"/>
                <w:sz w:val="17"/>
                <w:szCs w:val="17"/>
                <w:lang w:eastAsia="en-GB"/>
              </w:rPr>
              <w:t>Agriculture</w:t>
            </w:r>
          </w:p>
        </w:tc>
        <w:tc>
          <w:tcPr>
            <w:tcW w:w="759" w:type="dxa"/>
            <w:tcBorders>
              <w:top w:val="single" w:sz="4" w:space="0" w:color="auto"/>
              <w:left w:val="single" w:sz="4" w:space="0" w:color="auto"/>
            </w:tcBorders>
            <w:vAlign w:val="center"/>
          </w:tcPr>
          <w:p w14:paraId="35606566" w14:textId="77777777"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7"/>
                <w:lang w:eastAsia="en-GB"/>
              </w:rPr>
              <w:t>100</w:t>
            </w:r>
          </w:p>
        </w:tc>
        <w:tc>
          <w:tcPr>
            <w:tcW w:w="763" w:type="dxa"/>
            <w:tcBorders>
              <w:top w:val="single" w:sz="4" w:space="0" w:color="auto"/>
            </w:tcBorders>
            <w:vAlign w:val="center"/>
          </w:tcPr>
          <w:p w14:paraId="4E1ECB0D" w14:textId="3EAC22E7"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105.3</w:t>
            </w:r>
          </w:p>
        </w:tc>
        <w:tc>
          <w:tcPr>
            <w:tcW w:w="763" w:type="dxa"/>
            <w:tcBorders>
              <w:top w:val="single" w:sz="4" w:space="0" w:color="auto"/>
            </w:tcBorders>
            <w:vAlign w:val="center"/>
          </w:tcPr>
          <w:p w14:paraId="0E609921" w14:textId="6CC3DAAC"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116.8</w:t>
            </w:r>
          </w:p>
        </w:tc>
        <w:tc>
          <w:tcPr>
            <w:tcW w:w="763" w:type="dxa"/>
            <w:tcBorders>
              <w:top w:val="single" w:sz="4" w:space="0" w:color="auto"/>
            </w:tcBorders>
            <w:vAlign w:val="center"/>
          </w:tcPr>
          <w:p w14:paraId="2ADF2D94" w14:textId="30A8E1C3"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133.3</w:t>
            </w:r>
          </w:p>
        </w:tc>
        <w:tc>
          <w:tcPr>
            <w:tcW w:w="761" w:type="dxa"/>
            <w:tcBorders>
              <w:top w:val="single" w:sz="4" w:space="0" w:color="auto"/>
              <w:right w:val="single" w:sz="4" w:space="0" w:color="auto"/>
            </w:tcBorders>
            <w:vAlign w:val="center"/>
          </w:tcPr>
          <w:p w14:paraId="4EE44F25" w14:textId="59E9B142"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137.5</w:t>
            </w:r>
          </w:p>
        </w:tc>
        <w:tc>
          <w:tcPr>
            <w:tcW w:w="763" w:type="dxa"/>
            <w:tcBorders>
              <w:top w:val="single" w:sz="4" w:space="0" w:color="auto"/>
              <w:left w:val="single" w:sz="4" w:space="0" w:color="auto"/>
            </w:tcBorders>
            <w:vAlign w:val="center"/>
          </w:tcPr>
          <w:p w14:paraId="27BD2A1D" w14:textId="75420C63"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1.5%</w:t>
            </w:r>
          </w:p>
        </w:tc>
        <w:tc>
          <w:tcPr>
            <w:tcW w:w="763" w:type="dxa"/>
            <w:tcBorders>
              <w:top w:val="single" w:sz="4" w:space="0" w:color="auto"/>
            </w:tcBorders>
            <w:vAlign w:val="center"/>
          </w:tcPr>
          <w:p w14:paraId="1F05750D" w14:textId="01E222E3" w:rsidR="00232104" w:rsidRPr="0046635F" w:rsidRDefault="0023210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0.6%</w:t>
            </w:r>
          </w:p>
        </w:tc>
        <w:tc>
          <w:tcPr>
            <w:tcW w:w="764" w:type="dxa"/>
            <w:tcBorders>
              <w:top w:val="single" w:sz="4" w:space="0" w:color="auto"/>
            </w:tcBorders>
            <w:vAlign w:val="center"/>
          </w:tcPr>
          <w:p w14:paraId="2F683762" w14:textId="5B6107C0" w:rsidR="00232104" w:rsidRPr="0046635F" w:rsidRDefault="0023210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2.1%</w:t>
            </w:r>
          </w:p>
        </w:tc>
        <w:tc>
          <w:tcPr>
            <w:tcW w:w="764" w:type="dxa"/>
            <w:tcBorders>
              <w:top w:val="single" w:sz="4" w:space="0" w:color="auto"/>
            </w:tcBorders>
            <w:vAlign w:val="center"/>
          </w:tcPr>
          <w:p w14:paraId="4C218544" w14:textId="34732DD0" w:rsidR="00232104" w:rsidRPr="0046635F" w:rsidRDefault="0023210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2.7%</w:t>
            </w:r>
          </w:p>
        </w:tc>
        <w:tc>
          <w:tcPr>
            <w:tcW w:w="764" w:type="dxa"/>
            <w:tcBorders>
              <w:top w:val="single" w:sz="4" w:space="0" w:color="auto"/>
            </w:tcBorders>
            <w:vAlign w:val="center"/>
          </w:tcPr>
          <w:p w14:paraId="3D02534D" w14:textId="41B165F8" w:rsidR="00232104" w:rsidRPr="0046635F" w:rsidRDefault="0023210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1.0%</w:t>
            </w:r>
          </w:p>
        </w:tc>
      </w:tr>
      <w:tr w:rsidR="00232104" w:rsidRPr="0046635F" w14:paraId="06842310" w14:textId="77777777" w:rsidTr="00232104">
        <w:trPr>
          <w:trHeight w:val="240"/>
        </w:trPr>
        <w:tc>
          <w:tcPr>
            <w:tcW w:w="2875" w:type="dxa"/>
            <w:tcBorders>
              <w:right w:val="single" w:sz="4" w:space="0" w:color="auto"/>
            </w:tcBorders>
            <w:shd w:val="clear" w:color="auto" w:fill="auto"/>
            <w:noWrap/>
            <w:vAlign w:val="center"/>
            <w:hideMark/>
          </w:tcPr>
          <w:p w14:paraId="1BB78C0A" w14:textId="77777777" w:rsidR="00232104" w:rsidRPr="0046635F" w:rsidRDefault="00232104" w:rsidP="00996F64">
            <w:pPr>
              <w:rPr>
                <w:rFonts w:ascii="Arial" w:eastAsia="Times New Roman" w:hAnsi="Arial" w:cs="Arial"/>
                <w:sz w:val="17"/>
                <w:szCs w:val="17"/>
                <w:lang w:eastAsia="en-GB"/>
              </w:rPr>
            </w:pPr>
            <w:r w:rsidRPr="0046635F">
              <w:rPr>
                <w:rFonts w:ascii="Arial" w:eastAsia="Times New Roman" w:hAnsi="Arial" w:cs="Arial"/>
                <w:sz w:val="17"/>
                <w:szCs w:val="17"/>
                <w:lang w:eastAsia="en-GB"/>
              </w:rPr>
              <w:t xml:space="preserve">Mining &amp; utilities </w:t>
            </w:r>
          </w:p>
        </w:tc>
        <w:tc>
          <w:tcPr>
            <w:tcW w:w="759" w:type="dxa"/>
            <w:tcBorders>
              <w:left w:val="single" w:sz="4" w:space="0" w:color="auto"/>
            </w:tcBorders>
            <w:vAlign w:val="center"/>
          </w:tcPr>
          <w:p w14:paraId="6B842702" w14:textId="77777777"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7"/>
                <w:lang w:eastAsia="en-GB"/>
              </w:rPr>
              <w:t>100</w:t>
            </w:r>
          </w:p>
        </w:tc>
        <w:tc>
          <w:tcPr>
            <w:tcW w:w="763" w:type="dxa"/>
            <w:vAlign w:val="center"/>
          </w:tcPr>
          <w:p w14:paraId="47D96D97" w14:textId="4DA1BA07"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434.1</w:t>
            </w:r>
          </w:p>
        </w:tc>
        <w:tc>
          <w:tcPr>
            <w:tcW w:w="763" w:type="dxa"/>
            <w:vAlign w:val="center"/>
          </w:tcPr>
          <w:p w14:paraId="7B4E090D" w14:textId="506A7DB4"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370.6</w:t>
            </w:r>
          </w:p>
        </w:tc>
        <w:tc>
          <w:tcPr>
            <w:tcW w:w="763" w:type="dxa"/>
            <w:vAlign w:val="center"/>
          </w:tcPr>
          <w:p w14:paraId="7BBE37B2" w14:textId="20653018"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328.0</w:t>
            </w:r>
          </w:p>
        </w:tc>
        <w:tc>
          <w:tcPr>
            <w:tcW w:w="761" w:type="dxa"/>
            <w:tcBorders>
              <w:right w:val="single" w:sz="4" w:space="0" w:color="auto"/>
            </w:tcBorders>
            <w:vAlign w:val="center"/>
          </w:tcPr>
          <w:p w14:paraId="4B6BB128" w14:textId="64F2CA0E"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337.3</w:t>
            </w:r>
          </w:p>
        </w:tc>
        <w:tc>
          <w:tcPr>
            <w:tcW w:w="763" w:type="dxa"/>
            <w:tcBorders>
              <w:left w:val="single" w:sz="4" w:space="0" w:color="auto"/>
            </w:tcBorders>
            <w:vAlign w:val="center"/>
          </w:tcPr>
          <w:p w14:paraId="7D78315B" w14:textId="513E63E9"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5.7%</w:t>
            </w:r>
          </w:p>
        </w:tc>
        <w:tc>
          <w:tcPr>
            <w:tcW w:w="763" w:type="dxa"/>
            <w:vAlign w:val="center"/>
          </w:tcPr>
          <w:p w14:paraId="070A6A7F" w14:textId="618BBFE7" w:rsidR="00232104" w:rsidRPr="0046635F" w:rsidRDefault="0023210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17.7%</w:t>
            </w:r>
          </w:p>
        </w:tc>
        <w:tc>
          <w:tcPr>
            <w:tcW w:w="764" w:type="dxa"/>
            <w:vAlign w:val="center"/>
          </w:tcPr>
          <w:p w14:paraId="35A435F9" w14:textId="494DEE17" w:rsidR="00232104" w:rsidRPr="0046635F" w:rsidRDefault="0023210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-3.1%</w:t>
            </w:r>
          </w:p>
        </w:tc>
        <w:tc>
          <w:tcPr>
            <w:tcW w:w="764" w:type="dxa"/>
            <w:vAlign w:val="center"/>
          </w:tcPr>
          <w:p w14:paraId="77B74EE5" w14:textId="4DB3B4C8" w:rsidR="00232104" w:rsidRPr="0046635F" w:rsidRDefault="0023210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-2.4%</w:t>
            </w:r>
          </w:p>
        </w:tc>
        <w:tc>
          <w:tcPr>
            <w:tcW w:w="764" w:type="dxa"/>
            <w:vAlign w:val="center"/>
          </w:tcPr>
          <w:p w14:paraId="4E5AA54C" w14:textId="022B40FD" w:rsidR="00232104" w:rsidRPr="0046635F" w:rsidRDefault="0023210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0.9%</w:t>
            </w:r>
          </w:p>
        </w:tc>
      </w:tr>
      <w:tr w:rsidR="00232104" w:rsidRPr="0046635F" w14:paraId="5ED5FD65" w14:textId="77777777" w:rsidTr="00232104">
        <w:trPr>
          <w:trHeight w:val="240"/>
        </w:trPr>
        <w:tc>
          <w:tcPr>
            <w:tcW w:w="2875" w:type="dxa"/>
            <w:tcBorders>
              <w:right w:val="single" w:sz="4" w:space="0" w:color="auto"/>
            </w:tcBorders>
            <w:shd w:val="clear" w:color="auto" w:fill="auto"/>
            <w:noWrap/>
            <w:vAlign w:val="center"/>
            <w:hideMark/>
          </w:tcPr>
          <w:p w14:paraId="1641D71C" w14:textId="77777777" w:rsidR="00232104" w:rsidRPr="0046635F" w:rsidRDefault="00232104" w:rsidP="00996F64">
            <w:pPr>
              <w:rPr>
                <w:rFonts w:ascii="Arial" w:eastAsia="Times New Roman" w:hAnsi="Arial" w:cs="Arial"/>
                <w:sz w:val="17"/>
                <w:szCs w:val="17"/>
                <w:lang w:eastAsia="en-GB"/>
              </w:rPr>
            </w:pPr>
            <w:r w:rsidRPr="0046635F">
              <w:rPr>
                <w:rFonts w:ascii="Arial" w:eastAsia="Times New Roman" w:hAnsi="Arial" w:cs="Arial"/>
                <w:sz w:val="17"/>
                <w:szCs w:val="17"/>
                <w:lang w:eastAsia="en-GB"/>
              </w:rPr>
              <w:t>Manufacturing</w:t>
            </w:r>
          </w:p>
        </w:tc>
        <w:tc>
          <w:tcPr>
            <w:tcW w:w="759" w:type="dxa"/>
            <w:tcBorders>
              <w:left w:val="single" w:sz="4" w:space="0" w:color="auto"/>
            </w:tcBorders>
            <w:vAlign w:val="center"/>
          </w:tcPr>
          <w:p w14:paraId="76E60CC8" w14:textId="77777777"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7"/>
                <w:lang w:eastAsia="en-GB"/>
              </w:rPr>
              <w:t>100</w:t>
            </w:r>
          </w:p>
        </w:tc>
        <w:tc>
          <w:tcPr>
            <w:tcW w:w="763" w:type="dxa"/>
            <w:vAlign w:val="center"/>
          </w:tcPr>
          <w:p w14:paraId="72855D06" w14:textId="5068E5B4"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144.6</w:t>
            </w:r>
          </w:p>
        </w:tc>
        <w:tc>
          <w:tcPr>
            <w:tcW w:w="763" w:type="dxa"/>
            <w:vAlign w:val="center"/>
          </w:tcPr>
          <w:p w14:paraId="014E9F80" w14:textId="63410248"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107.5</w:t>
            </w:r>
          </w:p>
        </w:tc>
        <w:tc>
          <w:tcPr>
            <w:tcW w:w="763" w:type="dxa"/>
            <w:vAlign w:val="center"/>
          </w:tcPr>
          <w:p w14:paraId="4049AFC4" w14:textId="50017778"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111.8</w:t>
            </w:r>
          </w:p>
        </w:tc>
        <w:tc>
          <w:tcPr>
            <w:tcW w:w="761" w:type="dxa"/>
            <w:tcBorders>
              <w:right w:val="single" w:sz="4" w:space="0" w:color="auto"/>
            </w:tcBorders>
            <w:vAlign w:val="center"/>
          </w:tcPr>
          <w:p w14:paraId="65E8C9DE" w14:textId="63512556"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117.7</w:t>
            </w:r>
          </w:p>
        </w:tc>
        <w:tc>
          <w:tcPr>
            <w:tcW w:w="763" w:type="dxa"/>
            <w:tcBorders>
              <w:left w:val="single" w:sz="4" w:space="0" w:color="auto"/>
            </w:tcBorders>
            <w:vAlign w:val="center"/>
          </w:tcPr>
          <w:p w14:paraId="2E9542E2" w14:textId="3B123FEA"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0.7%</w:t>
            </w:r>
          </w:p>
        </w:tc>
        <w:tc>
          <w:tcPr>
            <w:tcW w:w="763" w:type="dxa"/>
            <w:vAlign w:val="center"/>
          </w:tcPr>
          <w:p w14:paraId="2F33ADE5" w14:textId="462ACE85" w:rsidR="00232104" w:rsidRPr="0046635F" w:rsidRDefault="0023210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4.2%</w:t>
            </w:r>
          </w:p>
        </w:tc>
        <w:tc>
          <w:tcPr>
            <w:tcW w:w="764" w:type="dxa"/>
            <w:vAlign w:val="center"/>
          </w:tcPr>
          <w:p w14:paraId="6CA30334" w14:textId="7341AE56" w:rsidR="00232104" w:rsidRPr="0046635F" w:rsidRDefault="0023210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-5.8%</w:t>
            </w:r>
          </w:p>
        </w:tc>
        <w:tc>
          <w:tcPr>
            <w:tcW w:w="764" w:type="dxa"/>
            <w:vAlign w:val="center"/>
          </w:tcPr>
          <w:p w14:paraId="44BEDA00" w14:textId="39CA1A45" w:rsidR="00232104" w:rsidRPr="0046635F" w:rsidRDefault="0023210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0.8%</w:t>
            </w:r>
          </w:p>
        </w:tc>
        <w:tc>
          <w:tcPr>
            <w:tcW w:w="764" w:type="dxa"/>
            <w:vAlign w:val="center"/>
          </w:tcPr>
          <w:p w14:paraId="68BE126E" w14:textId="195E9AAA" w:rsidR="00232104" w:rsidRPr="0046635F" w:rsidRDefault="0023210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1.7%</w:t>
            </w:r>
          </w:p>
        </w:tc>
      </w:tr>
      <w:tr w:rsidR="00232104" w:rsidRPr="0046635F" w14:paraId="45D7C0F7" w14:textId="77777777" w:rsidTr="00232104">
        <w:trPr>
          <w:trHeight w:val="240"/>
        </w:trPr>
        <w:tc>
          <w:tcPr>
            <w:tcW w:w="2875" w:type="dxa"/>
            <w:tcBorders>
              <w:right w:val="single" w:sz="4" w:space="0" w:color="auto"/>
            </w:tcBorders>
            <w:shd w:val="clear" w:color="auto" w:fill="auto"/>
            <w:noWrap/>
            <w:vAlign w:val="center"/>
            <w:hideMark/>
          </w:tcPr>
          <w:p w14:paraId="5266FA0F" w14:textId="77777777" w:rsidR="00232104" w:rsidRPr="0046635F" w:rsidRDefault="00232104" w:rsidP="00996F64">
            <w:pPr>
              <w:rPr>
                <w:rFonts w:ascii="Arial" w:eastAsia="Times New Roman" w:hAnsi="Arial" w:cs="Arial"/>
                <w:sz w:val="17"/>
                <w:szCs w:val="17"/>
                <w:lang w:eastAsia="en-GB"/>
              </w:rPr>
            </w:pPr>
            <w:r w:rsidRPr="0046635F">
              <w:rPr>
                <w:rFonts w:ascii="Arial" w:eastAsia="Times New Roman" w:hAnsi="Arial" w:cs="Arial"/>
                <w:sz w:val="17"/>
                <w:szCs w:val="17"/>
                <w:lang w:eastAsia="en-GB"/>
              </w:rPr>
              <w:t>Construction</w:t>
            </w:r>
          </w:p>
        </w:tc>
        <w:tc>
          <w:tcPr>
            <w:tcW w:w="759" w:type="dxa"/>
            <w:tcBorders>
              <w:left w:val="single" w:sz="4" w:space="0" w:color="auto"/>
            </w:tcBorders>
            <w:vAlign w:val="center"/>
          </w:tcPr>
          <w:p w14:paraId="539400A4" w14:textId="77777777"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7"/>
                <w:lang w:eastAsia="en-GB"/>
              </w:rPr>
              <w:t>100</w:t>
            </w:r>
          </w:p>
        </w:tc>
        <w:tc>
          <w:tcPr>
            <w:tcW w:w="763" w:type="dxa"/>
            <w:vAlign w:val="center"/>
          </w:tcPr>
          <w:p w14:paraId="6FE982B2" w14:textId="5D603E2D"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134.9</w:t>
            </w:r>
          </w:p>
        </w:tc>
        <w:tc>
          <w:tcPr>
            <w:tcW w:w="763" w:type="dxa"/>
            <w:vAlign w:val="center"/>
          </w:tcPr>
          <w:p w14:paraId="6C47CED0" w14:textId="503E3D0E"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143.2</w:t>
            </w:r>
          </w:p>
        </w:tc>
        <w:tc>
          <w:tcPr>
            <w:tcW w:w="763" w:type="dxa"/>
            <w:vAlign w:val="center"/>
          </w:tcPr>
          <w:p w14:paraId="19D5EDD6" w14:textId="7EB933D3"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152.9</w:t>
            </w:r>
          </w:p>
        </w:tc>
        <w:tc>
          <w:tcPr>
            <w:tcW w:w="761" w:type="dxa"/>
            <w:tcBorders>
              <w:right w:val="single" w:sz="4" w:space="0" w:color="auto"/>
            </w:tcBorders>
            <w:vAlign w:val="center"/>
          </w:tcPr>
          <w:p w14:paraId="3F11F05A" w14:textId="22061B84"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194.7</w:t>
            </w:r>
          </w:p>
        </w:tc>
        <w:tc>
          <w:tcPr>
            <w:tcW w:w="763" w:type="dxa"/>
            <w:tcBorders>
              <w:left w:val="single" w:sz="4" w:space="0" w:color="auto"/>
            </w:tcBorders>
            <w:vAlign w:val="center"/>
          </w:tcPr>
          <w:p w14:paraId="2E3E7CB8" w14:textId="5F5A6627"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3.1%</w:t>
            </w:r>
          </w:p>
        </w:tc>
        <w:tc>
          <w:tcPr>
            <w:tcW w:w="763" w:type="dxa"/>
            <w:vAlign w:val="center"/>
          </w:tcPr>
          <w:p w14:paraId="2E437862" w14:textId="2A0DBFC9" w:rsidR="00232104" w:rsidRPr="0046635F" w:rsidRDefault="0023210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3.4%</w:t>
            </w:r>
          </w:p>
        </w:tc>
        <w:tc>
          <w:tcPr>
            <w:tcW w:w="764" w:type="dxa"/>
            <w:vAlign w:val="center"/>
          </w:tcPr>
          <w:p w14:paraId="6D6E23C3" w14:textId="6C833EC9" w:rsidR="00232104" w:rsidRPr="0046635F" w:rsidRDefault="0023210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1.2%</w:t>
            </w:r>
          </w:p>
        </w:tc>
        <w:tc>
          <w:tcPr>
            <w:tcW w:w="764" w:type="dxa"/>
            <w:vAlign w:val="center"/>
          </w:tcPr>
          <w:p w14:paraId="355ED9B7" w14:textId="020C8AC7" w:rsidR="00232104" w:rsidRPr="0046635F" w:rsidRDefault="0023210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1.3%</w:t>
            </w:r>
          </w:p>
        </w:tc>
        <w:tc>
          <w:tcPr>
            <w:tcW w:w="764" w:type="dxa"/>
            <w:vAlign w:val="center"/>
          </w:tcPr>
          <w:p w14:paraId="12D30E49" w14:textId="36349B08" w:rsidR="00232104" w:rsidRPr="0046635F" w:rsidRDefault="0023210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8.4%</w:t>
            </w:r>
          </w:p>
        </w:tc>
      </w:tr>
      <w:tr w:rsidR="00232104" w:rsidRPr="0046635F" w14:paraId="713A8B2C" w14:textId="77777777" w:rsidTr="00232104">
        <w:trPr>
          <w:trHeight w:val="240"/>
        </w:trPr>
        <w:tc>
          <w:tcPr>
            <w:tcW w:w="2875" w:type="dxa"/>
            <w:tcBorders>
              <w:right w:val="single" w:sz="4" w:space="0" w:color="auto"/>
            </w:tcBorders>
            <w:shd w:val="clear" w:color="auto" w:fill="auto"/>
            <w:noWrap/>
            <w:vAlign w:val="center"/>
            <w:hideMark/>
          </w:tcPr>
          <w:p w14:paraId="01129149" w14:textId="77777777" w:rsidR="00232104" w:rsidRPr="0046635F" w:rsidRDefault="00232104" w:rsidP="00996F64">
            <w:pPr>
              <w:rPr>
                <w:rFonts w:ascii="Arial" w:eastAsia="Times New Roman" w:hAnsi="Arial" w:cs="Arial"/>
                <w:sz w:val="17"/>
                <w:szCs w:val="17"/>
                <w:lang w:eastAsia="en-GB"/>
              </w:rPr>
            </w:pPr>
            <w:r w:rsidRPr="0046635F">
              <w:rPr>
                <w:rFonts w:ascii="Arial" w:eastAsia="Times New Roman" w:hAnsi="Arial" w:cs="Arial"/>
                <w:sz w:val="17"/>
                <w:szCs w:val="17"/>
                <w:lang w:eastAsia="en-GB"/>
              </w:rPr>
              <w:t>Wholesale, retail, hotels</w:t>
            </w:r>
          </w:p>
        </w:tc>
        <w:tc>
          <w:tcPr>
            <w:tcW w:w="759" w:type="dxa"/>
            <w:tcBorders>
              <w:left w:val="single" w:sz="4" w:space="0" w:color="auto"/>
            </w:tcBorders>
            <w:vAlign w:val="center"/>
          </w:tcPr>
          <w:p w14:paraId="405C50EC" w14:textId="77777777"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7"/>
                <w:lang w:eastAsia="en-GB"/>
              </w:rPr>
              <w:t>100</w:t>
            </w:r>
          </w:p>
        </w:tc>
        <w:tc>
          <w:tcPr>
            <w:tcW w:w="763" w:type="dxa"/>
            <w:vAlign w:val="center"/>
          </w:tcPr>
          <w:p w14:paraId="30993871" w14:textId="1B2C583B"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106.4</w:t>
            </w:r>
          </w:p>
        </w:tc>
        <w:tc>
          <w:tcPr>
            <w:tcW w:w="763" w:type="dxa"/>
            <w:vAlign w:val="center"/>
          </w:tcPr>
          <w:p w14:paraId="011709AB" w14:textId="0F417D25"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118.3</w:t>
            </w:r>
          </w:p>
        </w:tc>
        <w:tc>
          <w:tcPr>
            <w:tcW w:w="763" w:type="dxa"/>
            <w:vAlign w:val="center"/>
          </w:tcPr>
          <w:p w14:paraId="6BDA8497" w14:textId="5E6AA046"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134.5</w:t>
            </w:r>
          </w:p>
        </w:tc>
        <w:tc>
          <w:tcPr>
            <w:tcW w:w="761" w:type="dxa"/>
            <w:tcBorders>
              <w:right w:val="single" w:sz="4" w:space="0" w:color="auto"/>
            </w:tcBorders>
            <w:vAlign w:val="center"/>
          </w:tcPr>
          <w:p w14:paraId="391D79C9" w14:textId="3B93813C"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140.6</w:t>
            </w:r>
          </w:p>
        </w:tc>
        <w:tc>
          <w:tcPr>
            <w:tcW w:w="763" w:type="dxa"/>
            <w:tcBorders>
              <w:left w:val="single" w:sz="4" w:space="0" w:color="auto"/>
            </w:tcBorders>
            <w:vAlign w:val="center"/>
          </w:tcPr>
          <w:p w14:paraId="3AD5ECA9" w14:textId="24D1B28A"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1.6%</w:t>
            </w:r>
          </w:p>
        </w:tc>
        <w:tc>
          <w:tcPr>
            <w:tcW w:w="763" w:type="dxa"/>
            <w:vAlign w:val="center"/>
          </w:tcPr>
          <w:p w14:paraId="3BE4E4AA" w14:textId="1BBB2683" w:rsidR="00232104" w:rsidRPr="0046635F" w:rsidRDefault="0023210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0.7%</w:t>
            </w:r>
          </w:p>
        </w:tc>
        <w:tc>
          <w:tcPr>
            <w:tcW w:w="764" w:type="dxa"/>
            <w:vAlign w:val="center"/>
          </w:tcPr>
          <w:p w14:paraId="57251C5B" w14:textId="75C122EA" w:rsidR="00232104" w:rsidRPr="0046635F" w:rsidRDefault="0023210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2.1%</w:t>
            </w:r>
          </w:p>
        </w:tc>
        <w:tc>
          <w:tcPr>
            <w:tcW w:w="764" w:type="dxa"/>
            <w:vAlign w:val="center"/>
          </w:tcPr>
          <w:p w14:paraId="45BDBDA7" w14:textId="0D65551C" w:rsidR="00232104" w:rsidRPr="0046635F" w:rsidRDefault="0023210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2.6%</w:t>
            </w:r>
          </w:p>
        </w:tc>
        <w:tc>
          <w:tcPr>
            <w:tcW w:w="764" w:type="dxa"/>
            <w:vAlign w:val="center"/>
          </w:tcPr>
          <w:p w14:paraId="1B218D68" w14:textId="037ECE72" w:rsidR="00232104" w:rsidRPr="0046635F" w:rsidRDefault="0023210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1.5%</w:t>
            </w:r>
          </w:p>
        </w:tc>
      </w:tr>
      <w:tr w:rsidR="00232104" w:rsidRPr="0046635F" w14:paraId="5C7D2FC2" w14:textId="77777777" w:rsidTr="00232104">
        <w:trPr>
          <w:trHeight w:val="240"/>
        </w:trPr>
        <w:tc>
          <w:tcPr>
            <w:tcW w:w="2875" w:type="dxa"/>
            <w:tcBorders>
              <w:right w:val="single" w:sz="4" w:space="0" w:color="auto"/>
            </w:tcBorders>
            <w:shd w:val="clear" w:color="auto" w:fill="auto"/>
            <w:noWrap/>
            <w:vAlign w:val="center"/>
            <w:hideMark/>
          </w:tcPr>
          <w:p w14:paraId="6DFA0042" w14:textId="77777777" w:rsidR="00232104" w:rsidRPr="0046635F" w:rsidRDefault="00232104" w:rsidP="00996F64">
            <w:pPr>
              <w:rPr>
                <w:rFonts w:ascii="Arial" w:eastAsia="Times New Roman" w:hAnsi="Arial" w:cs="Arial"/>
                <w:sz w:val="17"/>
                <w:szCs w:val="17"/>
                <w:lang w:eastAsia="en-GB"/>
              </w:rPr>
            </w:pPr>
            <w:r w:rsidRPr="0046635F">
              <w:rPr>
                <w:rFonts w:ascii="Arial" w:eastAsia="Times New Roman" w:hAnsi="Arial" w:cs="Arial"/>
                <w:sz w:val="17"/>
                <w:szCs w:val="17"/>
                <w:lang w:eastAsia="en-GB"/>
              </w:rPr>
              <w:t xml:space="preserve">Transport, storage, </w:t>
            </w:r>
            <w:proofErr w:type="spellStart"/>
            <w:r w:rsidRPr="0046635F">
              <w:rPr>
                <w:rFonts w:ascii="Arial" w:eastAsia="Times New Roman" w:hAnsi="Arial" w:cs="Arial"/>
                <w:sz w:val="17"/>
                <w:szCs w:val="17"/>
                <w:lang w:eastAsia="en-GB"/>
              </w:rPr>
              <w:t>comms</w:t>
            </w:r>
            <w:proofErr w:type="spellEnd"/>
          </w:p>
        </w:tc>
        <w:tc>
          <w:tcPr>
            <w:tcW w:w="759" w:type="dxa"/>
            <w:tcBorders>
              <w:left w:val="single" w:sz="4" w:space="0" w:color="auto"/>
            </w:tcBorders>
            <w:vAlign w:val="center"/>
          </w:tcPr>
          <w:p w14:paraId="2AE8C5C2" w14:textId="77777777"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7"/>
                <w:lang w:eastAsia="en-GB"/>
              </w:rPr>
              <w:t>100</w:t>
            </w:r>
          </w:p>
        </w:tc>
        <w:tc>
          <w:tcPr>
            <w:tcW w:w="763" w:type="dxa"/>
            <w:vAlign w:val="center"/>
          </w:tcPr>
          <w:p w14:paraId="3EF77EF7" w14:textId="32C29287"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165.3</w:t>
            </w:r>
          </w:p>
        </w:tc>
        <w:tc>
          <w:tcPr>
            <w:tcW w:w="763" w:type="dxa"/>
            <w:vAlign w:val="center"/>
          </w:tcPr>
          <w:p w14:paraId="37CE9B41" w14:textId="6D7C17D6"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121.2</w:t>
            </w:r>
          </w:p>
        </w:tc>
        <w:tc>
          <w:tcPr>
            <w:tcW w:w="763" w:type="dxa"/>
            <w:vAlign w:val="center"/>
          </w:tcPr>
          <w:p w14:paraId="0C26D812" w14:textId="4CAB61EE"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132.6</w:t>
            </w:r>
          </w:p>
        </w:tc>
        <w:tc>
          <w:tcPr>
            <w:tcW w:w="761" w:type="dxa"/>
            <w:tcBorders>
              <w:right w:val="single" w:sz="4" w:space="0" w:color="auto"/>
            </w:tcBorders>
            <w:vAlign w:val="center"/>
          </w:tcPr>
          <w:p w14:paraId="493BDAA5" w14:textId="65D8C498"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143.6</w:t>
            </w:r>
          </w:p>
        </w:tc>
        <w:tc>
          <w:tcPr>
            <w:tcW w:w="763" w:type="dxa"/>
            <w:tcBorders>
              <w:left w:val="single" w:sz="4" w:space="0" w:color="auto"/>
            </w:tcBorders>
            <w:vAlign w:val="center"/>
          </w:tcPr>
          <w:p w14:paraId="183FB6F3" w14:textId="47FAF2F4"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1.7%</w:t>
            </w:r>
          </w:p>
        </w:tc>
        <w:tc>
          <w:tcPr>
            <w:tcW w:w="763" w:type="dxa"/>
            <w:vAlign w:val="center"/>
          </w:tcPr>
          <w:p w14:paraId="5F5A34EF" w14:textId="01475E86" w:rsidR="00232104" w:rsidRPr="0046635F" w:rsidRDefault="0023210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5.7%</w:t>
            </w:r>
          </w:p>
        </w:tc>
        <w:tc>
          <w:tcPr>
            <w:tcW w:w="764" w:type="dxa"/>
            <w:vAlign w:val="center"/>
          </w:tcPr>
          <w:p w14:paraId="22AD988E" w14:textId="2A01F307" w:rsidR="00232104" w:rsidRPr="0046635F" w:rsidRDefault="0023210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-6.0%</w:t>
            </w:r>
          </w:p>
        </w:tc>
        <w:tc>
          <w:tcPr>
            <w:tcW w:w="764" w:type="dxa"/>
            <w:vAlign w:val="center"/>
          </w:tcPr>
          <w:p w14:paraId="78C2505B" w14:textId="27D51DCD" w:rsidR="00232104" w:rsidRPr="0046635F" w:rsidRDefault="0023210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1.8%</w:t>
            </w:r>
          </w:p>
        </w:tc>
        <w:tc>
          <w:tcPr>
            <w:tcW w:w="764" w:type="dxa"/>
            <w:vAlign w:val="center"/>
          </w:tcPr>
          <w:p w14:paraId="5191ABEB" w14:textId="35E500AD" w:rsidR="00232104" w:rsidRPr="0046635F" w:rsidRDefault="0023210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2.7%</w:t>
            </w:r>
          </w:p>
        </w:tc>
      </w:tr>
      <w:tr w:rsidR="00232104" w:rsidRPr="0046635F" w14:paraId="4A9C5352" w14:textId="77777777" w:rsidTr="00232104">
        <w:trPr>
          <w:trHeight w:val="240"/>
        </w:trPr>
        <w:tc>
          <w:tcPr>
            <w:tcW w:w="2875" w:type="dxa"/>
            <w:tcBorders>
              <w:bottom w:val="single" w:sz="4" w:space="0" w:color="auto"/>
              <w:right w:val="single" w:sz="4" w:space="0" w:color="auto"/>
            </w:tcBorders>
            <w:shd w:val="clear" w:color="auto" w:fill="auto"/>
            <w:noWrap/>
            <w:vAlign w:val="center"/>
            <w:hideMark/>
          </w:tcPr>
          <w:p w14:paraId="499E1A11" w14:textId="77777777" w:rsidR="00232104" w:rsidRPr="0046635F" w:rsidRDefault="00232104" w:rsidP="00996F64">
            <w:pPr>
              <w:rPr>
                <w:rFonts w:ascii="Arial" w:eastAsia="Times New Roman" w:hAnsi="Arial" w:cs="Arial"/>
                <w:sz w:val="17"/>
                <w:szCs w:val="17"/>
                <w:lang w:eastAsia="en-GB"/>
              </w:rPr>
            </w:pPr>
            <w:r w:rsidRPr="0046635F">
              <w:rPr>
                <w:rFonts w:ascii="Arial" w:eastAsia="Times New Roman" w:hAnsi="Arial" w:cs="Arial"/>
                <w:sz w:val="17"/>
                <w:szCs w:val="17"/>
                <w:lang w:eastAsia="en-GB"/>
              </w:rPr>
              <w:t>Other</w:t>
            </w:r>
          </w:p>
        </w:tc>
        <w:tc>
          <w:tcPr>
            <w:tcW w:w="759" w:type="dxa"/>
            <w:tcBorders>
              <w:left w:val="single" w:sz="4" w:space="0" w:color="auto"/>
              <w:bottom w:val="single" w:sz="4" w:space="0" w:color="auto"/>
            </w:tcBorders>
            <w:vAlign w:val="center"/>
          </w:tcPr>
          <w:p w14:paraId="515AC9ED" w14:textId="77777777"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7"/>
                <w:lang w:eastAsia="en-GB"/>
              </w:rPr>
              <w:t>100</w:t>
            </w:r>
          </w:p>
        </w:tc>
        <w:tc>
          <w:tcPr>
            <w:tcW w:w="763" w:type="dxa"/>
            <w:tcBorders>
              <w:bottom w:val="single" w:sz="4" w:space="0" w:color="auto"/>
            </w:tcBorders>
            <w:vAlign w:val="center"/>
          </w:tcPr>
          <w:p w14:paraId="23017B71" w14:textId="2D57BBB6"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95.1</w:t>
            </w:r>
          </w:p>
        </w:tc>
        <w:tc>
          <w:tcPr>
            <w:tcW w:w="763" w:type="dxa"/>
            <w:tcBorders>
              <w:bottom w:val="single" w:sz="4" w:space="0" w:color="auto"/>
            </w:tcBorders>
            <w:vAlign w:val="center"/>
          </w:tcPr>
          <w:p w14:paraId="0AE95893" w14:textId="19C90298"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105.0</w:t>
            </w:r>
          </w:p>
        </w:tc>
        <w:tc>
          <w:tcPr>
            <w:tcW w:w="763" w:type="dxa"/>
            <w:tcBorders>
              <w:bottom w:val="single" w:sz="4" w:space="0" w:color="auto"/>
            </w:tcBorders>
            <w:vAlign w:val="center"/>
          </w:tcPr>
          <w:p w14:paraId="34F7AD8F" w14:textId="4F755404"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107.6</w:t>
            </w:r>
          </w:p>
        </w:tc>
        <w:tc>
          <w:tcPr>
            <w:tcW w:w="761" w:type="dxa"/>
            <w:tcBorders>
              <w:bottom w:val="single" w:sz="4" w:space="0" w:color="auto"/>
              <w:right w:val="single" w:sz="4" w:space="0" w:color="auto"/>
            </w:tcBorders>
            <w:vAlign w:val="center"/>
          </w:tcPr>
          <w:p w14:paraId="1CCA1C98" w14:textId="6324EC47"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112.3</w:t>
            </w:r>
          </w:p>
        </w:tc>
        <w:tc>
          <w:tcPr>
            <w:tcW w:w="763" w:type="dxa"/>
            <w:tcBorders>
              <w:left w:val="single" w:sz="4" w:space="0" w:color="auto"/>
              <w:bottom w:val="single" w:sz="4" w:space="0" w:color="auto"/>
            </w:tcBorders>
            <w:vAlign w:val="center"/>
          </w:tcPr>
          <w:p w14:paraId="10B7BE4D" w14:textId="1A893CEE" w:rsidR="00232104" w:rsidRPr="0046635F" w:rsidRDefault="00232104" w:rsidP="00996F64">
            <w:pPr>
              <w:ind w:left="72" w:right="72"/>
              <w:jc w:val="right"/>
              <w:rPr>
                <w:rFonts w:ascii="Arial" w:eastAsia="Times New Roman" w:hAnsi="Arial" w:cs="Arial"/>
                <w:sz w:val="17"/>
                <w:szCs w:val="17"/>
                <w:lang w:eastAsia="en-GB"/>
              </w:rPr>
            </w:pPr>
            <w:r w:rsidRPr="0046635F">
              <w:rPr>
                <w:rFonts w:ascii="Arial" w:eastAsia="Times New Roman" w:hAnsi="Arial" w:cs="Arial"/>
                <w:sz w:val="17"/>
                <w:szCs w:val="18"/>
                <w:lang w:eastAsia="en-GB"/>
              </w:rPr>
              <w:t>0.5%</w:t>
            </w:r>
          </w:p>
        </w:tc>
        <w:tc>
          <w:tcPr>
            <w:tcW w:w="763" w:type="dxa"/>
            <w:tcBorders>
              <w:bottom w:val="single" w:sz="4" w:space="0" w:color="auto"/>
            </w:tcBorders>
            <w:vAlign w:val="center"/>
          </w:tcPr>
          <w:p w14:paraId="740C4398" w14:textId="1DF347D6" w:rsidR="00232104" w:rsidRPr="0046635F" w:rsidRDefault="0023210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-0.6%</w:t>
            </w:r>
          </w:p>
        </w:tc>
        <w:tc>
          <w:tcPr>
            <w:tcW w:w="764" w:type="dxa"/>
            <w:tcBorders>
              <w:bottom w:val="single" w:sz="4" w:space="0" w:color="auto"/>
            </w:tcBorders>
            <w:vAlign w:val="center"/>
          </w:tcPr>
          <w:p w14:paraId="158A2432" w14:textId="19179A43" w:rsidR="00232104" w:rsidRPr="0046635F" w:rsidRDefault="0023210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2.0%</w:t>
            </w:r>
          </w:p>
        </w:tc>
        <w:tc>
          <w:tcPr>
            <w:tcW w:w="764" w:type="dxa"/>
            <w:tcBorders>
              <w:bottom w:val="single" w:sz="4" w:space="0" w:color="auto"/>
            </w:tcBorders>
            <w:vAlign w:val="center"/>
          </w:tcPr>
          <w:p w14:paraId="6F9B3CF2" w14:textId="3985B4B0" w:rsidR="00232104" w:rsidRPr="0046635F" w:rsidRDefault="0023210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0.5%</w:t>
            </w:r>
          </w:p>
        </w:tc>
        <w:tc>
          <w:tcPr>
            <w:tcW w:w="764" w:type="dxa"/>
            <w:tcBorders>
              <w:bottom w:val="single" w:sz="4" w:space="0" w:color="auto"/>
            </w:tcBorders>
            <w:vAlign w:val="center"/>
          </w:tcPr>
          <w:p w14:paraId="317E0541" w14:textId="59718E31" w:rsidR="00232104" w:rsidRPr="0046635F" w:rsidRDefault="00232104" w:rsidP="00996F64">
            <w:pPr>
              <w:ind w:left="72" w:right="72"/>
              <w:jc w:val="right"/>
              <w:rPr>
                <w:rFonts w:ascii="Arial" w:hAnsi="Arial" w:cs="Arial"/>
                <w:sz w:val="17"/>
                <w:szCs w:val="17"/>
              </w:rPr>
            </w:pPr>
            <w:r w:rsidRPr="0046635F">
              <w:rPr>
                <w:rFonts w:ascii="Arial" w:eastAsia="Times New Roman" w:hAnsi="Arial" w:cs="Arial"/>
                <w:sz w:val="17"/>
                <w:szCs w:val="18"/>
                <w:lang w:eastAsia="en-GB"/>
              </w:rPr>
              <w:t>1.4%</w:t>
            </w:r>
          </w:p>
        </w:tc>
      </w:tr>
      <w:tr w:rsidR="00232104" w:rsidRPr="0046635F" w14:paraId="2187CF38" w14:textId="77777777" w:rsidTr="00232104">
        <w:trPr>
          <w:trHeight w:val="240"/>
        </w:trPr>
        <w:tc>
          <w:tcPr>
            <w:tcW w:w="2875" w:type="dxa"/>
            <w:tcBorders>
              <w:bottom w:val="single" w:sz="4" w:space="0" w:color="auto"/>
              <w:right w:val="single" w:sz="4" w:space="0" w:color="auto"/>
            </w:tcBorders>
            <w:shd w:val="clear" w:color="auto" w:fill="auto"/>
            <w:noWrap/>
            <w:vAlign w:val="center"/>
          </w:tcPr>
          <w:p w14:paraId="6A356048" w14:textId="77777777" w:rsidR="00232104" w:rsidRPr="0046635F" w:rsidRDefault="00232104" w:rsidP="00996F64">
            <w:pPr>
              <w:rPr>
                <w:rFonts w:ascii="Arial" w:eastAsia="Times New Roman" w:hAnsi="Arial" w:cs="Arial"/>
                <w:b/>
                <w:iCs/>
                <w:sz w:val="17"/>
                <w:szCs w:val="17"/>
                <w:lang w:eastAsia="en-GB"/>
              </w:rPr>
            </w:pPr>
            <w:r w:rsidRPr="0046635F">
              <w:rPr>
                <w:rFonts w:ascii="Arial" w:eastAsia="Times New Roman" w:hAnsi="Arial" w:cs="Arial"/>
                <w:b/>
                <w:iCs/>
                <w:sz w:val="17"/>
                <w:szCs w:val="17"/>
                <w:lang w:eastAsia="en-GB"/>
              </w:rPr>
              <w:t>Total</w:t>
            </w:r>
          </w:p>
        </w:tc>
        <w:tc>
          <w:tcPr>
            <w:tcW w:w="759" w:type="dxa"/>
            <w:tcBorders>
              <w:left w:val="single" w:sz="4" w:space="0" w:color="auto"/>
              <w:bottom w:val="single" w:sz="4" w:space="0" w:color="auto"/>
            </w:tcBorders>
            <w:vAlign w:val="center"/>
          </w:tcPr>
          <w:p w14:paraId="1CBB8ECA" w14:textId="77777777" w:rsidR="00232104" w:rsidRPr="0046635F" w:rsidRDefault="00232104" w:rsidP="00996F64">
            <w:pPr>
              <w:ind w:left="72" w:right="72"/>
              <w:jc w:val="right"/>
              <w:rPr>
                <w:rFonts w:ascii="Arial" w:eastAsia="Times New Roman" w:hAnsi="Arial" w:cs="Arial"/>
                <w:b/>
                <w:i/>
                <w:iCs/>
                <w:sz w:val="17"/>
                <w:szCs w:val="17"/>
                <w:lang w:eastAsia="en-GB"/>
              </w:rPr>
            </w:pPr>
            <w:r w:rsidRPr="0046635F">
              <w:rPr>
                <w:rFonts w:ascii="Arial" w:eastAsia="Times New Roman" w:hAnsi="Arial" w:cs="Arial"/>
                <w:b/>
                <w:sz w:val="17"/>
                <w:szCs w:val="17"/>
                <w:lang w:eastAsia="en-GB"/>
              </w:rPr>
              <w:t>100</w:t>
            </w:r>
          </w:p>
        </w:tc>
        <w:tc>
          <w:tcPr>
            <w:tcW w:w="763" w:type="dxa"/>
            <w:tcBorders>
              <w:bottom w:val="single" w:sz="4" w:space="0" w:color="auto"/>
            </w:tcBorders>
            <w:vAlign w:val="center"/>
          </w:tcPr>
          <w:p w14:paraId="62618CAF" w14:textId="7468C7DD" w:rsidR="00232104" w:rsidRPr="0046635F" w:rsidRDefault="00232104" w:rsidP="00996F64">
            <w:pPr>
              <w:ind w:left="72" w:right="72"/>
              <w:jc w:val="right"/>
              <w:rPr>
                <w:rFonts w:ascii="Arial" w:eastAsia="Times New Roman" w:hAnsi="Arial" w:cs="Arial"/>
                <w:b/>
                <w:i/>
                <w:iCs/>
                <w:sz w:val="17"/>
                <w:szCs w:val="17"/>
                <w:lang w:eastAsia="en-GB"/>
              </w:rPr>
            </w:pPr>
            <w:r w:rsidRPr="0046635F">
              <w:rPr>
                <w:rFonts w:ascii="Arial" w:eastAsia="Times New Roman" w:hAnsi="Arial" w:cs="Arial"/>
                <w:b/>
                <w:sz w:val="17"/>
                <w:szCs w:val="18"/>
                <w:lang w:eastAsia="en-GB"/>
              </w:rPr>
              <w:t>108.9</w:t>
            </w:r>
          </w:p>
        </w:tc>
        <w:tc>
          <w:tcPr>
            <w:tcW w:w="763" w:type="dxa"/>
            <w:tcBorders>
              <w:bottom w:val="single" w:sz="4" w:space="0" w:color="auto"/>
            </w:tcBorders>
            <w:vAlign w:val="center"/>
          </w:tcPr>
          <w:p w14:paraId="535F0358" w14:textId="72C84FDC" w:rsidR="00232104" w:rsidRPr="0046635F" w:rsidRDefault="00232104" w:rsidP="00996F64">
            <w:pPr>
              <w:ind w:left="72" w:right="72"/>
              <w:jc w:val="right"/>
              <w:rPr>
                <w:rFonts w:ascii="Arial" w:eastAsia="Times New Roman" w:hAnsi="Arial" w:cs="Arial"/>
                <w:b/>
                <w:i/>
                <w:iCs/>
                <w:sz w:val="17"/>
                <w:szCs w:val="17"/>
                <w:lang w:eastAsia="en-GB"/>
              </w:rPr>
            </w:pPr>
            <w:r w:rsidRPr="0046635F">
              <w:rPr>
                <w:rFonts w:ascii="Arial" w:eastAsia="Times New Roman" w:hAnsi="Arial" w:cs="Arial"/>
                <w:b/>
                <w:sz w:val="17"/>
                <w:szCs w:val="18"/>
                <w:lang w:eastAsia="en-GB"/>
              </w:rPr>
              <w:t>129.7</w:t>
            </w:r>
          </w:p>
        </w:tc>
        <w:tc>
          <w:tcPr>
            <w:tcW w:w="763" w:type="dxa"/>
            <w:tcBorders>
              <w:bottom w:val="single" w:sz="4" w:space="0" w:color="auto"/>
            </w:tcBorders>
            <w:vAlign w:val="center"/>
          </w:tcPr>
          <w:p w14:paraId="7F1024C7" w14:textId="09AC9E64" w:rsidR="00232104" w:rsidRPr="0046635F" w:rsidRDefault="00232104" w:rsidP="00996F64">
            <w:pPr>
              <w:ind w:left="72" w:right="72"/>
              <w:jc w:val="right"/>
              <w:rPr>
                <w:rFonts w:ascii="Arial" w:eastAsia="Times New Roman" w:hAnsi="Arial" w:cs="Arial"/>
                <w:b/>
                <w:i/>
                <w:iCs/>
                <w:sz w:val="17"/>
                <w:szCs w:val="17"/>
                <w:lang w:eastAsia="en-GB"/>
              </w:rPr>
            </w:pPr>
            <w:r w:rsidRPr="0046635F">
              <w:rPr>
                <w:rFonts w:ascii="Arial" w:eastAsia="Times New Roman" w:hAnsi="Arial" w:cs="Arial"/>
                <w:b/>
                <w:sz w:val="17"/>
                <w:szCs w:val="18"/>
                <w:lang w:eastAsia="en-GB"/>
              </w:rPr>
              <w:t>153.2</w:t>
            </w:r>
          </w:p>
        </w:tc>
        <w:tc>
          <w:tcPr>
            <w:tcW w:w="761" w:type="dxa"/>
            <w:tcBorders>
              <w:bottom w:val="single" w:sz="4" w:space="0" w:color="auto"/>
              <w:right w:val="single" w:sz="4" w:space="0" w:color="auto"/>
            </w:tcBorders>
            <w:vAlign w:val="center"/>
          </w:tcPr>
          <w:p w14:paraId="295FD005" w14:textId="3E45125C" w:rsidR="00232104" w:rsidRPr="0046635F" w:rsidRDefault="00232104" w:rsidP="00996F64">
            <w:pPr>
              <w:ind w:left="72" w:right="72"/>
              <w:jc w:val="right"/>
              <w:rPr>
                <w:rFonts w:ascii="Arial" w:eastAsia="Times New Roman" w:hAnsi="Arial" w:cs="Arial"/>
                <w:b/>
                <w:i/>
                <w:iCs/>
                <w:sz w:val="17"/>
                <w:szCs w:val="17"/>
                <w:lang w:eastAsia="en-GB"/>
              </w:rPr>
            </w:pPr>
            <w:r w:rsidRPr="0046635F">
              <w:rPr>
                <w:rFonts w:ascii="Arial" w:eastAsia="Times New Roman" w:hAnsi="Arial" w:cs="Arial"/>
                <w:b/>
                <w:sz w:val="17"/>
                <w:szCs w:val="18"/>
                <w:lang w:eastAsia="en-GB"/>
              </w:rPr>
              <w:t>169.9</w:t>
            </w:r>
          </w:p>
        </w:tc>
        <w:tc>
          <w:tcPr>
            <w:tcW w:w="763" w:type="dxa"/>
            <w:tcBorders>
              <w:left w:val="single" w:sz="4" w:space="0" w:color="auto"/>
              <w:bottom w:val="single" w:sz="4" w:space="0" w:color="auto"/>
            </w:tcBorders>
            <w:vAlign w:val="center"/>
          </w:tcPr>
          <w:p w14:paraId="5BBC0EAE" w14:textId="7ADE1774" w:rsidR="00232104" w:rsidRPr="0046635F" w:rsidRDefault="00232104" w:rsidP="00996F64">
            <w:pPr>
              <w:ind w:left="72" w:right="72"/>
              <w:jc w:val="right"/>
              <w:rPr>
                <w:rFonts w:ascii="Arial" w:eastAsia="Times New Roman" w:hAnsi="Arial" w:cs="Arial"/>
                <w:b/>
                <w:i/>
                <w:iCs/>
                <w:sz w:val="17"/>
                <w:szCs w:val="17"/>
                <w:lang w:eastAsia="en-GB"/>
              </w:rPr>
            </w:pPr>
            <w:r w:rsidRPr="0046635F">
              <w:rPr>
                <w:rFonts w:ascii="Arial" w:eastAsia="Times New Roman" w:hAnsi="Arial" w:cs="Arial"/>
                <w:b/>
                <w:sz w:val="17"/>
                <w:szCs w:val="18"/>
                <w:lang w:eastAsia="en-GB"/>
              </w:rPr>
              <w:t>2.4%</w:t>
            </w:r>
          </w:p>
        </w:tc>
        <w:tc>
          <w:tcPr>
            <w:tcW w:w="763" w:type="dxa"/>
            <w:tcBorders>
              <w:bottom w:val="single" w:sz="4" w:space="0" w:color="auto"/>
            </w:tcBorders>
            <w:vAlign w:val="center"/>
          </w:tcPr>
          <w:p w14:paraId="588C1242" w14:textId="3536BAA6" w:rsidR="00232104" w:rsidRPr="0046635F" w:rsidRDefault="00232104" w:rsidP="00996F64">
            <w:pPr>
              <w:ind w:left="72" w:right="72"/>
              <w:jc w:val="right"/>
              <w:rPr>
                <w:rFonts w:ascii="Arial" w:eastAsia="Times New Roman" w:hAnsi="Arial" w:cs="Arial"/>
                <w:b/>
                <w:sz w:val="17"/>
                <w:szCs w:val="17"/>
                <w:lang w:eastAsia="en-GB"/>
              </w:rPr>
            </w:pPr>
            <w:r w:rsidRPr="0046635F">
              <w:rPr>
                <w:rFonts w:ascii="Arial" w:eastAsia="Times New Roman" w:hAnsi="Arial" w:cs="Arial"/>
                <w:b/>
                <w:sz w:val="17"/>
                <w:szCs w:val="18"/>
                <w:lang w:eastAsia="en-GB"/>
              </w:rPr>
              <w:t>1.0%</w:t>
            </w:r>
          </w:p>
        </w:tc>
        <w:tc>
          <w:tcPr>
            <w:tcW w:w="764" w:type="dxa"/>
            <w:tcBorders>
              <w:bottom w:val="single" w:sz="4" w:space="0" w:color="auto"/>
            </w:tcBorders>
            <w:vAlign w:val="center"/>
          </w:tcPr>
          <w:p w14:paraId="10A56125" w14:textId="0FA32F60" w:rsidR="00232104" w:rsidRPr="0046635F" w:rsidRDefault="00232104" w:rsidP="00996F64">
            <w:pPr>
              <w:ind w:left="72" w:right="72"/>
              <w:jc w:val="right"/>
              <w:rPr>
                <w:rFonts w:ascii="Arial" w:eastAsia="Times New Roman" w:hAnsi="Arial" w:cs="Arial"/>
                <w:b/>
                <w:sz w:val="17"/>
                <w:szCs w:val="17"/>
                <w:lang w:eastAsia="en-GB"/>
              </w:rPr>
            </w:pPr>
            <w:r w:rsidRPr="0046635F">
              <w:rPr>
                <w:rFonts w:ascii="Arial" w:eastAsia="Times New Roman" w:hAnsi="Arial" w:cs="Arial"/>
                <w:b/>
                <w:sz w:val="17"/>
                <w:szCs w:val="18"/>
                <w:lang w:eastAsia="en-GB"/>
              </w:rPr>
              <w:t>3.5%</w:t>
            </w:r>
          </w:p>
        </w:tc>
        <w:tc>
          <w:tcPr>
            <w:tcW w:w="764" w:type="dxa"/>
            <w:tcBorders>
              <w:bottom w:val="single" w:sz="4" w:space="0" w:color="auto"/>
            </w:tcBorders>
            <w:vAlign w:val="center"/>
          </w:tcPr>
          <w:p w14:paraId="338C82E3" w14:textId="025D2AC7" w:rsidR="00232104" w:rsidRPr="0046635F" w:rsidRDefault="00232104" w:rsidP="00996F64">
            <w:pPr>
              <w:ind w:left="72" w:right="72"/>
              <w:jc w:val="right"/>
              <w:rPr>
                <w:rFonts w:ascii="Arial" w:eastAsia="Times New Roman" w:hAnsi="Arial" w:cs="Arial"/>
                <w:b/>
                <w:sz w:val="17"/>
                <w:szCs w:val="17"/>
                <w:lang w:eastAsia="en-GB"/>
              </w:rPr>
            </w:pPr>
            <w:r w:rsidRPr="0046635F">
              <w:rPr>
                <w:rFonts w:ascii="Arial" w:eastAsia="Times New Roman" w:hAnsi="Arial" w:cs="Arial"/>
                <w:b/>
                <w:sz w:val="17"/>
                <w:szCs w:val="18"/>
                <w:lang w:eastAsia="en-GB"/>
              </w:rPr>
              <w:t>3.4%</w:t>
            </w:r>
          </w:p>
        </w:tc>
        <w:tc>
          <w:tcPr>
            <w:tcW w:w="764" w:type="dxa"/>
            <w:tcBorders>
              <w:bottom w:val="single" w:sz="4" w:space="0" w:color="auto"/>
            </w:tcBorders>
            <w:vAlign w:val="center"/>
          </w:tcPr>
          <w:p w14:paraId="30860C04" w14:textId="4B3ED0E9" w:rsidR="00232104" w:rsidRPr="0046635F" w:rsidRDefault="00232104" w:rsidP="00996F64">
            <w:pPr>
              <w:ind w:left="72" w:right="72"/>
              <w:jc w:val="right"/>
              <w:rPr>
                <w:rFonts w:ascii="Arial" w:eastAsia="Times New Roman" w:hAnsi="Arial" w:cs="Arial"/>
                <w:b/>
                <w:sz w:val="17"/>
                <w:szCs w:val="17"/>
                <w:lang w:eastAsia="en-GB"/>
              </w:rPr>
            </w:pPr>
            <w:r w:rsidRPr="0046635F">
              <w:rPr>
                <w:rFonts w:ascii="Arial" w:eastAsia="Times New Roman" w:hAnsi="Arial" w:cs="Arial"/>
                <w:b/>
                <w:sz w:val="17"/>
                <w:szCs w:val="18"/>
                <w:lang w:eastAsia="en-GB"/>
              </w:rPr>
              <w:t>3.5%</w:t>
            </w:r>
          </w:p>
        </w:tc>
      </w:tr>
    </w:tbl>
    <w:p w14:paraId="7225620B" w14:textId="35FD0E8C" w:rsidR="00996F64" w:rsidRDefault="00996F64" w:rsidP="00996F64">
      <w:pPr>
        <w:pStyle w:val="Source"/>
      </w:pPr>
      <w:r w:rsidRPr="00065CA6">
        <w:t>Note: Derived by calculating labour productivity levels (gross value added at constant 2005 prices divided by number of persons engaged) and expressing the results as an index related to 19</w:t>
      </w:r>
      <w:r>
        <w:t>91</w:t>
      </w:r>
      <w:r w:rsidRPr="00065CA6">
        <w:t xml:space="preserve"> levels.</w:t>
      </w:r>
      <w:r>
        <w:br/>
        <w:t xml:space="preserve">Source: Authors’ calculations using </w:t>
      </w:r>
      <w:proofErr w:type="spellStart"/>
      <w:r>
        <w:t>UNSD</w:t>
      </w:r>
      <w:proofErr w:type="spellEnd"/>
      <w:r>
        <w:t xml:space="preserve"> </w:t>
      </w:r>
      <w:r w:rsidRPr="00981A1E">
        <w:t>National Accounts Main Aggregates</w:t>
      </w:r>
      <w:r>
        <w:t xml:space="preserve"> data on ‘gross value added by kind of economic activity’ (</w:t>
      </w:r>
      <w:hyperlink r:id="rId20" w:history="1">
        <w:r w:rsidRPr="00981A1E">
          <w:rPr>
            <w:rStyle w:val="Hyperlink"/>
          </w:rPr>
          <w:t>https://data.un.org/search.aspx?q=gross+value+added+datamart%5bsnaama%5d</w:t>
        </w:r>
      </w:hyperlink>
      <w:r>
        <w:t>) and ILO World Employment and Social Outlook (</w:t>
      </w:r>
      <w:proofErr w:type="spellStart"/>
      <w:r>
        <w:t>WESO</w:t>
      </w:r>
      <w:proofErr w:type="spellEnd"/>
      <w:r>
        <w:t>) – Trends 2015 supporting dataset ‘employment by sector and sex’ (</w:t>
      </w:r>
      <w:hyperlink r:id="rId21" w:history="1">
        <w:r w:rsidRPr="00DC3FEA">
          <w:rPr>
            <w:rStyle w:val="Hyperlink"/>
          </w:rPr>
          <w:t>http://www.ilo.org/global/research/global-reports/weso/2015/lang--en/index.htm</w:t>
        </w:r>
      </w:hyperlink>
      <w:r>
        <w:t xml:space="preserve">). NB: the ‘gross value added’ data are an aggregation of the figures for </w:t>
      </w:r>
      <w:r w:rsidRPr="00996F64">
        <w:t>'</w:t>
      </w:r>
      <w:proofErr w:type="spellStart"/>
      <w:r w:rsidRPr="00996F64">
        <w:t>U.R</w:t>
      </w:r>
      <w:proofErr w:type="spellEnd"/>
      <w:r w:rsidRPr="00996F64">
        <w:t>. of Tanzania: Mainland' and 'Zanzibar'</w:t>
      </w:r>
      <w:r>
        <w:t xml:space="preserve">. The employment data relate to ‘Tanzania, United Republic of’. In the </w:t>
      </w:r>
      <w:r w:rsidRPr="00996F64">
        <w:t>'</w:t>
      </w:r>
      <w:proofErr w:type="spellStart"/>
      <w:r w:rsidRPr="00996F64">
        <w:t>U.R</w:t>
      </w:r>
      <w:proofErr w:type="spellEnd"/>
      <w:r w:rsidRPr="00996F64">
        <w:t>. of Tanzania: Mainland'</w:t>
      </w:r>
      <w:r>
        <w:t xml:space="preserve"> gross value added data (there are no corresponding notes regarding the ‘Zanzibar data) ‘Agriculture’ excludes </w:t>
      </w:r>
      <w:r w:rsidRPr="00966EC7">
        <w:t>irrigation canals and landscaping care</w:t>
      </w:r>
      <w:r>
        <w:t>, ‘</w:t>
      </w:r>
      <w:r w:rsidRPr="00966EC7">
        <w:t>Mining, Manufacturing, Utilities</w:t>
      </w:r>
      <w:r>
        <w:t xml:space="preserve">’ (which are disaggregated here) excludes </w:t>
      </w:r>
      <w:r w:rsidRPr="00966EC7">
        <w:t>publishing activities</w:t>
      </w:r>
      <w:r>
        <w:t xml:space="preserve"> and</w:t>
      </w:r>
      <w:r w:rsidRPr="00966EC7">
        <w:t xml:space="preserve"> includes irrigation canals</w:t>
      </w:r>
      <w:r>
        <w:t>, ‘Manufacturing’ e</w:t>
      </w:r>
      <w:r w:rsidRPr="00966EC7">
        <w:t>xcludes recycling and publishing activities</w:t>
      </w:r>
      <w:r>
        <w:t>, ‘</w:t>
      </w:r>
      <w:r w:rsidRPr="00966EC7">
        <w:t>Wholesale, retail trade, restaurants and hotels</w:t>
      </w:r>
      <w:r>
        <w:t>’ e</w:t>
      </w:r>
      <w:r w:rsidRPr="00966EC7">
        <w:t>xcludes repair of personal and household goods</w:t>
      </w:r>
      <w:r>
        <w:t>, ‘</w:t>
      </w:r>
      <w:r w:rsidRPr="00966EC7">
        <w:t>Transport, storage and communication</w:t>
      </w:r>
      <w:r>
        <w:t xml:space="preserve">’ excludes </w:t>
      </w:r>
      <w:r w:rsidRPr="00966EC7">
        <w:t>travel agencies, includes publishing activities, computer and related activities and radio/TV activities</w:t>
      </w:r>
      <w:r>
        <w:t>, ‘Other’ e</w:t>
      </w:r>
      <w:r w:rsidRPr="00966EC7">
        <w:t>xcludes computer and related activities and radio/TV activities</w:t>
      </w:r>
      <w:r>
        <w:t xml:space="preserve"> and</w:t>
      </w:r>
      <w:r w:rsidRPr="00966EC7">
        <w:t xml:space="preserve"> includes travel agencies and landscaping care</w:t>
      </w:r>
      <w:r>
        <w:t>; it was not possible to make corresponding adjustments when aggregating the employment data.</w:t>
      </w:r>
    </w:p>
    <w:p w14:paraId="5D48E1B1" w14:textId="21081474" w:rsidR="00996F64" w:rsidRDefault="00996F64" w:rsidP="00FF41BE">
      <w:pPr>
        <w:pStyle w:val="Source"/>
      </w:pPr>
    </w:p>
    <w:p w14:paraId="77FDBC99" w14:textId="77777777" w:rsidR="007B403C" w:rsidRDefault="007B403C" w:rsidP="00FF41BE">
      <w:pPr>
        <w:pStyle w:val="Source"/>
      </w:pPr>
    </w:p>
    <w:p w14:paraId="77FDBC9A" w14:textId="77777777" w:rsidR="00F975F4" w:rsidRDefault="00F975F4" w:rsidP="00FF41BE">
      <w:pPr>
        <w:pStyle w:val="Source"/>
        <w:sectPr w:rsidR="00F975F4" w:rsidSect="00FB382F">
          <w:headerReference w:type="default" r:id="rId22"/>
          <w:footerReference w:type="default" r:id="rId23"/>
          <w:pgSz w:w="16839" w:h="11907" w:orient="landscape" w:code="9"/>
          <w:pgMar w:top="965" w:right="1469" w:bottom="2102" w:left="1368" w:header="706" w:footer="706" w:gutter="0"/>
          <w:pgNumType w:start="1"/>
          <w:cols w:space="708"/>
          <w:docGrid w:linePitch="360"/>
        </w:sectPr>
      </w:pPr>
    </w:p>
    <w:p w14:paraId="77FDBC9B" w14:textId="4CEEDEC4" w:rsidR="006977AE" w:rsidRDefault="00F515DA" w:rsidP="00BA5FA0">
      <w:pPr>
        <w:pStyle w:val="FigureHeading"/>
      </w:pPr>
      <w:bookmarkStart w:id="22" w:name="_Toc404582443"/>
      <w:bookmarkStart w:id="23" w:name="_Toc406411722"/>
      <w:bookmarkStart w:id="24" w:name="_Toc406585297"/>
      <w:bookmarkStart w:id="25" w:name="_Toc428435127"/>
      <w:r>
        <w:t xml:space="preserve">Relative </w:t>
      </w:r>
      <w:r w:rsidR="007B403C">
        <w:t>productivity and change</w:t>
      </w:r>
      <w:r>
        <w:t>s</w:t>
      </w:r>
      <w:r w:rsidR="007B403C">
        <w:t xml:space="preserve"> in employment shares</w:t>
      </w:r>
      <w:r>
        <w:t xml:space="preserve"> by sector</w:t>
      </w:r>
      <w:r w:rsidR="0007293C">
        <w:t xml:space="preserve">, </w:t>
      </w:r>
      <w:r w:rsidR="00EA21D5">
        <w:t>Tanzania</w:t>
      </w:r>
      <w:bookmarkEnd w:id="22"/>
      <w:bookmarkEnd w:id="23"/>
      <w:bookmarkEnd w:id="24"/>
      <w:r w:rsidR="00996F64">
        <w:t xml:space="preserve"> (</w:t>
      </w:r>
      <w:proofErr w:type="spellStart"/>
      <w:r w:rsidR="00996F64">
        <w:t>GGDC</w:t>
      </w:r>
      <w:proofErr w:type="spellEnd"/>
      <w:r w:rsidR="00996F64">
        <w:t xml:space="preserve"> Africa sector database data)</w:t>
      </w:r>
      <w:bookmarkEnd w:id="25"/>
    </w:p>
    <w:p w14:paraId="77FDBC9C" w14:textId="77777777" w:rsidR="00F975F4" w:rsidRPr="00F975F4" w:rsidRDefault="00EA21D5" w:rsidP="00F975F4">
      <w:r>
        <w:rPr>
          <w:noProof/>
          <w:lang w:eastAsia="en-GB"/>
        </w:rPr>
        <w:drawing>
          <wp:inline distT="0" distB="0" distL="0" distR="0" wp14:anchorId="77FDBF65" wp14:editId="77FDBF66">
            <wp:extent cx="5029200" cy="2606040"/>
            <wp:effectExtent l="0" t="0" r="0" b="38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7FDBC9D" w14:textId="77777777" w:rsidR="00F975F4" w:rsidRPr="00F975F4" w:rsidRDefault="00EA21D5" w:rsidP="00F975F4">
      <w:r>
        <w:rPr>
          <w:noProof/>
          <w:lang w:eastAsia="en-GB"/>
        </w:rPr>
        <w:drawing>
          <wp:inline distT="0" distB="0" distL="0" distR="0" wp14:anchorId="77FDBF67" wp14:editId="77FDBF68">
            <wp:extent cx="5029200" cy="2606040"/>
            <wp:effectExtent l="0" t="0" r="0" b="38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7FDBC9E" w14:textId="77777777" w:rsidR="0007293C" w:rsidRDefault="00EA21D5" w:rsidP="0007293C">
      <w:pPr>
        <w:pStyle w:val="BodyText"/>
      </w:pPr>
      <w:r>
        <w:rPr>
          <w:noProof/>
          <w:lang w:eastAsia="en-GB"/>
        </w:rPr>
        <w:drawing>
          <wp:inline distT="0" distB="0" distL="0" distR="0" wp14:anchorId="77FDBF69" wp14:editId="77FDBF6A">
            <wp:extent cx="5029200" cy="2606040"/>
            <wp:effectExtent l="0" t="0" r="0" b="381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7FDBC9F" w14:textId="77777777" w:rsidR="00EA21D5" w:rsidRDefault="00EE341B" w:rsidP="00EA21D5">
      <w:pPr>
        <w:pStyle w:val="Source"/>
      </w:pPr>
      <w:r>
        <w:t xml:space="preserve">Note: Size of bubbles represents number of persons engaged </w:t>
      </w:r>
      <w:r w:rsidR="00696ABC">
        <w:t xml:space="preserve">in each sector </w:t>
      </w:r>
      <w:r>
        <w:t>in the later year of each of the three periods.</w:t>
      </w:r>
      <w:r>
        <w:br/>
      </w:r>
      <w:r w:rsidR="00DC1A9F">
        <w:t>Source: Authors’ calculations using the Africa Sector Database</w:t>
      </w:r>
      <w:r w:rsidR="001228CD">
        <w:t xml:space="preserve"> (</w:t>
      </w:r>
      <w:hyperlink r:id="rId27" w:history="1">
        <w:r w:rsidR="001228CD" w:rsidRPr="001228CD">
          <w:rPr>
            <w:rStyle w:val="Hyperlink"/>
          </w:rPr>
          <w:t>http://www.rug.nl/research/ggdc/data/africa-sector-database</w:t>
        </w:r>
      </w:hyperlink>
      <w:r w:rsidR="001228CD">
        <w:t>)</w:t>
      </w:r>
      <w:r w:rsidR="00714EDC">
        <w:t xml:space="preserve">; </w:t>
      </w:r>
      <w:r w:rsidR="00714EDC" w:rsidRPr="00714EDC">
        <w:t>de Vries et al. (2013)</w:t>
      </w:r>
      <w:r w:rsidR="001228CD">
        <w:t>.</w:t>
      </w:r>
      <w:bookmarkStart w:id="26" w:name="_Toc404582444"/>
    </w:p>
    <w:p w14:paraId="6D07953B" w14:textId="37871652" w:rsidR="00232104" w:rsidRDefault="00232104" w:rsidP="00232104">
      <w:pPr>
        <w:pStyle w:val="FigureHeading"/>
        <w:numPr>
          <w:ilvl w:val="0"/>
          <w:numId w:val="34"/>
        </w:numPr>
        <w:tabs>
          <w:tab w:val="right" w:pos="9806"/>
        </w:tabs>
        <w:rPr>
          <w:color w:val="FF0000"/>
        </w:rPr>
      </w:pPr>
      <w:bookmarkStart w:id="27" w:name="_Toc427753256"/>
      <w:bookmarkStart w:id="28" w:name="_Toc427767257"/>
      <w:bookmarkStart w:id="29" w:name="_Toc427768420"/>
      <w:bookmarkStart w:id="30" w:name="_Toc428435128"/>
      <w:bookmarkStart w:id="31" w:name="_Toc406411723"/>
      <w:bookmarkStart w:id="32" w:name="_Toc406585298"/>
      <w:r>
        <w:t xml:space="preserve">Relative productivity and changes in employment shares by sector, </w:t>
      </w:r>
      <w:r>
        <w:rPr>
          <w:noProof/>
        </w:rPr>
        <w:t>Tanzania</w:t>
      </w:r>
      <w:r>
        <w:t xml:space="preserve"> (</w:t>
      </w:r>
      <w:proofErr w:type="spellStart"/>
      <w:r>
        <w:t>UNSD</w:t>
      </w:r>
      <w:proofErr w:type="spellEnd"/>
      <w:r>
        <w:t xml:space="preserve">/ILO </w:t>
      </w:r>
      <w:proofErr w:type="spellStart"/>
      <w:r>
        <w:t>WESO</w:t>
      </w:r>
      <w:proofErr w:type="spellEnd"/>
      <w:r>
        <w:t xml:space="preserve"> data)</w:t>
      </w:r>
      <w:r>
        <w:tab/>
      </w:r>
      <w:r w:rsidRPr="001B0E3C">
        <w:rPr>
          <w:color w:val="FF0000"/>
        </w:rPr>
        <w:t>NEW</w:t>
      </w:r>
      <w:bookmarkEnd w:id="27"/>
      <w:bookmarkEnd w:id="28"/>
      <w:bookmarkEnd w:id="29"/>
      <w:bookmarkEnd w:id="30"/>
    </w:p>
    <w:p w14:paraId="56F4F616" w14:textId="6C9AEDE3" w:rsidR="00232104" w:rsidRPr="000D1333" w:rsidRDefault="00232104" w:rsidP="00232104">
      <w:pPr>
        <w:pStyle w:val="BodyText"/>
        <w:tabs>
          <w:tab w:val="left" w:pos="1200"/>
        </w:tabs>
      </w:pPr>
      <w:r>
        <w:rPr>
          <w:noProof/>
          <w:lang w:eastAsia="en-GB"/>
        </w:rPr>
        <w:drawing>
          <wp:inline distT="0" distB="0" distL="0" distR="0" wp14:anchorId="7A1B7100" wp14:editId="09CB196B">
            <wp:extent cx="5400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232104">
        <w:rPr>
          <w:noProof/>
          <w:lang w:eastAsia="en-GB"/>
        </w:rPr>
        <w:t xml:space="preserve"> </w:t>
      </w:r>
      <w:r>
        <w:rPr>
          <w:noProof/>
          <w:lang w:eastAsia="en-GB"/>
        </w:rPr>
        <w:drawing>
          <wp:inline distT="0" distB="0" distL="0" distR="0" wp14:anchorId="7DEDF5AA" wp14:editId="2CF6877A">
            <wp:extent cx="5400000" cy="2743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232104">
        <w:rPr>
          <w:noProof/>
          <w:lang w:eastAsia="en-GB"/>
        </w:rPr>
        <w:t xml:space="preserve"> </w:t>
      </w:r>
      <w:r>
        <w:rPr>
          <w:noProof/>
          <w:lang w:eastAsia="en-GB"/>
        </w:rPr>
        <w:drawing>
          <wp:inline distT="0" distB="0" distL="0" distR="0" wp14:anchorId="7039822D" wp14:editId="6943E451">
            <wp:extent cx="54000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E919B5D" w14:textId="77777777" w:rsidR="00232104" w:rsidRDefault="00232104" w:rsidP="00232104">
      <w:pPr>
        <w:pStyle w:val="BodyText"/>
        <w:rPr>
          <w:noProof/>
          <w:lang w:eastAsia="en-GB"/>
        </w:rPr>
      </w:pPr>
    </w:p>
    <w:p w14:paraId="0301EB72" w14:textId="2D33EAB3" w:rsidR="00232104" w:rsidRDefault="00232104" w:rsidP="00232104">
      <w:pPr>
        <w:pStyle w:val="BodyText"/>
        <w:spacing w:before="39" w:after="0" w:line="240" w:lineRule="auto"/>
        <w:jc w:val="left"/>
        <w:rPr>
          <w:noProof/>
          <w:lang w:eastAsia="en-GB"/>
        </w:rPr>
      </w:pPr>
      <w:r>
        <w:rPr>
          <w:noProof/>
          <w:lang w:eastAsia="en-GB"/>
        </w:rPr>
        <w:drawing>
          <wp:inline distT="0" distB="0" distL="0" distR="0" wp14:anchorId="3BBFAEF1" wp14:editId="43A72C31">
            <wp:extent cx="5400000" cy="2743200"/>
            <wp:effectExtent l="0" t="0" r="0" b="0"/>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BB231C7" w14:textId="1A25C90C" w:rsidR="00232104" w:rsidRPr="00065CA6" w:rsidRDefault="00232104" w:rsidP="00232104">
      <w:pPr>
        <w:pStyle w:val="Source"/>
      </w:pPr>
      <w:r w:rsidRPr="00065CA6">
        <w:t>Note: Size of bubbles represents number of persons employed in each sector in the later year of each period.</w:t>
      </w:r>
      <w:r w:rsidRPr="00065CA6">
        <w:br/>
      </w:r>
      <w:r w:rsidRPr="00065CA6">
        <w:rPr>
          <w:rFonts w:asciiTheme="majorHAnsi" w:hAnsiTheme="majorHAnsi" w:cstheme="majorHAnsi"/>
          <w:szCs w:val="16"/>
        </w:rPr>
        <w:t xml:space="preserve">Source: Authors’ calculations using </w:t>
      </w:r>
      <w:proofErr w:type="spellStart"/>
      <w:r w:rsidRPr="00065CA6">
        <w:rPr>
          <w:rFonts w:asciiTheme="majorHAnsi" w:hAnsiTheme="majorHAnsi" w:cstheme="majorHAnsi"/>
          <w:szCs w:val="16"/>
        </w:rPr>
        <w:t>UNSD</w:t>
      </w:r>
      <w:proofErr w:type="spellEnd"/>
      <w:r w:rsidRPr="00065CA6">
        <w:rPr>
          <w:rFonts w:asciiTheme="majorHAnsi" w:hAnsiTheme="majorHAnsi" w:cstheme="majorHAnsi"/>
          <w:szCs w:val="16"/>
        </w:rPr>
        <w:t xml:space="preserve"> National Accounts Main Aggregates data on ‘gross value added by kind of economic activity’ (</w:t>
      </w:r>
      <w:hyperlink r:id="rId32" w:history="1">
        <w:r w:rsidRPr="00065CA6">
          <w:rPr>
            <w:rStyle w:val="Hyperlink"/>
            <w:rFonts w:asciiTheme="majorHAnsi" w:hAnsiTheme="majorHAnsi" w:cstheme="majorHAnsi"/>
            <w:szCs w:val="16"/>
          </w:rPr>
          <w:t>https://data.un.org/search.aspx?q=gross+value+added+datamart%5bsnaama%5d</w:t>
        </w:r>
      </w:hyperlink>
      <w:r w:rsidRPr="00065CA6">
        <w:rPr>
          <w:rFonts w:asciiTheme="majorHAnsi" w:hAnsiTheme="majorHAnsi" w:cstheme="majorHAnsi"/>
          <w:szCs w:val="16"/>
        </w:rPr>
        <w:t>) and ILO World Employment and Social Outlook (</w:t>
      </w:r>
      <w:proofErr w:type="spellStart"/>
      <w:r w:rsidRPr="00065CA6">
        <w:rPr>
          <w:rFonts w:asciiTheme="majorHAnsi" w:hAnsiTheme="majorHAnsi" w:cstheme="majorHAnsi"/>
          <w:szCs w:val="16"/>
        </w:rPr>
        <w:t>WESO</w:t>
      </w:r>
      <w:proofErr w:type="spellEnd"/>
      <w:r w:rsidRPr="00065CA6">
        <w:rPr>
          <w:rFonts w:asciiTheme="majorHAnsi" w:hAnsiTheme="majorHAnsi" w:cstheme="majorHAnsi"/>
          <w:szCs w:val="16"/>
        </w:rPr>
        <w:t>) – Trends 2015 supporting dataset ‘employment by sector and sex’ (</w:t>
      </w:r>
      <w:hyperlink r:id="rId33" w:history="1">
        <w:r w:rsidRPr="00065CA6">
          <w:rPr>
            <w:rStyle w:val="Hyperlink"/>
            <w:rFonts w:asciiTheme="majorHAnsi" w:hAnsiTheme="majorHAnsi" w:cstheme="majorHAnsi"/>
            <w:szCs w:val="16"/>
          </w:rPr>
          <w:t>http://www.ilo.org/global/research/global-reports/weso/2015/lang--en/index.htm</w:t>
        </w:r>
      </w:hyperlink>
      <w:r w:rsidRPr="00065CA6">
        <w:rPr>
          <w:rFonts w:asciiTheme="majorHAnsi" w:hAnsiTheme="majorHAnsi" w:cstheme="majorHAnsi"/>
          <w:szCs w:val="16"/>
        </w:rPr>
        <w:t>).</w:t>
      </w:r>
      <w:r>
        <w:rPr>
          <w:rFonts w:asciiTheme="majorHAnsi" w:hAnsiTheme="majorHAnsi" w:cstheme="majorHAnsi"/>
          <w:szCs w:val="16"/>
        </w:rPr>
        <w:t xml:space="preserve"> </w:t>
      </w:r>
      <w:r>
        <w:t xml:space="preserve">NB: the ‘gross value added’ data are an aggregation of the figures for </w:t>
      </w:r>
      <w:r w:rsidRPr="00996F64">
        <w:t>'</w:t>
      </w:r>
      <w:proofErr w:type="spellStart"/>
      <w:r w:rsidRPr="00996F64">
        <w:t>U.R</w:t>
      </w:r>
      <w:proofErr w:type="spellEnd"/>
      <w:r w:rsidRPr="00996F64">
        <w:t>. of Tanzania: Mainland' and 'Zanzibar'</w:t>
      </w:r>
      <w:r>
        <w:t xml:space="preserve">. The employment data relate to ‘Tanzania, United Republic of’. In the </w:t>
      </w:r>
      <w:r w:rsidRPr="00996F64">
        <w:t>'</w:t>
      </w:r>
      <w:proofErr w:type="spellStart"/>
      <w:r w:rsidRPr="00996F64">
        <w:t>U.R</w:t>
      </w:r>
      <w:proofErr w:type="spellEnd"/>
      <w:r w:rsidRPr="00996F64">
        <w:t>. of Tanzania: Mainland'</w:t>
      </w:r>
      <w:r>
        <w:t xml:space="preserve"> gross value added data (there are no corresponding notes regarding the ‘Zanzibar data) ‘Agriculture’ excludes </w:t>
      </w:r>
      <w:r w:rsidRPr="00966EC7">
        <w:t>irrigation canals and landscaping care</w:t>
      </w:r>
      <w:r>
        <w:t>, ‘</w:t>
      </w:r>
      <w:r w:rsidRPr="00966EC7">
        <w:t>Mining, Manufacturing, Utilities</w:t>
      </w:r>
      <w:r>
        <w:t xml:space="preserve">’ (which are disaggregated here) excludes </w:t>
      </w:r>
      <w:r w:rsidRPr="00966EC7">
        <w:t>publishing activities</w:t>
      </w:r>
      <w:r>
        <w:t xml:space="preserve"> and</w:t>
      </w:r>
      <w:r w:rsidRPr="00966EC7">
        <w:t xml:space="preserve"> includes irrigation canals</w:t>
      </w:r>
      <w:r>
        <w:t>, ‘Manufacturing’ e</w:t>
      </w:r>
      <w:r w:rsidRPr="00966EC7">
        <w:t>xcludes recycling and publishing activities</w:t>
      </w:r>
      <w:r>
        <w:t>, ‘</w:t>
      </w:r>
      <w:r w:rsidRPr="00966EC7">
        <w:t>Wholesale, retail trade, restaurants and hotels</w:t>
      </w:r>
      <w:r>
        <w:t>’ e</w:t>
      </w:r>
      <w:r w:rsidRPr="00966EC7">
        <w:t>xcludes repair of personal and household goods</w:t>
      </w:r>
      <w:r>
        <w:t>, ‘</w:t>
      </w:r>
      <w:r w:rsidRPr="00966EC7">
        <w:t>Transport, storage and communication</w:t>
      </w:r>
      <w:r>
        <w:t xml:space="preserve">’ excludes </w:t>
      </w:r>
      <w:r w:rsidRPr="00966EC7">
        <w:t>travel agencies, includes publishing activities, computer and related activities and radio/TV activities</w:t>
      </w:r>
      <w:r>
        <w:t>, ‘Other’ e</w:t>
      </w:r>
      <w:r w:rsidRPr="00966EC7">
        <w:t>xcludes computer and related activities and radio/TV activities</w:t>
      </w:r>
      <w:r>
        <w:t xml:space="preserve"> and</w:t>
      </w:r>
      <w:r w:rsidRPr="00966EC7">
        <w:t xml:space="preserve"> includes travel agencies and landscaping care</w:t>
      </w:r>
      <w:r>
        <w:t>; it was not possible to make corresponding adjustments when aggregating the employment data.</w:t>
      </w:r>
    </w:p>
    <w:p w14:paraId="1325A943" w14:textId="7C791BDF" w:rsidR="00232104" w:rsidRDefault="00232104">
      <w:r>
        <w:br w:type="page"/>
      </w:r>
    </w:p>
    <w:p w14:paraId="77FDBCA0" w14:textId="3DB99213" w:rsidR="00E44849" w:rsidRDefault="00E44849" w:rsidP="00BA5FA0">
      <w:pPr>
        <w:pStyle w:val="FigureHeading"/>
      </w:pPr>
      <w:bookmarkStart w:id="33" w:name="_Toc428435129"/>
      <w:r>
        <w:t xml:space="preserve">Decomposition of </w:t>
      </w:r>
      <w:r w:rsidR="00F515DA">
        <w:t>labour productivity change</w:t>
      </w:r>
      <w:r w:rsidR="00D94502">
        <w:t>,</w:t>
      </w:r>
      <w:r>
        <w:t xml:space="preserve"> </w:t>
      </w:r>
      <w:r w:rsidR="00EA21D5">
        <w:t>Tanzania</w:t>
      </w:r>
      <w:r>
        <w:t>, 1990–2010</w:t>
      </w:r>
      <w:bookmarkEnd w:id="26"/>
      <w:bookmarkEnd w:id="31"/>
      <w:bookmarkEnd w:id="32"/>
      <w:r w:rsidR="00996F64">
        <w:t xml:space="preserve"> (</w:t>
      </w:r>
      <w:proofErr w:type="spellStart"/>
      <w:r w:rsidR="00996F64">
        <w:t>GGDC</w:t>
      </w:r>
      <w:proofErr w:type="spellEnd"/>
      <w:r w:rsidR="00996F64">
        <w:t xml:space="preserve"> Africa sector database data)</w:t>
      </w:r>
      <w:bookmarkEnd w:id="33"/>
    </w:p>
    <w:p w14:paraId="6B620EE3" w14:textId="7781A3DE" w:rsidR="00B945FE" w:rsidRPr="00B945FE" w:rsidRDefault="00B945FE" w:rsidP="00B945FE">
      <w:pPr>
        <w:pStyle w:val="BodyText"/>
        <w:spacing w:before="39" w:after="0" w:line="240" w:lineRule="auto"/>
        <w:jc w:val="left"/>
      </w:pPr>
      <w:r>
        <w:rPr>
          <w:noProof/>
          <w:lang w:eastAsia="en-GB"/>
        </w:rPr>
        <w:drawing>
          <wp:inline distT="0" distB="0" distL="0" distR="0" wp14:anchorId="43787C3A" wp14:editId="432D3394">
            <wp:extent cx="4572000" cy="22860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7FDBCA2" w14:textId="77777777" w:rsidR="00E44849" w:rsidRDefault="00E44849" w:rsidP="002D3E1B">
      <w:pPr>
        <w:pStyle w:val="Source"/>
      </w:pPr>
      <w:r>
        <w:t>Source: Authors’ calculations using the Africa Sector Database</w:t>
      </w:r>
      <w:r w:rsidR="001228CD">
        <w:t xml:space="preserve"> (</w:t>
      </w:r>
      <w:hyperlink r:id="rId35" w:history="1">
        <w:r w:rsidR="001228CD" w:rsidRPr="001228CD">
          <w:rPr>
            <w:rStyle w:val="Hyperlink"/>
          </w:rPr>
          <w:t>http://www.rug.nl/research/ggdc/data/africa-sector-database</w:t>
        </w:r>
      </w:hyperlink>
      <w:r w:rsidR="001228CD">
        <w:t>)</w:t>
      </w:r>
      <w:r w:rsidR="00714EDC">
        <w:t xml:space="preserve">; </w:t>
      </w:r>
      <w:r w:rsidR="00714EDC" w:rsidRPr="00714EDC">
        <w:t>de Vries et al. (2013)</w:t>
      </w:r>
      <w:r>
        <w:t>.</w:t>
      </w:r>
    </w:p>
    <w:p w14:paraId="369EA282" w14:textId="55C0E167" w:rsidR="00232104" w:rsidRDefault="00232104" w:rsidP="00232104">
      <w:pPr>
        <w:pStyle w:val="BodyText"/>
      </w:pPr>
    </w:p>
    <w:p w14:paraId="3ECA9759" w14:textId="4F78DC86" w:rsidR="00232104" w:rsidRDefault="00232104" w:rsidP="00232104">
      <w:pPr>
        <w:pStyle w:val="FigureHeading"/>
        <w:numPr>
          <w:ilvl w:val="0"/>
          <w:numId w:val="34"/>
        </w:numPr>
        <w:tabs>
          <w:tab w:val="right" w:pos="9806"/>
        </w:tabs>
      </w:pPr>
      <w:bookmarkStart w:id="34" w:name="_Toc427753257"/>
      <w:bookmarkStart w:id="35" w:name="_Toc427767259"/>
      <w:bookmarkStart w:id="36" w:name="_Toc427768422"/>
      <w:bookmarkStart w:id="37" w:name="_Toc428435130"/>
      <w:r>
        <w:t xml:space="preserve">Decomposition of labour productivity change, </w:t>
      </w:r>
      <w:r>
        <w:rPr>
          <w:noProof/>
        </w:rPr>
        <w:t>Tanzania</w:t>
      </w:r>
      <w:r>
        <w:t>, 1991–2013 (</w:t>
      </w:r>
      <w:proofErr w:type="spellStart"/>
      <w:r>
        <w:t>UNSD</w:t>
      </w:r>
      <w:proofErr w:type="spellEnd"/>
      <w:r>
        <w:t xml:space="preserve">/ILO </w:t>
      </w:r>
      <w:proofErr w:type="spellStart"/>
      <w:r>
        <w:t>WESO</w:t>
      </w:r>
      <w:proofErr w:type="spellEnd"/>
      <w:r>
        <w:t xml:space="preserve"> data)</w:t>
      </w:r>
      <w:r>
        <w:tab/>
      </w:r>
      <w:r w:rsidRPr="00DB6A0A">
        <w:rPr>
          <w:color w:val="FF0000"/>
        </w:rPr>
        <w:t>NEW</w:t>
      </w:r>
      <w:bookmarkEnd w:id="34"/>
      <w:bookmarkEnd w:id="35"/>
      <w:bookmarkEnd w:id="36"/>
      <w:bookmarkEnd w:id="37"/>
    </w:p>
    <w:p w14:paraId="7D1D064C" w14:textId="67405286" w:rsidR="00232104" w:rsidRPr="00BC3613" w:rsidRDefault="00232104" w:rsidP="00232104">
      <w:pPr>
        <w:pStyle w:val="BodyText"/>
      </w:pPr>
      <w:r>
        <w:rPr>
          <w:noProof/>
          <w:lang w:eastAsia="en-GB"/>
        </w:rPr>
        <w:drawing>
          <wp:inline distT="0" distB="0" distL="0" distR="0" wp14:anchorId="29AAC149" wp14:editId="0CFFEF4F">
            <wp:extent cx="4572000" cy="2286000"/>
            <wp:effectExtent l="0" t="0" r="0" b="0"/>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B55F126" w14:textId="77777777" w:rsidR="00232104" w:rsidRDefault="00232104" w:rsidP="00232104">
      <w:pPr>
        <w:pStyle w:val="Source"/>
      </w:pPr>
      <w:r w:rsidRPr="00E05679">
        <w:rPr>
          <w:rFonts w:asciiTheme="majorHAnsi" w:hAnsiTheme="majorHAnsi" w:cstheme="majorHAnsi"/>
          <w:szCs w:val="16"/>
        </w:rPr>
        <w:t xml:space="preserve">Source: Authors’ calculations using </w:t>
      </w:r>
      <w:proofErr w:type="spellStart"/>
      <w:r w:rsidRPr="00E05679">
        <w:rPr>
          <w:rFonts w:asciiTheme="majorHAnsi" w:hAnsiTheme="majorHAnsi" w:cstheme="majorHAnsi"/>
          <w:szCs w:val="16"/>
        </w:rPr>
        <w:t>UNSD</w:t>
      </w:r>
      <w:proofErr w:type="spellEnd"/>
      <w:r w:rsidRPr="00E05679">
        <w:rPr>
          <w:rFonts w:asciiTheme="majorHAnsi" w:hAnsiTheme="majorHAnsi" w:cstheme="majorHAnsi"/>
          <w:szCs w:val="16"/>
        </w:rPr>
        <w:t xml:space="preserve"> National Accounts Main Aggregates data on ‘gross value added by kind of economic activity’ (</w:t>
      </w:r>
      <w:hyperlink r:id="rId37" w:history="1">
        <w:r w:rsidRPr="00E05679">
          <w:rPr>
            <w:rStyle w:val="Hyperlink"/>
            <w:rFonts w:asciiTheme="majorHAnsi" w:hAnsiTheme="majorHAnsi" w:cstheme="majorHAnsi"/>
            <w:szCs w:val="16"/>
          </w:rPr>
          <w:t>https://data.un.org/search.aspx?q=gross+value+added+datamart%5bsnaama%5d</w:t>
        </w:r>
      </w:hyperlink>
      <w:r w:rsidRPr="00E05679">
        <w:rPr>
          <w:rFonts w:asciiTheme="majorHAnsi" w:hAnsiTheme="majorHAnsi" w:cstheme="majorHAnsi"/>
          <w:szCs w:val="16"/>
        </w:rPr>
        <w:t>) and ILO World Employment and Social Outlook (</w:t>
      </w:r>
      <w:proofErr w:type="spellStart"/>
      <w:r w:rsidRPr="00E05679">
        <w:rPr>
          <w:rFonts w:asciiTheme="majorHAnsi" w:hAnsiTheme="majorHAnsi" w:cstheme="majorHAnsi"/>
          <w:szCs w:val="16"/>
        </w:rPr>
        <w:t>WESO</w:t>
      </w:r>
      <w:proofErr w:type="spellEnd"/>
      <w:r w:rsidRPr="00E05679">
        <w:rPr>
          <w:rFonts w:asciiTheme="majorHAnsi" w:hAnsiTheme="majorHAnsi" w:cstheme="majorHAnsi"/>
          <w:szCs w:val="16"/>
        </w:rPr>
        <w:t>) – Trends 2015 supporting dataset ‘employment by sector and sex’ (</w:t>
      </w:r>
      <w:hyperlink r:id="rId38" w:history="1">
        <w:r w:rsidRPr="00E05679">
          <w:rPr>
            <w:rStyle w:val="Hyperlink"/>
            <w:rFonts w:asciiTheme="majorHAnsi" w:hAnsiTheme="majorHAnsi" w:cstheme="majorHAnsi"/>
            <w:szCs w:val="16"/>
          </w:rPr>
          <w:t>http://www.ilo.org/global/research/global-reports/weso/2015/lang--en/index.htm</w:t>
        </w:r>
      </w:hyperlink>
      <w:r w:rsidRPr="00E05679">
        <w:rPr>
          <w:rFonts w:asciiTheme="majorHAnsi" w:hAnsiTheme="majorHAnsi" w:cstheme="majorHAnsi"/>
          <w:szCs w:val="16"/>
        </w:rPr>
        <w:t>).</w:t>
      </w:r>
      <w:r>
        <w:rPr>
          <w:rFonts w:asciiTheme="majorHAnsi" w:hAnsiTheme="majorHAnsi" w:cstheme="majorHAnsi"/>
          <w:szCs w:val="16"/>
        </w:rPr>
        <w:t xml:space="preserve"> </w:t>
      </w:r>
      <w:r>
        <w:t>NB: the ‘gross value added’ data are an aggregation of the figures for '</w:t>
      </w:r>
      <w:proofErr w:type="spellStart"/>
      <w:r>
        <w:t>U.R</w:t>
      </w:r>
      <w:proofErr w:type="spellEnd"/>
      <w:r>
        <w:t>. of Tanzania: Mainland' and 'Zanzibar'. The employment data relate to ‘Tanzania, United Republic of’. In the '</w:t>
      </w:r>
      <w:proofErr w:type="spellStart"/>
      <w:r>
        <w:t>U.R</w:t>
      </w:r>
      <w:proofErr w:type="spellEnd"/>
      <w:r>
        <w:t>. of Tanzania: Mainland' gross value added data (there are no corresponding notes regarding the ‘Zanzibar data) ‘Agriculture’ excludes irrigation canals and landscaping care, ‘Mining, Manufacturing, Utilities’ (which are disaggregated here) excludes publishing activities and includes irrigation canals, ‘Manufacturing’ excludes recycling and publishing activities, ‘Wholesale, retail trade, restaurants and hotels’ excludes repair of personal and household goods, ‘Transport, storage and communication’ excludes travel agencies, includes publishing activities, computer and related activities and radio/TV activities, ‘Other’ excludes computer and related activities and radio/TV activities and includes travel agencies and landscaping care; it was not possible to make corresponding adjustments when aggregating the employment data.</w:t>
      </w:r>
    </w:p>
    <w:p w14:paraId="5D879110" w14:textId="35F4D93E" w:rsidR="00232104" w:rsidRPr="00E05679" w:rsidRDefault="00232104" w:rsidP="00232104">
      <w:pPr>
        <w:pStyle w:val="Source"/>
      </w:pPr>
    </w:p>
    <w:p w14:paraId="5D7B1426" w14:textId="77777777" w:rsidR="00232104" w:rsidRDefault="00232104" w:rsidP="002D3E1B">
      <w:pPr>
        <w:pStyle w:val="Source"/>
      </w:pPr>
    </w:p>
    <w:p w14:paraId="390A77C0" w14:textId="39246857" w:rsidR="00996F64" w:rsidRDefault="00996F64">
      <w:pPr>
        <w:rPr>
          <w:rFonts w:ascii="Arial" w:hAnsi="Arial"/>
          <w:i/>
          <w:sz w:val="16"/>
        </w:rPr>
      </w:pPr>
      <w:r>
        <w:br w:type="page"/>
      </w:r>
    </w:p>
    <w:p w14:paraId="77FDBCA4" w14:textId="5496D2DE" w:rsidR="00011EA8" w:rsidRDefault="00011EA8" w:rsidP="00CA1C90">
      <w:pPr>
        <w:pStyle w:val="FigureHeading"/>
      </w:pPr>
      <w:bookmarkStart w:id="38" w:name="_Toc404582445"/>
      <w:bookmarkStart w:id="39" w:name="_Toc406411724"/>
      <w:bookmarkStart w:id="40" w:name="_Toc406585299"/>
      <w:bookmarkStart w:id="41" w:name="_Toc428435131"/>
      <w:r w:rsidRPr="00BA5FA0">
        <w:t xml:space="preserve">Productivity </w:t>
      </w:r>
      <w:r w:rsidR="00E628F5" w:rsidRPr="00BA5FA0">
        <w:t>g</w:t>
      </w:r>
      <w:r w:rsidRPr="00BA5FA0">
        <w:t xml:space="preserve">aps in </w:t>
      </w:r>
      <w:r w:rsidR="00EA21D5">
        <w:t>Tanzania</w:t>
      </w:r>
      <w:r w:rsidRPr="00BA5FA0">
        <w:t>, 2010</w:t>
      </w:r>
      <w:bookmarkEnd w:id="38"/>
      <w:bookmarkEnd w:id="39"/>
      <w:bookmarkEnd w:id="40"/>
      <w:r w:rsidR="00996F64">
        <w:t xml:space="preserve"> (</w:t>
      </w:r>
      <w:proofErr w:type="spellStart"/>
      <w:r w:rsidR="00996F64">
        <w:t>GGDC</w:t>
      </w:r>
      <w:proofErr w:type="spellEnd"/>
      <w:r w:rsidR="00996F64">
        <w:t xml:space="preserve"> Africa sector database data)</w:t>
      </w:r>
      <w:bookmarkEnd w:id="41"/>
    </w:p>
    <w:p w14:paraId="5076712B" w14:textId="183F5799" w:rsidR="00CA1C90" w:rsidRDefault="00CA1C90" w:rsidP="00CA1C90">
      <w:pPr>
        <w:pStyle w:val="BodyText"/>
        <w:spacing w:before="39" w:after="0" w:line="240" w:lineRule="auto"/>
        <w:jc w:val="left"/>
      </w:pPr>
      <w:r>
        <w:rPr>
          <w:noProof/>
          <w:lang w:eastAsia="en-GB"/>
        </w:rPr>
        <w:drawing>
          <wp:inline distT="0" distB="0" distL="0" distR="0" wp14:anchorId="061562D1" wp14:editId="31A35E4B">
            <wp:extent cx="5029200" cy="22860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565AA34" w14:textId="168BD0D0" w:rsidR="00CA1C90" w:rsidRPr="00CA1C90" w:rsidRDefault="00CA1C90" w:rsidP="00CA1C90">
      <w:pPr>
        <w:pStyle w:val="Source"/>
      </w:pPr>
      <w:r>
        <w:t>Note: The s</w:t>
      </w:r>
      <w:r w:rsidRPr="002365D3">
        <w:t xml:space="preserve">hares </w:t>
      </w:r>
      <w:r>
        <w:t xml:space="preserve">in employment </w:t>
      </w:r>
      <w:r w:rsidRPr="002365D3">
        <w:t xml:space="preserve">of finance/business services </w:t>
      </w:r>
      <w:r>
        <w:t xml:space="preserve">and mining are </w:t>
      </w:r>
      <w:r w:rsidRPr="002365D3">
        <w:t xml:space="preserve">too small to be visible </w:t>
      </w:r>
      <w:r>
        <w:t>i</w:t>
      </w:r>
      <w:r w:rsidRPr="002365D3">
        <w:t xml:space="preserve">n </w:t>
      </w:r>
      <w:r>
        <w:t xml:space="preserve">the </w:t>
      </w:r>
      <w:r w:rsidRPr="002365D3">
        <w:t>histogram</w:t>
      </w:r>
      <w:r>
        <w:t xml:space="preserve"> above</w:t>
      </w:r>
      <w:r w:rsidRPr="002365D3">
        <w:t xml:space="preserve">, </w:t>
      </w:r>
      <w:r>
        <w:t xml:space="preserve">and have been </w:t>
      </w:r>
      <w:r w:rsidRPr="002365D3">
        <w:t>omitted</w:t>
      </w:r>
      <w:r>
        <w:t xml:space="preserve"> from it</w:t>
      </w:r>
      <w:r w:rsidRPr="002365D3">
        <w:t>. See alternative graph below.</w:t>
      </w:r>
    </w:p>
    <w:p w14:paraId="77FDBCA5" w14:textId="77777777" w:rsidR="002D2734" w:rsidRPr="002D2734" w:rsidRDefault="002D2734" w:rsidP="00CA1C90">
      <w:pPr>
        <w:pStyle w:val="BodyText"/>
        <w:spacing w:before="39" w:after="0" w:line="240" w:lineRule="auto"/>
        <w:jc w:val="left"/>
      </w:pPr>
      <w:r>
        <w:rPr>
          <w:noProof/>
          <w:lang w:eastAsia="en-GB"/>
        </w:rPr>
        <w:drawing>
          <wp:inline distT="0" distB="0" distL="0" distR="0" wp14:anchorId="77FDBF6D" wp14:editId="06DCF21B">
            <wp:extent cx="4572000" cy="22860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CEEF135" w14:textId="77777777" w:rsidR="00CA1C90" w:rsidRDefault="00011EA8" w:rsidP="00CA1C90">
      <w:pPr>
        <w:pStyle w:val="Source"/>
      </w:pPr>
      <w:r>
        <w:t>Source: Authors’ calculations using the Africa Sector Database (</w:t>
      </w:r>
      <w:hyperlink r:id="rId41" w:history="1">
        <w:r w:rsidRPr="001228CD">
          <w:rPr>
            <w:rStyle w:val="Hyperlink"/>
          </w:rPr>
          <w:t>http://www.rug.nl/research/ggdc/data/africa-sector-database</w:t>
        </w:r>
      </w:hyperlink>
      <w:r>
        <w:t>)</w:t>
      </w:r>
      <w:r w:rsidR="00714EDC">
        <w:t xml:space="preserve">; </w:t>
      </w:r>
      <w:r w:rsidR="00714EDC" w:rsidRPr="00714EDC">
        <w:t>de Vries et al. (2013)</w:t>
      </w:r>
      <w:r>
        <w:t>.</w:t>
      </w:r>
    </w:p>
    <w:p w14:paraId="4992D8CC" w14:textId="641E5DDE" w:rsidR="00232104" w:rsidRDefault="00232104" w:rsidP="00CA1C90">
      <w:pPr>
        <w:pStyle w:val="Source"/>
      </w:pPr>
    </w:p>
    <w:p w14:paraId="7C0408E7" w14:textId="77777777" w:rsidR="00232104" w:rsidRDefault="00232104">
      <w:pPr>
        <w:rPr>
          <w:rFonts w:ascii="Arial" w:hAnsi="Arial"/>
          <w:i/>
          <w:sz w:val="16"/>
        </w:rPr>
      </w:pPr>
      <w:r>
        <w:br w:type="page"/>
      </w:r>
    </w:p>
    <w:p w14:paraId="4381015D" w14:textId="1BAD62F1" w:rsidR="00232104" w:rsidRDefault="00232104" w:rsidP="00232104">
      <w:pPr>
        <w:pStyle w:val="FigureHeading"/>
        <w:numPr>
          <w:ilvl w:val="0"/>
          <w:numId w:val="34"/>
        </w:numPr>
        <w:tabs>
          <w:tab w:val="right" w:pos="9806"/>
        </w:tabs>
      </w:pPr>
      <w:bookmarkStart w:id="42" w:name="_Toc427753258"/>
      <w:bookmarkStart w:id="43" w:name="_Toc427767261"/>
      <w:bookmarkStart w:id="44" w:name="_Toc427768424"/>
      <w:bookmarkStart w:id="45" w:name="_Toc428435132"/>
      <w:r w:rsidRPr="00BA5FA0">
        <w:t>Productivity gaps in</w:t>
      </w:r>
      <w:r>
        <w:t xml:space="preserve"> </w:t>
      </w:r>
      <w:r>
        <w:rPr>
          <w:noProof/>
        </w:rPr>
        <w:t>Tanzania</w:t>
      </w:r>
      <w:r w:rsidRPr="00BA5FA0">
        <w:t>, 201</w:t>
      </w:r>
      <w:r>
        <w:t>3 (</w:t>
      </w:r>
      <w:proofErr w:type="spellStart"/>
      <w:r>
        <w:t>UNSD</w:t>
      </w:r>
      <w:proofErr w:type="spellEnd"/>
      <w:r>
        <w:t xml:space="preserve">/ILO </w:t>
      </w:r>
      <w:proofErr w:type="spellStart"/>
      <w:r>
        <w:t>WESO</w:t>
      </w:r>
      <w:proofErr w:type="spellEnd"/>
      <w:r>
        <w:t xml:space="preserve"> data)</w:t>
      </w:r>
      <w:r>
        <w:tab/>
      </w:r>
      <w:r w:rsidRPr="00DB6A0A">
        <w:rPr>
          <w:color w:val="FF0000"/>
        </w:rPr>
        <w:t>NEW</w:t>
      </w:r>
      <w:bookmarkEnd w:id="42"/>
      <w:bookmarkEnd w:id="43"/>
      <w:bookmarkEnd w:id="44"/>
      <w:bookmarkEnd w:id="45"/>
    </w:p>
    <w:p w14:paraId="471E2BDE" w14:textId="2797642F" w:rsidR="00232104" w:rsidRDefault="00232104" w:rsidP="00232104">
      <w:pPr>
        <w:pStyle w:val="Source"/>
        <w:spacing w:after="0"/>
      </w:pPr>
      <w:r>
        <w:rPr>
          <w:noProof/>
          <w:lang w:eastAsia="en-GB"/>
        </w:rPr>
        <w:drawing>
          <wp:inline distT="0" distB="0" distL="0" distR="0" wp14:anchorId="75EB213C" wp14:editId="5866E38C">
            <wp:extent cx="5400000" cy="2743200"/>
            <wp:effectExtent l="0" t="0" r="0" b="0"/>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B85D0BE" w14:textId="7A3ED884" w:rsidR="00232104" w:rsidRDefault="00232104" w:rsidP="00232104">
      <w:pPr>
        <w:pStyle w:val="Source"/>
      </w:pPr>
      <w:r w:rsidRPr="00BC3613">
        <w:t xml:space="preserve">Source: Authors’ calculations using </w:t>
      </w:r>
      <w:proofErr w:type="spellStart"/>
      <w:r w:rsidRPr="00BC3613">
        <w:t>UNSD</w:t>
      </w:r>
      <w:proofErr w:type="spellEnd"/>
      <w:r w:rsidRPr="00BC3613">
        <w:t xml:space="preserve"> National Accounts Main Aggregates data on ‘gross value added by kind of economic activity’ (</w:t>
      </w:r>
      <w:hyperlink r:id="rId43" w:history="1">
        <w:r w:rsidRPr="00BC3613">
          <w:rPr>
            <w:rStyle w:val="Hyperlink"/>
            <w:rFonts w:asciiTheme="majorHAnsi" w:hAnsiTheme="majorHAnsi" w:cstheme="majorHAnsi"/>
            <w:i w:val="0"/>
            <w:szCs w:val="16"/>
          </w:rPr>
          <w:t>https://data.un.org/search.aspx?q=gross+value+added+datamart%5bsnaama%5d</w:t>
        </w:r>
      </w:hyperlink>
      <w:r w:rsidRPr="00BC3613">
        <w:t>) and ILO World Employment and Social Outlook (</w:t>
      </w:r>
      <w:proofErr w:type="spellStart"/>
      <w:r w:rsidRPr="00BC3613">
        <w:t>WESO</w:t>
      </w:r>
      <w:proofErr w:type="spellEnd"/>
      <w:r w:rsidRPr="00BC3613">
        <w:t>) – Trends 2015 supporting dataset ‘employment by sector and sex’ (</w:t>
      </w:r>
      <w:hyperlink r:id="rId44" w:history="1">
        <w:r w:rsidRPr="00BC3613">
          <w:rPr>
            <w:rStyle w:val="Hyperlink"/>
            <w:rFonts w:asciiTheme="majorHAnsi" w:hAnsiTheme="majorHAnsi" w:cstheme="majorHAnsi"/>
            <w:i w:val="0"/>
            <w:szCs w:val="16"/>
          </w:rPr>
          <w:t>http://www.ilo.org/global/research/global-reports/weso/2015/lang--en/index.htm</w:t>
        </w:r>
      </w:hyperlink>
      <w:r w:rsidRPr="00BC3613">
        <w:t>).</w:t>
      </w:r>
      <w:r>
        <w:t xml:space="preserve"> </w:t>
      </w:r>
      <w:r w:rsidRPr="00232104">
        <w:t>NB: the ‘gross value added’ data are an aggregation of the figures for '</w:t>
      </w:r>
      <w:proofErr w:type="spellStart"/>
      <w:r w:rsidRPr="00232104">
        <w:t>U.R</w:t>
      </w:r>
      <w:proofErr w:type="spellEnd"/>
      <w:r w:rsidRPr="00232104">
        <w:t>. of Tanzania: Mainland' and 'Zanzibar'. The employment data relate to ‘Tanzania, United Republic of’. In the '</w:t>
      </w:r>
      <w:proofErr w:type="spellStart"/>
      <w:r w:rsidRPr="00232104">
        <w:t>U.R</w:t>
      </w:r>
      <w:proofErr w:type="spellEnd"/>
      <w:r w:rsidRPr="00232104">
        <w:t>. of Tanzania: Mainland' gross value added data (there are no corresponding notes regarding the ‘Zanzibar data) ‘Agriculture’ excludes irrigation canals and landscaping care, ‘Mining, Manufacturing, Utilities’ (which are disaggregated here) excludes publishing activities and includes irrigation canals, ‘Manufacturing’ excludes recycling and publishing activities, ‘Wholesale, retail trade, restaurants and hotels’ excludes repair of personal and household goods, ‘Transport, storage and communication’ excludes travel agencies, includes publishing activities, computer and related activities and radio/TV activities, ‘Other’ excludes computer and related activities and radio/TV activities and includes travel agencies and landscaping care; it was not possible to make corresponding adjustments when aggregating the employment data.</w:t>
      </w:r>
    </w:p>
    <w:p w14:paraId="17D1BBCD" w14:textId="77777777" w:rsidR="00996F64" w:rsidRDefault="00996F64" w:rsidP="00CA1C90">
      <w:pPr>
        <w:pStyle w:val="Source"/>
      </w:pPr>
    </w:p>
    <w:p w14:paraId="4403D746" w14:textId="77777777" w:rsidR="00996F64" w:rsidRDefault="00996F64">
      <w:pPr>
        <w:rPr>
          <w:rFonts w:ascii="Arial" w:hAnsi="Arial"/>
          <w:i/>
          <w:sz w:val="16"/>
        </w:rPr>
      </w:pPr>
      <w:r>
        <w:br w:type="page"/>
      </w:r>
    </w:p>
    <w:p w14:paraId="77FDBCA8" w14:textId="55DFD9D1" w:rsidR="00334B22" w:rsidRDefault="00334B22" w:rsidP="00334B22">
      <w:pPr>
        <w:pStyle w:val="FigureHeading"/>
      </w:pPr>
      <w:bookmarkStart w:id="46" w:name="_Toc408401694"/>
      <w:bookmarkStart w:id="47" w:name="_Toc428435133"/>
      <w:r>
        <w:t xml:space="preserve">Total employment by sex and </w:t>
      </w:r>
      <w:r w:rsidR="00996F64">
        <w:t xml:space="preserve">broad </w:t>
      </w:r>
      <w:r>
        <w:t xml:space="preserve">sector, </w:t>
      </w:r>
      <w:bookmarkEnd w:id="46"/>
      <w:r>
        <w:t>Tanzania</w:t>
      </w:r>
      <w:r w:rsidR="00996F64">
        <w:t xml:space="preserve"> (ILO GET data)</w:t>
      </w:r>
      <w:bookmarkEnd w:id="47"/>
    </w:p>
    <w:p w14:paraId="77FDBCA9" w14:textId="77777777" w:rsidR="00334B22" w:rsidRDefault="00334B22" w:rsidP="00334B22">
      <w:pPr>
        <w:pStyle w:val="BodyText"/>
        <w:tabs>
          <w:tab w:val="right" w:pos="8840"/>
        </w:tabs>
        <w:spacing w:before="39" w:after="0" w:line="240" w:lineRule="auto"/>
        <w:jc w:val="left"/>
      </w:pPr>
      <w:r>
        <w:rPr>
          <w:noProof/>
          <w:lang w:eastAsia="en-GB"/>
        </w:rPr>
        <mc:AlternateContent>
          <mc:Choice Requires="wpg">
            <w:drawing>
              <wp:inline distT="0" distB="0" distL="0" distR="0" wp14:anchorId="77FDBF6F" wp14:editId="77FDBF70">
                <wp:extent cx="4720590" cy="2590800"/>
                <wp:effectExtent l="0" t="0" r="3810" b="0"/>
                <wp:docPr id="27" name="Group 1"/>
                <wp:cNvGraphicFramePr/>
                <a:graphic xmlns:a="http://schemas.openxmlformats.org/drawingml/2006/main">
                  <a:graphicData uri="http://schemas.microsoft.com/office/word/2010/wordprocessingGroup">
                    <wpg:wgp>
                      <wpg:cNvGrpSpPr/>
                      <wpg:grpSpPr>
                        <a:xfrm>
                          <a:off x="0" y="0"/>
                          <a:ext cx="4720590" cy="2590800"/>
                          <a:chOff x="0" y="0"/>
                          <a:chExt cx="4720590" cy="2592000"/>
                        </a:xfrm>
                      </wpg:grpSpPr>
                      <wpg:graphicFrame>
                        <wpg:cNvPr id="28" name="Chart 28"/>
                        <wpg:cNvFrPr/>
                        <wpg:xfrm>
                          <a:off x="0" y="0"/>
                          <a:ext cx="2268000" cy="2592000"/>
                        </wpg:xfrm>
                        <a:graphic>
                          <a:graphicData uri="http://schemas.openxmlformats.org/drawingml/2006/chart">
                            <c:chart xmlns:c="http://schemas.openxmlformats.org/drawingml/2006/chart" xmlns:r="http://schemas.openxmlformats.org/officeDocument/2006/relationships" r:id="rId45"/>
                          </a:graphicData>
                        </a:graphic>
                      </wpg:graphicFrame>
                      <wpg:graphicFrame>
                        <wpg:cNvPr id="29" name="Chart 29"/>
                        <wpg:cNvFrPr>
                          <a:graphicFrameLocks/>
                        </wpg:cNvFrPr>
                        <wpg:xfrm>
                          <a:off x="2213610" y="0"/>
                          <a:ext cx="2506980" cy="2592000"/>
                        </wpg:xfrm>
                        <a:graphic>
                          <a:graphicData uri="http://schemas.openxmlformats.org/drawingml/2006/chart">
                            <c:chart xmlns:c="http://schemas.openxmlformats.org/drawingml/2006/chart" xmlns:r="http://schemas.openxmlformats.org/officeDocument/2006/relationships" r:id="rId46"/>
                          </a:graphicData>
                        </a:graphic>
                      </wpg:graphicFrame>
                    </wpg:wgp>
                  </a:graphicData>
                </a:graphic>
              </wp:inline>
            </w:drawing>
          </mc:Choice>
          <mc:Fallback>
            <w:pict>
              <v:group id="Group 1" o:spid="_x0000_s1026" style="width:371.7pt;height:204pt;mso-position-horizontal-relative:char;mso-position-vertical-relative:line" coordsize="47205,2592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8" o:spid="_x0000_s1027" type="#_x0000_t75" style="position:absolute;width:22677;height:2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">
                  <v:imagedata r:id="rId47" o:title=""/>
                  <o:lock v:ext="edit" aspectratio="f"/>
                </v:shape>
                <v:shape id="Chart 29" o:spid="_x0000_s1028" type="#_x0000_t75" style="position:absolute;left:22128;width:25055;height:2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">
                  <v:imagedata r:id="rId48" o:title=""/>
                  <o:lock v:ext="edit" aspectratio="f"/>
                </v:shape>
                <w10:anchorlock/>
              </v:group>
            </w:pict>
          </mc:Fallback>
        </mc:AlternateContent>
      </w:r>
      <w:r>
        <w:tab/>
      </w:r>
    </w:p>
    <w:p w14:paraId="77FDBCAA" w14:textId="77777777" w:rsidR="00334B22" w:rsidRDefault="00334B22" w:rsidP="00334B22">
      <w:pPr>
        <w:pStyle w:val="Source"/>
      </w:pPr>
      <w:r>
        <w:t>Source: ILO Global Employment Trends 2014 (</w:t>
      </w:r>
      <w:hyperlink r:id="rId49" w:history="1">
        <w:r w:rsidRPr="000B7E15">
          <w:rPr>
            <w:rStyle w:val="Hyperlink"/>
          </w:rPr>
          <w:t>http://www.ilo.org/global/research/global-reports/global-employment-trends/2014/WCMS_234879/lang--en/index.htm</w:t>
        </w:r>
      </w:hyperlink>
      <w:r>
        <w:t>).</w:t>
      </w:r>
    </w:p>
    <w:p w14:paraId="77FDBCAB" w14:textId="77777777" w:rsidR="00334B22" w:rsidRDefault="00334B22" w:rsidP="00334B22">
      <w:pPr>
        <w:pStyle w:val="Source"/>
      </w:pPr>
    </w:p>
    <w:p w14:paraId="77FDBCAC" w14:textId="7DBD0F4C" w:rsidR="00334B22" w:rsidRDefault="00334B22" w:rsidP="00334B22">
      <w:pPr>
        <w:pStyle w:val="FigureHeading"/>
      </w:pPr>
      <w:bookmarkStart w:id="48" w:name="_Toc428435134"/>
      <w:r>
        <w:t>Sectoral employment by sex, Tanzania</w:t>
      </w:r>
      <w:r w:rsidR="00996F64">
        <w:t xml:space="preserve"> (</w:t>
      </w:r>
      <w:proofErr w:type="spellStart"/>
      <w:r w:rsidR="00996F64">
        <w:t>GGDC</w:t>
      </w:r>
      <w:proofErr w:type="spellEnd"/>
      <w:r w:rsidR="00996F64">
        <w:t xml:space="preserve"> Africa sector database data)</w:t>
      </w:r>
      <w:bookmarkEnd w:id="48"/>
    </w:p>
    <w:p w14:paraId="77FDBCAD" w14:textId="77777777" w:rsidR="00335AA0" w:rsidRDefault="00334B22" w:rsidP="001B042F">
      <w:pPr>
        <w:pStyle w:val="BodyText"/>
      </w:pPr>
      <w:r>
        <w:rPr>
          <w:noProof/>
          <w:lang w:eastAsia="en-GB"/>
        </w:rPr>
        <mc:AlternateContent>
          <mc:Choice Requires="wpg">
            <w:drawing>
              <wp:inline distT="0" distB="0" distL="0" distR="0" wp14:anchorId="77FDBF71" wp14:editId="77FDBF72">
                <wp:extent cx="5461860" cy="4285980"/>
                <wp:effectExtent l="0" t="0" r="5715" b="635"/>
                <wp:docPr id="30" name="Group 29"/>
                <wp:cNvGraphicFramePr/>
                <a:graphic xmlns:a="http://schemas.openxmlformats.org/drawingml/2006/main">
                  <a:graphicData uri="http://schemas.microsoft.com/office/word/2010/wordprocessingGroup">
                    <wpg:wgp>
                      <wpg:cNvGrpSpPr/>
                      <wpg:grpSpPr>
                        <a:xfrm>
                          <a:off x="0" y="0"/>
                          <a:ext cx="5461860" cy="4285980"/>
                          <a:chOff x="0" y="0"/>
                          <a:chExt cx="5461860" cy="4285980"/>
                        </a:xfrm>
                      </wpg:grpSpPr>
                      <wpg:graphicFrame>
                        <wpg:cNvPr id="31" name="Chart 31"/>
                        <wpg:cNvFrPr/>
                        <wpg:xfrm>
                          <a:off x="34290" y="0"/>
                          <a:ext cx="2772000" cy="2160000"/>
                        </wpg:xfrm>
                        <a:graphic>
                          <a:graphicData uri="http://schemas.openxmlformats.org/drawingml/2006/chart">
                            <c:chart xmlns:c="http://schemas.openxmlformats.org/drawingml/2006/chart" xmlns:r="http://schemas.openxmlformats.org/officeDocument/2006/relationships" r:id="rId50"/>
                          </a:graphicData>
                        </a:graphic>
                      </wpg:graphicFrame>
                      <wpg:graphicFrame>
                        <wpg:cNvPr id="32" name="Chart 32"/>
                        <wpg:cNvFrPr>
                          <a:graphicFrameLocks/>
                        </wpg:cNvFrPr>
                        <wpg:xfrm>
                          <a:off x="2689860" y="0"/>
                          <a:ext cx="2772000" cy="2160000"/>
                        </wpg:xfrm>
                        <a:graphic>
                          <a:graphicData uri="http://schemas.openxmlformats.org/drawingml/2006/chart">
                            <c:chart xmlns:c="http://schemas.openxmlformats.org/drawingml/2006/chart" xmlns:r="http://schemas.openxmlformats.org/officeDocument/2006/relationships" r:id="rId51"/>
                          </a:graphicData>
                        </a:graphic>
                      </wpg:graphicFrame>
                      <wpg:graphicFrame>
                        <wpg:cNvPr id="33" name="Chart 33"/>
                        <wpg:cNvFrPr>
                          <a:graphicFrameLocks/>
                        </wpg:cNvFrPr>
                        <wpg:xfrm>
                          <a:off x="0" y="2125980"/>
                          <a:ext cx="2772000" cy="2160000"/>
                        </wpg:xfrm>
                        <a:graphic>
                          <a:graphicData uri="http://schemas.openxmlformats.org/drawingml/2006/chart">
                            <c:chart xmlns:c="http://schemas.openxmlformats.org/drawingml/2006/chart" xmlns:r="http://schemas.openxmlformats.org/officeDocument/2006/relationships" r:id="rId52"/>
                          </a:graphicData>
                        </a:graphic>
                      </wpg:graphicFrame>
                      <wpg:graphicFrame>
                        <wpg:cNvPr id="35" name="Chart 35"/>
                        <wpg:cNvFrPr>
                          <a:graphicFrameLocks/>
                        </wpg:cNvFrPr>
                        <wpg:xfrm>
                          <a:off x="2689860" y="2125980"/>
                          <a:ext cx="2772000" cy="2160000"/>
                        </wpg:xfrm>
                        <a:graphic>
                          <a:graphicData uri="http://schemas.openxmlformats.org/drawingml/2006/chart">
                            <c:chart xmlns:c="http://schemas.openxmlformats.org/drawingml/2006/chart" xmlns:r="http://schemas.openxmlformats.org/officeDocument/2006/relationships" r:id="rId53"/>
                          </a:graphicData>
                        </a:graphic>
                      </wpg:graphicFrame>
                    </wpg:wgp>
                  </a:graphicData>
                </a:graphic>
              </wp:inline>
            </w:drawing>
          </mc:Choice>
          <mc:Fallback>
            <w:pict>
              <v:group id="Group 29" o:spid="_x0000_s1026" style="width:430.05pt;height:337.5pt;mso-position-horizontal-relative:char;mso-position-vertical-relative:line" coordsize="54618,42859" o:gfxdata="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">
                <v:shape id="Chart 31" o:spid="_x0000_s1027" type="#_x0000_t75" style="position:absolute;left:365;width:27676;height:215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">
                  <v:imagedata r:id="rId54" o:title=""/>
                  <o:lock v:ext="edit" aspectratio="f"/>
                </v:shape>
                <v:shape id="Chart 32" o:spid="_x0000_s1028" type="#_x0000_t75" style="position:absolute;left:26883;width:27737;height:215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">
                  <v:imagedata r:id="rId55" o:title=""/>
                  <o:lock v:ext="edit" aspectratio="f"/>
                </v:shape>
                <v:shape id="Chart 33" o:spid="_x0000_s1029" type="#_x0000_t75" style="position:absolute;top:21275;width:27736;height:215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">
                  <v:imagedata r:id="rId56" o:title=""/>
                  <o:lock v:ext="edit" aspectratio="f"/>
                </v:shape>
                <v:shape id="Chart 35" o:spid="_x0000_s1030" type="#_x0000_t75" style="position:absolute;left:26883;top:21275;width:27737;height:215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">
                  <v:imagedata r:id="rId57" o:title=""/>
                  <o:lock v:ext="edit" aspectratio="f"/>
                </v:shape>
                <w10:anchorlock/>
              </v:group>
            </w:pict>
          </mc:Fallback>
        </mc:AlternateContent>
      </w:r>
      <w:r w:rsidR="00335AA0">
        <w:br w:type="page"/>
      </w:r>
    </w:p>
    <w:p w14:paraId="77FDBCAE" w14:textId="77777777" w:rsidR="00335AA0" w:rsidRDefault="00334B22" w:rsidP="001B042F">
      <w:pPr>
        <w:pStyle w:val="BodyText"/>
        <w:spacing w:before="39" w:after="0" w:line="240" w:lineRule="auto"/>
        <w:jc w:val="left"/>
      </w:pPr>
      <w:r>
        <w:rPr>
          <w:noProof/>
          <w:lang w:eastAsia="en-GB"/>
        </w:rPr>
        <mc:AlternateContent>
          <mc:Choice Requires="wpg">
            <w:drawing>
              <wp:inline distT="0" distB="0" distL="0" distR="0" wp14:anchorId="77FDBF73" wp14:editId="77FDBF74">
                <wp:extent cx="5442810" cy="6396720"/>
                <wp:effectExtent l="0" t="0" r="5715" b="4445"/>
                <wp:docPr id="36" name="Group 30"/>
                <wp:cNvGraphicFramePr/>
                <a:graphic xmlns:a="http://schemas.openxmlformats.org/drawingml/2006/main">
                  <a:graphicData uri="http://schemas.microsoft.com/office/word/2010/wordprocessingGroup">
                    <wpg:wgp>
                      <wpg:cNvGrpSpPr/>
                      <wpg:grpSpPr>
                        <a:xfrm>
                          <a:off x="0" y="0"/>
                          <a:ext cx="5442810" cy="6396720"/>
                          <a:chOff x="0" y="0"/>
                          <a:chExt cx="5442810" cy="6396720"/>
                        </a:xfrm>
                      </wpg:grpSpPr>
                      <wpg:graphicFrame>
                        <wpg:cNvPr id="37" name="Chart 37"/>
                        <wpg:cNvFrPr>
                          <a:graphicFrameLocks/>
                        </wpg:cNvFrPr>
                        <wpg:xfrm>
                          <a:off x="0" y="4236720"/>
                          <a:ext cx="2772000" cy="2160000"/>
                        </wpg:xfrm>
                        <a:graphic>
                          <a:graphicData uri="http://schemas.openxmlformats.org/drawingml/2006/chart">
                            <c:chart xmlns:c="http://schemas.openxmlformats.org/drawingml/2006/chart" xmlns:r="http://schemas.openxmlformats.org/officeDocument/2006/relationships" r:id="rId58"/>
                          </a:graphicData>
                        </a:graphic>
                      </wpg:graphicFrame>
                      <wpg:graphicFrame>
                        <wpg:cNvPr id="39" name="Chart 39"/>
                        <wpg:cNvFrPr>
                          <a:graphicFrameLocks/>
                        </wpg:cNvFrPr>
                        <wpg:xfrm>
                          <a:off x="2670810" y="4236720"/>
                          <a:ext cx="2772000" cy="2160000"/>
                        </wpg:xfrm>
                        <a:graphic>
                          <a:graphicData uri="http://schemas.openxmlformats.org/drawingml/2006/chart">
                            <c:chart xmlns:c="http://schemas.openxmlformats.org/drawingml/2006/chart" xmlns:r="http://schemas.openxmlformats.org/officeDocument/2006/relationships" r:id="rId59"/>
                          </a:graphicData>
                        </a:graphic>
                      </wpg:graphicFrame>
                      <wpg:graphicFrame>
                        <wpg:cNvPr id="40" name="Chart 40"/>
                        <wpg:cNvFrPr>
                          <a:graphicFrameLocks/>
                        </wpg:cNvFrPr>
                        <wpg:xfrm>
                          <a:off x="0" y="0"/>
                          <a:ext cx="2772000" cy="2160000"/>
                        </wpg:xfrm>
                        <a:graphic>
                          <a:graphicData uri="http://schemas.openxmlformats.org/drawingml/2006/chart">
                            <c:chart xmlns:c="http://schemas.openxmlformats.org/drawingml/2006/chart" xmlns:r="http://schemas.openxmlformats.org/officeDocument/2006/relationships" r:id="rId60"/>
                          </a:graphicData>
                        </a:graphic>
                      </wpg:graphicFrame>
                      <wpg:graphicFrame>
                        <wpg:cNvPr id="42" name="Chart 42"/>
                        <wpg:cNvFrPr>
                          <a:graphicFrameLocks/>
                        </wpg:cNvFrPr>
                        <wpg:xfrm>
                          <a:off x="2670810" y="0"/>
                          <a:ext cx="2772000" cy="2160000"/>
                        </wpg:xfrm>
                        <a:graphic>
                          <a:graphicData uri="http://schemas.openxmlformats.org/drawingml/2006/chart">
                            <c:chart xmlns:c="http://schemas.openxmlformats.org/drawingml/2006/chart" xmlns:r="http://schemas.openxmlformats.org/officeDocument/2006/relationships" r:id="rId61"/>
                          </a:graphicData>
                        </a:graphic>
                      </wpg:graphicFrame>
                      <wpg:graphicFrame>
                        <wpg:cNvPr id="48" name="Chart 48"/>
                        <wpg:cNvFrPr>
                          <a:graphicFrameLocks/>
                        </wpg:cNvFrPr>
                        <wpg:xfrm>
                          <a:off x="0" y="2118360"/>
                          <a:ext cx="2772000" cy="2160000"/>
                        </wpg:xfrm>
                        <a:graphic>
                          <a:graphicData uri="http://schemas.openxmlformats.org/drawingml/2006/chart">
                            <c:chart xmlns:c="http://schemas.openxmlformats.org/drawingml/2006/chart" xmlns:r="http://schemas.openxmlformats.org/officeDocument/2006/relationships" r:id="rId62"/>
                          </a:graphicData>
                        </a:graphic>
                      </wpg:graphicFrame>
                      <wpg:graphicFrame>
                        <wpg:cNvPr id="52" name="Chart 52"/>
                        <wpg:cNvFrPr>
                          <a:graphicFrameLocks/>
                        </wpg:cNvFrPr>
                        <wpg:xfrm>
                          <a:off x="2670810" y="2118360"/>
                          <a:ext cx="2772000" cy="2160000"/>
                        </wpg:xfrm>
                        <a:graphic>
                          <a:graphicData uri="http://schemas.openxmlformats.org/drawingml/2006/chart">
                            <c:chart xmlns:c="http://schemas.openxmlformats.org/drawingml/2006/chart" xmlns:r="http://schemas.openxmlformats.org/officeDocument/2006/relationships" r:id="rId63"/>
                          </a:graphicData>
                        </a:graphic>
                      </wpg:graphicFrame>
                    </wpg:wgp>
                  </a:graphicData>
                </a:graphic>
              </wp:inline>
            </w:drawing>
          </mc:Choice>
          <mc:Fallback>
            <w:pict>
              <v:group id="Group 30" o:spid="_x0000_s1026" style="width:428.55pt;height:503.7pt;mso-position-horizontal-relative:char;mso-position-vertical-relative:line" coordsize="54428,63967" o:gfxdata="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">
                <v:shape id="Chart 37" o:spid="_x0000_s1027" type="#_x0000_t75" style="position:absolute;top:42367;width:27736;height:215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">
                  <v:imagedata r:id="rId64" o:title=""/>
                  <o:lock v:ext="edit" aspectratio="f"/>
                </v:shape>
                <v:shape id="Chart 39" o:spid="_x0000_s1028" type="#_x0000_t75" style="position:absolute;left:26700;top:42367;width:27737;height:215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">
                  <v:imagedata r:id="rId65" o:title=""/>
                  <o:lock v:ext="edit" aspectratio="f"/>
                </v:shape>
                <v:shape id="Chart 40" o:spid="_x0000_s1029" type="#_x0000_t75" style="position:absolute;width:27736;height:215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">
                  <v:imagedata r:id="rId66" o:title=""/>
                  <o:lock v:ext="edit" aspectratio="f"/>
                </v:shape>
                <v:shape id="Chart 42" o:spid="_x0000_s1030" type="#_x0000_t75" style="position:absolute;left:26700;width:27737;height:215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">
                  <v:imagedata r:id="rId67" o:title=""/>
                  <o:lock v:ext="edit" aspectratio="f"/>
                </v:shape>
                <v:shape id="Chart 48" o:spid="_x0000_s1031" type="#_x0000_t75" style="position:absolute;top:21153;width:27736;height:21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">
                  <v:imagedata r:id="rId68" o:title=""/>
                  <o:lock v:ext="edit" aspectratio="f"/>
                </v:shape>
                <v:shape id="Chart 52" o:spid="_x0000_s1032" type="#_x0000_t75" style="position:absolute;left:26700;top:21153;width:27737;height:21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">
                  <v:imagedata r:id="rId69" o:title=""/>
                  <o:lock v:ext="edit" aspectratio="f"/>
                </v:shape>
                <w10:anchorlock/>
              </v:group>
            </w:pict>
          </mc:Fallback>
        </mc:AlternateContent>
      </w:r>
    </w:p>
    <w:p w14:paraId="77FDBCAF" w14:textId="77777777" w:rsidR="00334B22" w:rsidRDefault="00334B22" w:rsidP="00334B22">
      <w:pPr>
        <w:pStyle w:val="Source"/>
      </w:pPr>
      <w:r>
        <w:t>Source: Africa Sector Database (</w:t>
      </w:r>
      <w:hyperlink r:id="rId70" w:history="1">
        <w:r w:rsidRPr="001228CD">
          <w:rPr>
            <w:rStyle w:val="Hyperlink"/>
          </w:rPr>
          <w:t>http://www.rug.nl/research/ggdc/data/africa-sector-database</w:t>
        </w:r>
      </w:hyperlink>
      <w:r>
        <w:t xml:space="preserve">); </w:t>
      </w:r>
      <w:r w:rsidRPr="00714EDC">
        <w:t>de Vries et al. (2013)</w:t>
      </w:r>
      <w:r>
        <w:t>.</w:t>
      </w:r>
    </w:p>
    <w:p w14:paraId="77FDBCB0" w14:textId="77777777" w:rsidR="00335AA0" w:rsidRPr="00335AA0" w:rsidRDefault="00335AA0" w:rsidP="00335AA0">
      <w:pPr>
        <w:pStyle w:val="BodyText"/>
      </w:pPr>
    </w:p>
    <w:p w14:paraId="60EE3AF8" w14:textId="5C11C209" w:rsidR="00232104" w:rsidRDefault="005D2D85" w:rsidP="00232104">
      <w:pPr>
        <w:pStyle w:val="FigureHeading"/>
        <w:numPr>
          <w:ilvl w:val="0"/>
          <w:numId w:val="34"/>
        </w:numPr>
        <w:tabs>
          <w:tab w:val="right" w:pos="9806"/>
        </w:tabs>
      </w:pPr>
      <w:r>
        <w:br w:type="page"/>
      </w:r>
      <w:bookmarkStart w:id="49" w:name="_Toc427753261"/>
      <w:bookmarkStart w:id="50" w:name="_Toc427767264"/>
      <w:bookmarkStart w:id="51" w:name="_Toc427768427"/>
      <w:bookmarkStart w:id="52" w:name="_Toc428435135"/>
      <w:bookmarkStart w:id="53" w:name="_Toc406585300"/>
      <w:bookmarkStart w:id="54" w:name="_Toc406411725"/>
      <w:r w:rsidR="00232104">
        <w:t xml:space="preserve">Sectoral employment by sex, </w:t>
      </w:r>
      <w:r w:rsidR="00232104">
        <w:rPr>
          <w:noProof/>
        </w:rPr>
        <w:t>Tanzania</w:t>
      </w:r>
      <w:r w:rsidR="00232104">
        <w:t xml:space="preserve"> (ILO </w:t>
      </w:r>
      <w:proofErr w:type="spellStart"/>
      <w:r w:rsidR="00232104">
        <w:t>WESO</w:t>
      </w:r>
      <w:proofErr w:type="spellEnd"/>
      <w:r w:rsidR="00232104">
        <w:t xml:space="preserve"> data)</w:t>
      </w:r>
      <w:r w:rsidR="00232104">
        <w:tab/>
      </w:r>
      <w:r w:rsidR="00232104" w:rsidRPr="00DB6A0A">
        <w:rPr>
          <w:color w:val="FF0000"/>
        </w:rPr>
        <w:t>NEW</w:t>
      </w:r>
      <w:bookmarkEnd w:id="49"/>
      <w:bookmarkEnd w:id="50"/>
      <w:bookmarkEnd w:id="51"/>
      <w:bookmarkEnd w:id="52"/>
    </w:p>
    <w:p w14:paraId="2E59297E" w14:textId="0D91950D" w:rsidR="00232104" w:rsidRPr="00D65C18" w:rsidRDefault="00232104" w:rsidP="00232104">
      <w:pPr>
        <w:pStyle w:val="BodyText"/>
      </w:pPr>
      <w:r>
        <w:rPr>
          <w:noProof/>
          <w:lang w:eastAsia="en-GB"/>
        </w:rPr>
        <mc:AlternateContent>
          <mc:Choice Requires="wpg">
            <w:drawing>
              <wp:inline distT="0" distB="0" distL="0" distR="0" wp14:anchorId="58ABA24B" wp14:editId="77BE8F51">
                <wp:extent cx="6300216" cy="2468880"/>
                <wp:effectExtent l="0" t="0" r="5715" b="7620"/>
                <wp:docPr id="227"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00216" cy="2468880"/>
                          <a:chOff x="0" y="0"/>
                          <a:chExt cx="6998970" cy="2743200"/>
                        </a:xfrm>
                      </wpg:grpSpPr>
                      <wpg:graphicFrame>
                        <wpg:cNvPr id="228" name="Chart 228"/>
                        <wpg:cNvFrPr/>
                        <wpg:xfrm>
                          <a:off x="0" y="0"/>
                          <a:ext cx="4572000" cy="2743200"/>
                        </wpg:xfrm>
                        <a:graphic>
                          <a:graphicData uri="http://schemas.openxmlformats.org/drawingml/2006/chart">
                            <c:chart xmlns:c="http://schemas.openxmlformats.org/drawingml/2006/chart" xmlns:r="http://schemas.openxmlformats.org/officeDocument/2006/relationships" r:id="rId71"/>
                          </a:graphicData>
                        </a:graphic>
                      </wpg:graphicFrame>
                      <wpg:graphicFrame>
                        <wpg:cNvPr id="229" name="Chart 229"/>
                        <wpg:cNvFrPr>
                          <a:graphicFrameLocks/>
                        </wpg:cNvFrPr>
                        <wpg:xfrm>
                          <a:off x="2830830" y="0"/>
                          <a:ext cx="4168140" cy="2743200"/>
                        </wpg:xfrm>
                        <a:graphic>
                          <a:graphicData uri="http://schemas.openxmlformats.org/drawingml/2006/chart">
                            <c:chart xmlns:c="http://schemas.openxmlformats.org/drawingml/2006/chart" xmlns:r="http://schemas.openxmlformats.org/officeDocument/2006/relationships" r:id="rId72"/>
                          </a:graphicData>
                        </a:graphic>
                      </wpg:graphicFrame>
                    </wpg:wgp>
                  </a:graphicData>
                </a:graphic>
              </wp:inline>
            </w:drawing>
          </mc:Choice>
          <mc:Fallback>
            <w:pict>
              <v:group id="Group 2" o:spid="_x0000_s1026" style="width:496.1pt;height:194.4pt;mso-position-horizontal-relative:char;mso-position-vertical-relative:line" coordsize="69989,27432"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28" o:spid="_x0000_s1027" type="#_x0000_t75" style="position:absolute;width:45711;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">
                  <v:imagedata r:id="rId73" o:title=""/>
                  <o:lock v:ext="edit" aspectratio="f"/>
                </v:shape>
                <v:shape id="Chart 229" o:spid="_x0000_s1028" type="#_x0000_t75" style="position:absolute;left:28307;width:41648;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">
                  <v:imagedata r:id="rId74" o:title=""/>
                  <o:lock v:ext="edit" aspectratio="f"/>
                </v:shape>
                <w10:anchorlock/>
              </v:group>
            </w:pict>
          </mc:Fallback>
        </mc:AlternateContent>
      </w:r>
    </w:p>
    <w:p w14:paraId="2D9981BE" w14:textId="77777777" w:rsidR="00232104" w:rsidRDefault="00232104" w:rsidP="00232104">
      <w:pPr>
        <w:rPr>
          <w:rFonts w:asciiTheme="majorHAnsi" w:hAnsiTheme="majorHAnsi" w:cstheme="majorHAnsi"/>
          <w:i/>
          <w:sz w:val="16"/>
          <w:szCs w:val="16"/>
        </w:rPr>
      </w:pPr>
      <w:r w:rsidRPr="00BC3613">
        <w:rPr>
          <w:rFonts w:asciiTheme="majorHAnsi" w:hAnsiTheme="majorHAnsi" w:cstheme="majorHAnsi"/>
          <w:i/>
          <w:sz w:val="16"/>
          <w:szCs w:val="16"/>
        </w:rPr>
        <w:t>Source: ILO World Employment and Social Outlook (</w:t>
      </w:r>
      <w:proofErr w:type="spellStart"/>
      <w:r w:rsidRPr="00BC3613">
        <w:rPr>
          <w:rFonts w:asciiTheme="majorHAnsi" w:hAnsiTheme="majorHAnsi" w:cstheme="majorHAnsi"/>
          <w:i/>
          <w:sz w:val="16"/>
          <w:szCs w:val="16"/>
        </w:rPr>
        <w:t>WESO</w:t>
      </w:r>
      <w:proofErr w:type="spellEnd"/>
      <w:r w:rsidRPr="00BC3613">
        <w:rPr>
          <w:rFonts w:asciiTheme="majorHAnsi" w:hAnsiTheme="majorHAnsi" w:cstheme="majorHAnsi"/>
          <w:i/>
          <w:sz w:val="16"/>
          <w:szCs w:val="16"/>
        </w:rPr>
        <w:t>) – Trends 2015 supporting dataset ‘employment by sector and sex’ (</w:t>
      </w:r>
      <w:hyperlink r:id="rId75" w:history="1">
        <w:r w:rsidRPr="00BC3613">
          <w:rPr>
            <w:rStyle w:val="Hyperlink"/>
            <w:rFonts w:asciiTheme="majorHAnsi" w:hAnsiTheme="majorHAnsi" w:cstheme="majorHAnsi"/>
            <w:i/>
            <w:sz w:val="16"/>
            <w:szCs w:val="16"/>
          </w:rPr>
          <w:t>http://www.ilo.org/global/research/global-reports/weso/2015/lang--en/index.htm</w:t>
        </w:r>
      </w:hyperlink>
      <w:r w:rsidRPr="00BC3613">
        <w:rPr>
          <w:rFonts w:asciiTheme="majorHAnsi" w:hAnsiTheme="majorHAnsi" w:cstheme="majorHAnsi"/>
          <w:i/>
          <w:sz w:val="16"/>
          <w:szCs w:val="16"/>
        </w:rPr>
        <w:t>).</w:t>
      </w:r>
    </w:p>
    <w:p w14:paraId="75132DFD" w14:textId="77777777" w:rsidR="00232104" w:rsidRDefault="00232104" w:rsidP="00232104">
      <w:pPr>
        <w:pStyle w:val="BodyText"/>
      </w:pPr>
    </w:p>
    <w:p w14:paraId="77FDBCB2" w14:textId="6C882580" w:rsidR="00C46CD7" w:rsidRDefault="00C46CD7" w:rsidP="00232104">
      <w:pPr>
        <w:pStyle w:val="FigureHeading"/>
      </w:pPr>
      <w:bookmarkStart w:id="55" w:name="_Toc428435136"/>
      <w:r>
        <w:t>Percentage of workers (age 25+) in agriculture, Tanzania</w:t>
      </w:r>
      <w:bookmarkEnd w:id="55"/>
    </w:p>
    <w:p w14:paraId="77FDBCB3" w14:textId="77777777" w:rsidR="00C46CD7" w:rsidRDefault="00C46CD7" w:rsidP="00C46CD7">
      <w:pPr>
        <w:pStyle w:val="BodyText"/>
        <w:spacing w:before="39" w:after="0" w:line="240" w:lineRule="auto"/>
        <w:jc w:val="left"/>
      </w:pPr>
      <w:r>
        <w:rPr>
          <w:noProof/>
          <w:lang w:eastAsia="en-GB"/>
        </w:rPr>
        <w:drawing>
          <wp:inline distT="0" distB="0" distL="0" distR="0" wp14:anchorId="77FDBF75" wp14:editId="77FDBF76">
            <wp:extent cx="4114800" cy="22860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7FDBCB4" w14:textId="77777777" w:rsidR="00C46CD7" w:rsidRPr="006F01C3" w:rsidRDefault="00C46CD7" w:rsidP="00C46CD7">
      <w:pPr>
        <w:pStyle w:val="Source"/>
      </w:pPr>
      <w:r>
        <w:t>Note: Using DHS data.</w:t>
      </w:r>
      <w:r>
        <w:br/>
        <w:t xml:space="preserve">Source: McMillan and </w:t>
      </w:r>
      <w:proofErr w:type="spellStart"/>
      <w:r>
        <w:t>Harttgen</w:t>
      </w:r>
      <w:proofErr w:type="spellEnd"/>
      <w:r>
        <w:t xml:space="preserve"> (2014) (</w:t>
      </w:r>
      <w:hyperlink r:id="rId77" w:history="1">
        <w:r w:rsidRPr="006F01C3">
          <w:rPr>
            <w:rStyle w:val="Hyperlink"/>
          </w:rPr>
          <w:t>http://www.nber.org/papers/w20077</w:t>
        </w:r>
      </w:hyperlink>
      <w:r>
        <w:t>).</w:t>
      </w:r>
    </w:p>
    <w:p w14:paraId="77FDBCB5" w14:textId="77777777" w:rsidR="00C46CD7" w:rsidRDefault="00C46CD7">
      <w:pPr>
        <w:rPr>
          <w:rFonts w:ascii="Arial" w:eastAsia="Times New Roman" w:hAnsi="Arial"/>
          <w:b/>
          <w:bCs/>
          <w:color w:val="006C67" w:themeColor="accent1"/>
          <w:sz w:val="60"/>
          <w:szCs w:val="28"/>
        </w:rPr>
      </w:pPr>
      <w:r>
        <w:br w:type="page"/>
      </w:r>
    </w:p>
    <w:p w14:paraId="77FDBCB6" w14:textId="77777777" w:rsidR="00B12AEC" w:rsidRDefault="00B12AEC" w:rsidP="00B12AEC">
      <w:pPr>
        <w:pStyle w:val="Heading1"/>
      </w:pPr>
      <w:bookmarkStart w:id="56" w:name="_Toc428435137"/>
      <w:r>
        <w:t>Trade</w:t>
      </w:r>
      <w:bookmarkEnd w:id="53"/>
      <w:bookmarkEnd w:id="56"/>
    </w:p>
    <w:p w14:paraId="77FDBCB7" w14:textId="77777777" w:rsidR="00104401" w:rsidRDefault="00104401" w:rsidP="00104401">
      <w:pPr>
        <w:pStyle w:val="Heading2"/>
      </w:pPr>
      <w:bookmarkStart w:id="57" w:name="_Toc428435138"/>
      <w:r>
        <w:t>Basic data</w:t>
      </w:r>
      <w:bookmarkEnd w:id="57"/>
    </w:p>
    <w:p w14:paraId="77FDBCB8" w14:textId="77777777" w:rsidR="00D67539" w:rsidRDefault="00D67539" w:rsidP="00D67539">
      <w:pPr>
        <w:pStyle w:val="FigureHeading"/>
      </w:pPr>
      <w:bookmarkStart w:id="58" w:name="_Toc408671446"/>
      <w:bookmarkStart w:id="59" w:name="_Toc408671837"/>
      <w:bookmarkStart w:id="60" w:name="_Toc428435139"/>
      <w:r>
        <w:t>Total value of trade, Tanzania, 2005–1</w:t>
      </w:r>
      <w:bookmarkEnd w:id="58"/>
      <w:r>
        <w:t>3</w:t>
      </w:r>
      <w:bookmarkEnd w:id="59"/>
      <w:bookmarkEnd w:id="60"/>
    </w:p>
    <w:p w14:paraId="77FDBCB9" w14:textId="77777777" w:rsidR="00D67539" w:rsidRPr="00CA2271" w:rsidRDefault="00D67539" w:rsidP="00D67539">
      <w:pPr>
        <w:pStyle w:val="BodyText"/>
        <w:spacing w:before="39" w:after="0" w:line="240" w:lineRule="auto"/>
        <w:jc w:val="left"/>
      </w:pPr>
      <w:r>
        <w:rPr>
          <w:noProof/>
          <w:lang w:eastAsia="en-GB"/>
        </w:rPr>
        <w:drawing>
          <wp:inline distT="0" distB="0" distL="0" distR="0" wp14:anchorId="77FDBF77" wp14:editId="77FDBF78">
            <wp:extent cx="4187190" cy="2376000"/>
            <wp:effectExtent l="0" t="0" r="3810" b="571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7FDBCBA" w14:textId="77777777" w:rsidR="00D67539" w:rsidRDefault="00D67539" w:rsidP="00D67539">
      <w:pPr>
        <w:pStyle w:val="Source"/>
        <w:rPr>
          <w:noProof/>
          <w:lang w:eastAsia="en-GB"/>
        </w:rPr>
      </w:pPr>
      <w:r>
        <w:rPr>
          <w:noProof/>
          <w:lang w:eastAsia="en-GB"/>
        </w:rPr>
        <w:t>Source: UN COMTRADE database.</w:t>
      </w:r>
    </w:p>
    <w:p w14:paraId="77FDBCBB" w14:textId="77777777" w:rsidR="00D67539" w:rsidRPr="00CA2271" w:rsidRDefault="00D67539" w:rsidP="00D67539">
      <w:pPr>
        <w:pStyle w:val="BodyText"/>
      </w:pPr>
    </w:p>
    <w:p w14:paraId="77FDBCBC" w14:textId="77777777" w:rsidR="00D67539" w:rsidRDefault="00D67539" w:rsidP="00D67539">
      <w:pPr>
        <w:rPr>
          <w:rFonts w:ascii="Arial" w:hAnsi="Arial"/>
          <w:b/>
          <w:color w:val="006C67" w:themeColor="accent1"/>
          <w:sz w:val="24"/>
        </w:rPr>
      </w:pPr>
      <w:r>
        <w:br w:type="page"/>
      </w:r>
    </w:p>
    <w:p w14:paraId="77FDBCBD" w14:textId="77777777" w:rsidR="00BA5FA0" w:rsidRDefault="00BA5FA0" w:rsidP="00B970EA">
      <w:pPr>
        <w:pStyle w:val="FigureHeading"/>
      </w:pPr>
      <w:bookmarkStart w:id="61" w:name="_Toc405451563"/>
      <w:bookmarkStart w:id="62" w:name="_Toc405473672"/>
      <w:bookmarkStart w:id="63" w:name="_Toc406411727"/>
      <w:bookmarkStart w:id="64" w:name="_Toc406585303"/>
      <w:bookmarkStart w:id="65" w:name="_Toc428435140"/>
      <w:bookmarkEnd w:id="54"/>
      <w:r>
        <w:t xml:space="preserve">Exports by broad HS Section, </w:t>
      </w:r>
      <w:r w:rsidR="00EA21D5">
        <w:t>Tanzania</w:t>
      </w:r>
      <w:r>
        <w:t xml:space="preserve">, 2005–8 and </w:t>
      </w:r>
      <w:bookmarkEnd w:id="61"/>
      <w:r>
        <w:t>2009–13</w:t>
      </w:r>
      <w:bookmarkEnd w:id="62"/>
      <w:bookmarkEnd w:id="63"/>
      <w:bookmarkEnd w:id="64"/>
      <w:bookmarkEnd w:id="65"/>
    </w:p>
    <w:p w14:paraId="77FDBCBE" w14:textId="77777777" w:rsidR="00D315D7" w:rsidRDefault="00D315D7" w:rsidP="00232565">
      <w:pPr>
        <w:pStyle w:val="BodyText"/>
        <w:spacing w:before="39" w:after="0" w:line="240" w:lineRule="auto"/>
        <w:jc w:val="left"/>
      </w:pPr>
      <w:r>
        <w:rPr>
          <w:noProof/>
          <w:lang w:eastAsia="en-GB"/>
        </w:rPr>
        <w:drawing>
          <wp:inline distT="0" distB="0" distL="0" distR="0" wp14:anchorId="77FDBF79" wp14:editId="77FDBF7A">
            <wp:extent cx="5486400" cy="25146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7FDBCBF" w14:textId="77777777" w:rsidR="00D315D7" w:rsidRPr="00D315D7" w:rsidRDefault="00D315D7" w:rsidP="00232565">
      <w:pPr>
        <w:pStyle w:val="BodyText"/>
        <w:spacing w:before="39" w:after="0" w:line="240" w:lineRule="auto"/>
        <w:jc w:val="left"/>
      </w:pPr>
      <w:r>
        <w:rPr>
          <w:noProof/>
          <w:lang w:eastAsia="en-GB"/>
        </w:rPr>
        <w:drawing>
          <wp:inline distT="0" distB="0" distL="0" distR="0" wp14:anchorId="77FDBF7B" wp14:editId="77FDBF7C">
            <wp:extent cx="5486400" cy="25146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BA5FA0" w:rsidRPr="00C91C87" w14:paraId="77FDBCC2" w14:textId="77777777" w:rsidTr="00B96F8F">
        <w:tc>
          <w:tcPr>
            <w:tcW w:w="630" w:type="dxa"/>
            <w:tcBorders>
              <w:top w:val="nil"/>
              <w:left w:val="nil"/>
              <w:bottom w:val="nil"/>
              <w:right w:val="nil"/>
            </w:tcBorders>
            <w:shd w:val="clear" w:color="auto" w:fill="auto"/>
            <w:noWrap/>
          </w:tcPr>
          <w:p w14:paraId="77FDBCC0" w14:textId="77777777" w:rsidR="00BA5FA0" w:rsidRPr="00A364CB" w:rsidRDefault="00BA5FA0" w:rsidP="00B96F8F">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77FDBCC1" w14:textId="77777777" w:rsidR="00BA5FA0" w:rsidRDefault="00BA5FA0" w:rsidP="00B96F8F">
            <w:pPr>
              <w:rPr>
                <w:rFonts w:ascii="Calibri" w:eastAsia="Times New Roman" w:hAnsi="Calibri"/>
                <w:color w:val="000000"/>
                <w:sz w:val="16"/>
                <w:szCs w:val="16"/>
                <w:lang w:eastAsia="en-GB"/>
              </w:rPr>
            </w:pPr>
          </w:p>
        </w:tc>
      </w:tr>
      <w:tr w:rsidR="00BA5FA0" w:rsidRPr="00C91C87" w14:paraId="77FDBCC5" w14:textId="77777777" w:rsidTr="00B96F8F">
        <w:tc>
          <w:tcPr>
            <w:tcW w:w="630" w:type="dxa"/>
            <w:tcBorders>
              <w:top w:val="nil"/>
              <w:left w:val="nil"/>
              <w:bottom w:val="nil"/>
              <w:right w:val="nil"/>
            </w:tcBorders>
            <w:shd w:val="clear" w:color="auto" w:fill="auto"/>
            <w:noWrap/>
          </w:tcPr>
          <w:p w14:paraId="77FDBCC3"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77FDBCC4"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BA5FA0" w:rsidRPr="00C91C87" w14:paraId="77FDBCC8" w14:textId="77777777" w:rsidTr="00B96F8F">
        <w:tc>
          <w:tcPr>
            <w:tcW w:w="630" w:type="dxa"/>
            <w:tcBorders>
              <w:top w:val="nil"/>
              <w:left w:val="nil"/>
              <w:bottom w:val="nil"/>
              <w:right w:val="nil"/>
            </w:tcBorders>
            <w:shd w:val="clear" w:color="auto" w:fill="auto"/>
            <w:noWrap/>
            <w:hideMark/>
          </w:tcPr>
          <w:p w14:paraId="77FDBCC6"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77FDBCC7"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BA5FA0" w:rsidRPr="00C91C87" w14:paraId="77FDBCCB" w14:textId="77777777" w:rsidTr="00B96F8F">
        <w:tc>
          <w:tcPr>
            <w:tcW w:w="630" w:type="dxa"/>
            <w:tcBorders>
              <w:top w:val="nil"/>
              <w:left w:val="nil"/>
              <w:bottom w:val="nil"/>
              <w:right w:val="nil"/>
            </w:tcBorders>
            <w:shd w:val="clear" w:color="auto" w:fill="auto"/>
            <w:noWrap/>
            <w:hideMark/>
          </w:tcPr>
          <w:p w14:paraId="77FDBCC9"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77FDBCCA"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BA5FA0" w:rsidRPr="00C91C87" w14:paraId="77FDBCCE" w14:textId="77777777" w:rsidTr="00B96F8F">
        <w:tc>
          <w:tcPr>
            <w:tcW w:w="630" w:type="dxa"/>
            <w:tcBorders>
              <w:top w:val="nil"/>
              <w:left w:val="nil"/>
              <w:bottom w:val="nil"/>
              <w:right w:val="nil"/>
            </w:tcBorders>
            <w:shd w:val="clear" w:color="auto" w:fill="auto"/>
            <w:noWrap/>
            <w:hideMark/>
          </w:tcPr>
          <w:p w14:paraId="77FDBCCC"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77FDBCCD"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BA5FA0" w:rsidRPr="00C91C87" w14:paraId="77FDBCD1" w14:textId="77777777" w:rsidTr="00B96F8F">
        <w:tc>
          <w:tcPr>
            <w:tcW w:w="630" w:type="dxa"/>
            <w:tcBorders>
              <w:top w:val="nil"/>
              <w:left w:val="nil"/>
              <w:bottom w:val="nil"/>
              <w:right w:val="nil"/>
            </w:tcBorders>
            <w:shd w:val="clear" w:color="auto" w:fill="auto"/>
            <w:noWrap/>
            <w:hideMark/>
          </w:tcPr>
          <w:p w14:paraId="77FDBCCF"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77FDBCD0"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BA5FA0" w:rsidRPr="00C91C87" w14:paraId="77FDBCD4" w14:textId="77777777" w:rsidTr="00B96F8F">
        <w:tc>
          <w:tcPr>
            <w:tcW w:w="630" w:type="dxa"/>
            <w:tcBorders>
              <w:top w:val="nil"/>
              <w:left w:val="nil"/>
              <w:bottom w:val="nil"/>
              <w:right w:val="nil"/>
            </w:tcBorders>
            <w:shd w:val="clear" w:color="auto" w:fill="auto"/>
            <w:noWrap/>
            <w:hideMark/>
          </w:tcPr>
          <w:p w14:paraId="77FDBCD2"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77FDBCD3"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BA5FA0" w:rsidRPr="00C91C87" w14:paraId="77FDBCD7" w14:textId="77777777" w:rsidTr="00B96F8F">
        <w:tc>
          <w:tcPr>
            <w:tcW w:w="630" w:type="dxa"/>
            <w:tcBorders>
              <w:top w:val="nil"/>
              <w:left w:val="nil"/>
              <w:bottom w:val="nil"/>
              <w:right w:val="nil"/>
            </w:tcBorders>
            <w:shd w:val="clear" w:color="auto" w:fill="auto"/>
            <w:noWrap/>
            <w:hideMark/>
          </w:tcPr>
          <w:p w14:paraId="77FDBCD5"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77FDBCD6"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BA5FA0" w:rsidRPr="00C91C87" w14:paraId="77FDBCDA" w14:textId="77777777" w:rsidTr="00B96F8F">
        <w:tc>
          <w:tcPr>
            <w:tcW w:w="630" w:type="dxa"/>
            <w:tcBorders>
              <w:top w:val="nil"/>
              <w:left w:val="nil"/>
              <w:bottom w:val="nil"/>
              <w:right w:val="nil"/>
            </w:tcBorders>
            <w:shd w:val="clear" w:color="auto" w:fill="auto"/>
            <w:noWrap/>
            <w:hideMark/>
          </w:tcPr>
          <w:p w14:paraId="77FDBCD8"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77FDBCD9"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BA5FA0" w:rsidRPr="00C91C87" w14:paraId="77FDBCDD" w14:textId="77777777" w:rsidTr="00B96F8F">
        <w:tc>
          <w:tcPr>
            <w:tcW w:w="630" w:type="dxa"/>
            <w:tcBorders>
              <w:top w:val="nil"/>
              <w:left w:val="nil"/>
              <w:bottom w:val="nil"/>
              <w:right w:val="nil"/>
            </w:tcBorders>
            <w:shd w:val="clear" w:color="auto" w:fill="auto"/>
            <w:noWrap/>
            <w:hideMark/>
          </w:tcPr>
          <w:p w14:paraId="77FDBCDB"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77FDBCDC"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BA5FA0" w:rsidRPr="00C91C87" w14:paraId="77FDBCE0" w14:textId="77777777" w:rsidTr="00B96F8F">
        <w:tc>
          <w:tcPr>
            <w:tcW w:w="630" w:type="dxa"/>
            <w:tcBorders>
              <w:top w:val="nil"/>
              <w:left w:val="nil"/>
              <w:bottom w:val="nil"/>
              <w:right w:val="nil"/>
            </w:tcBorders>
            <w:shd w:val="clear" w:color="auto" w:fill="auto"/>
            <w:noWrap/>
            <w:hideMark/>
          </w:tcPr>
          <w:p w14:paraId="77FDBCDE"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77FDBCDF"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BA5FA0" w:rsidRPr="00C91C87" w14:paraId="77FDBCE3" w14:textId="77777777" w:rsidTr="00B96F8F">
        <w:tc>
          <w:tcPr>
            <w:tcW w:w="630" w:type="dxa"/>
            <w:tcBorders>
              <w:top w:val="nil"/>
              <w:left w:val="nil"/>
              <w:bottom w:val="nil"/>
              <w:right w:val="nil"/>
            </w:tcBorders>
            <w:shd w:val="clear" w:color="auto" w:fill="auto"/>
            <w:noWrap/>
            <w:hideMark/>
          </w:tcPr>
          <w:p w14:paraId="77FDBCE1"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77FDBCE2"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BA5FA0" w:rsidRPr="00C91C87" w14:paraId="77FDBCE6" w14:textId="77777777" w:rsidTr="00B96F8F">
        <w:tc>
          <w:tcPr>
            <w:tcW w:w="630" w:type="dxa"/>
            <w:tcBorders>
              <w:top w:val="nil"/>
              <w:left w:val="nil"/>
              <w:bottom w:val="nil"/>
              <w:right w:val="nil"/>
            </w:tcBorders>
            <w:shd w:val="clear" w:color="auto" w:fill="auto"/>
            <w:noWrap/>
            <w:hideMark/>
          </w:tcPr>
          <w:p w14:paraId="77FDBCE4"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77FDBCE5"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BA5FA0" w:rsidRPr="00C91C87" w14:paraId="77FDBCE9" w14:textId="77777777" w:rsidTr="00B96F8F">
        <w:tc>
          <w:tcPr>
            <w:tcW w:w="630" w:type="dxa"/>
            <w:tcBorders>
              <w:top w:val="nil"/>
              <w:left w:val="nil"/>
              <w:bottom w:val="nil"/>
              <w:right w:val="nil"/>
            </w:tcBorders>
            <w:shd w:val="clear" w:color="auto" w:fill="auto"/>
            <w:noWrap/>
            <w:hideMark/>
          </w:tcPr>
          <w:p w14:paraId="77FDBCE7"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77FDBCE8"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BA5FA0" w:rsidRPr="00C91C87" w14:paraId="77FDBCEC" w14:textId="77777777" w:rsidTr="00B96F8F">
        <w:tc>
          <w:tcPr>
            <w:tcW w:w="630" w:type="dxa"/>
            <w:tcBorders>
              <w:top w:val="nil"/>
              <w:left w:val="nil"/>
              <w:bottom w:val="nil"/>
              <w:right w:val="nil"/>
            </w:tcBorders>
            <w:shd w:val="clear" w:color="auto" w:fill="auto"/>
            <w:noWrap/>
            <w:hideMark/>
          </w:tcPr>
          <w:p w14:paraId="77FDBCEA"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77FDBCEB"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BA5FA0" w:rsidRPr="00C91C87" w14:paraId="77FDBCEF" w14:textId="77777777" w:rsidTr="00B96F8F">
        <w:tc>
          <w:tcPr>
            <w:tcW w:w="630" w:type="dxa"/>
            <w:tcBorders>
              <w:top w:val="nil"/>
              <w:left w:val="nil"/>
              <w:bottom w:val="nil"/>
              <w:right w:val="nil"/>
            </w:tcBorders>
            <w:shd w:val="clear" w:color="auto" w:fill="auto"/>
            <w:noWrap/>
            <w:hideMark/>
          </w:tcPr>
          <w:p w14:paraId="77FDBCED"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77FDBCEE"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BA5FA0" w:rsidRPr="00C91C87" w14:paraId="77FDBCF2" w14:textId="77777777" w:rsidTr="00B96F8F">
        <w:tc>
          <w:tcPr>
            <w:tcW w:w="630" w:type="dxa"/>
            <w:tcBorders>
              <w:top w:val="nil"/>
              <w:left w:val="nil"/>
              <w:bottom w:val="nil"/>
              <w:right w:val="nil"/>
            </w:tcBorders>
            <w:shd w:val="clear" w:color="auto" w:fill="auto"/>
            <w:noWrap/>
            <w:hideMark/>
          </w:tcPr>
          <w:p w14:paraId="77FDBCF0"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77FDBCF1"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BA5FA0" w:rsidRPr="00C91C87" w14:paraId="77FDBCF5" w14:textId="77777777" w:rsidTr="00B96F8F">
        <w:tc>
          <w:tcPr>
            <w:tcW w:w="630" w:type="dxa"/>
            <w:tcBorders>
              <w:top w:val="nil"/>
              <w:left w:val="nil"/>
              <w:bottom w:val="nil"/>
              <w:right w:val="nil"/>
            </w:tcBorders>
            <w:shd w:val="clear" w:color="auto" w:fill="auto"/>
            <w:noWrap/>
            <w:hideMark/>
          </w:tcPr>
          <w:p w14:paraId="77FDBCF3"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77FDBCF4"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BA5FA0" w:rsidRPr="00C91C87" w14:paraId="77FDBCF8" w14:textId="77777777" w:rsidTr="00B96F8F">
        <w:tc>
          <w:tcPr>
            <w:tcW w:w="630" w:type="dxa"/>
            <w:tcBorders>
              <w:top w:val="nil"/>
              <w:left w:val="nil"/>
              <w:bottom w:val="nil"/>
              <w:right w:val="nil"/>
            </w:tcBorders>
            <w:shd w:val="clear" w:color="auto" w:fill="auto"/>
            <w:noWrap/>
            <w:hideMark/>
          </w:tcPr>
          <w:p w14:paraId="77FDBCF6"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77FDBCF7"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BA5FA0" w:rsidRPr="00C91C87" w14:paraId="77FDBCFB" w14:textId="77777777" w:rsidTr="00B96F8F">
        <w:tc>
          <w:tcPr>
            <w:tcW w:w="630" w:type="dxa"/>
            <w:tcBorders>
              <w:top w:val="nil"/>
              <w:left w:val="nil"/>
              <w:bottom w:val="nil"/>
              <w:right w:val="nil"/>
            </w:tcBorders>
            <w:shd w:val="clear" w:color="auto" w:fill="auto"/>
            <w:noWrap/>
            <w:hideMark/>
          </w:tcPr>
          <w:p w14:paraId="77FDBCF9"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77FDBCFA"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BA5FA0" w:rsidRPr="00C91C87" w14:paraId="77FDBCFE" w14:textId="77777777" w:rsidTr="00B96F8F">
        <w:tc>
          <w:tcPr>
            <w:tcW w:w="630" w:type="dxa"/>
            <w:tcBorders>
              <w:top w:val="nil"/>
              <w:left w:val="nil"/>
              <w:bottom w:val="nil"/>
              <w:right w:val="nil"/>
            </w:tcBorders>
            <w:shd w:val="clear" w:color="auto" w:fill="auto"/>
            <w:noWrap/>
            <w:hideMark/>
          </w:tcPr>
          <w:p w14:paraId="77FDBCFC"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77FDBCFD"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BA5FA0" w:rsidRPr="00C91C87" w14:paraId="77FDBD01" w14:textId="77777777" w:rsidTr="00B96F8F">
        <w:tc>
          <w:tcPr>
            <w:tcW w:w="630" w:type="dxa"/>
            <w:tcBorders>
              <w:top w:val="nil"/>
              <w:left w:val="nil"/>
              <w:bottom w:val="nil"/>
              <w:right w:val="nil"/>
            </w:tcBorders>
            <w:shd w:val="clear" w:color="auto" w:fill="auto"/>
            <w:noWrap/>
            <w:hideMark/>
          </w:tcPr>
          <w:p w14:paraId="77FDBCFF"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77FDBD00"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BA5FA0" w:rsidRPr="00C91C87" w14:paraId="77FDBD04" w14:textId="77777777" w:rsidTr="00B96F8F">
        <w:tc>
          <w:tcPr>
            <w:tcW w:w="630" w:type="dxa"/>
            <w:tcBorders>
              <w:top w:val="nil"/>
              <w:left w:val="nil"/>
              <w:bottom w:val="nil"/>
              <w:right w:val="nil"/>
            </w:tcBorders>
            <w:shd w:val="clear" w:color="auto" w:fill="auto"/>
            <w:noWrap/>
            <w:hideMark/>
          </w:tcPr>
          <w:p w14:paraId="77FDBD02"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77FDBD03"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77FDBD05" w14:textId="77777777" w:rsidR="00146CF4" w:rsidRDefault="00BA5FA0" w:rsidP="00BA5FA0">
      <w:pPr>
        <w:pStyle w:val="Source"/>
      </w:pPr>
      <w:r>
        <w:t xml:space="preserve">Note: </w:t>
      </w:r>
      <w:r w:rsidRPr="00C91C87">
        <w:t xml:space="preserve">Bubble sizes and labels relate to </w:t>
      </w:r>
      <w:r>
        <w:t xml:space="preserve">the </w:t>
      </w:r>
      <w:r w:rsidRPr="00C91C87">
        <w:t>number of HS 6-digit subheads within the Section which were exported</w:t>
      </w:r>
      <w:r>
        <w:br/>
        <w:t xml:space="preserve">Source: Authors’ calculation using data from the </w:t>
      </w:r>
      <w:r w:rsidR="00B96C41">
        <w:t xml:space="preserve">UN’s </w:t>
      </w:r>
      <w:proofErr w:type="spellStart"/>
      <w:r w:rsidR="00B96C41">
        <w:t>COMTRADE</w:t>
      </w:r>
      <w:proofErr w:type="spellEnd"/>
      <w:r w:rsidR="00B96C41">
        <w:t xml:space="preserve"> database</w:t>
      </w:r>
      <w:r>
        <w:t>.</w:t>
      </w:r>
      <w:bookmarkStart w:id="66" w:name="_Toc405451000"/>
      <w:bookmarkStart w:id="67" w:name="_Toc405451564"/>
    </w:p>
    <w:p w14:paraId="77FDBD06" w14:textId="77777777" w:rsidR="00AE4EA7" w:rsidRDefault="00AE4EA7" w:rsidP="00BA5FA0">
      <w:pPr>
        <w:pStyle w:val="Source"/>
      </w:pPr>
    </w:p>
    <w:p w14:paraId="77FDBD07" w14:textId="77777777" w:rsidR="00BA5FA0" w:rsidRDefault="00BA5FA0" w:rsidP="00BA5FA0">
      <w:pPr>
        <w:pStyle w:val="FigureHeading"/>
        <w:spacing w:before="0"/>
      </w:pPr>
      <w:bookmarkStart w:id="68" w:name="_Toc405473673"/>
      <w:bookmarkStart w:id="69" w:name="_Toc406411728"/>
      <w:bookmarkStart w:id="70" w:name="_Toc406585304"/>
      <w:bookmarkStart w:id="71" w:name="_Toc428435141"/>
      <w:r>
        <w:t xml:space="preserve">Change in export share by HS Section, </w:t>
      </w:r>
      <w:r w:rsidR="00EA21D5">
        <w:t>Tanzania</w:t>
      </w:r>
      <w:r>
        <w:t>, 2005–8 and 2009–1</w:t>
      </w:r>
      <w:bookmarkEnd w:id="66"/>
      <w:bookmarkEnd w:id="67"/>
      <w:r>
        <w:t>3</w:t>
      </w:r>
      <w:bookmarkEnd w:id="68"/>
      <w:bookmarkEnd w:id="69"/>
      <w:bookmarkEnd w:id="70"/>
      <w:bookmarkEnd w:id="71"/>
    </w:p>
    <w:p w14:paraId="77FDBD08" w14:textId="77777777" w:rsidR="00173EBE" w:rsidRPr="00173EBE" w:rsidRDefault="00173EBE" w:rsidP="00173EBE">
      <w:pPr>
        <w:pStyle w:val="BodyText"/>
        <w:spacing w:before="39" w:after="0" w:line="240" w:lineRule="auto"/>
        <w:jc w:val="left"/>
      </w:pPr>
      <w:r>
        <w:rPr>
          <w:noProof/>
          <w:lang w:eastAsia="en-GB"/>
        </w:rPr>
        <w:drawing>
          <wp:inline distT="0" distB="0" distL="0" distR="0" wp14:anchorId="77FDBF7D" wp14:editId="77FDBF7E">
            <wp:extent cx="4572000" cy="22860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BA5FA0" w:rsidRPr="00C91C87" w14:paraId="77FDBD0B" w14:textId="77777777" w:rsidTr="00B96F8F">
        <w:tc>
          <w:tcPr>
            <w:tcW w:w="630" w:type="dxa"/>
            <w:tcBorders>
              <w:top w:val="nil"/>
              <w:left w:val="nil"/>
              <w:bottom w:val="nil"/>
              <w:right w:val="nil"/>
            </w:tcBorders>
            <w:shd w:val="clear" w:color="auto" w:fill="auto"/>
            <w:noWrap/>
          </w:tcPr>
          <w:p w14:paraId="77FDBD09" w14:textId="77777777" w:rsidR="00BA5FA0" w:rsidRPr="00A364CB" w:rsidRDefault="00BA5FA0" w:rsidP="00B96F8F">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77FDBD0A" w14:textId="77777777" w:rsidR="00BA5FA0" w:rsidRDefault="00BA5FA0" w:rsidP="00B96F8F">
            <w:pPr>
              <w:rPr>
                <w:rFonts w:ascii="Calibri" w:eastAsia="Times New Roman" w:hAnsi="Calibri"/>
                <w:color w:val="000000"/>
                <w:sz w:val="16"/>
                <w:szCs w:val="16"/>
                <w:lang w:eastAsia="en-GB"/>
              </w:rPr>
            </w:pPr>
          </w:p>
        </w:tc>
      </w:tr>
      <w:tr w:rsidR="00BA5FA0" w:rsidRPr="00C91C87" w14:paraId="77FDBD0E" w14:textId="77777777" w:rsidTr="00B96F8F">
        <w:tc>
          <w:tcPr>
            <w:tcW w:w="630" w:type="dxa"/>
            <w:tcBorders>
              <w:top w:val="nil"/>
              <w:left w:val="nil"/>
              <w:bottom w:val="nil"/>
              <w:right w:val="nil"/>
            </w:tcBorders>
            <w:shd w:val="clear" w:color="auto" w:fill="auto"/>
            <w:noWrap/>
          </w:tcPr>
          <w:p w14:paraId="77FDBD0C"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77FDBD0D"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BA5FA0" w:rsidRPr="00C91C87" w14:paraId="77FDBD11" w14:textId="77777777" w:rsidTr="00B96F8F">
        <w:tc>
          <w:tcPr>
            <w:tcW w:w="630" w:type="dxa"/>
            <w:tcBorders>
              <w:top w:val="nil"/>
              <w:left w:val="nil"/>
              <w:bottom w:val="nil"/>
              <w:right w:val="nil"/>
            </w:tcBorders>
            <w:shd w:val="clear" w:color="auto" w:fill="auto"/>
            <w:noWrap/>
            <w:hideMark/>
          </w:tcPr>
          <w:p w14:paraId="77FDBD0F"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77FDBD10"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BA5FA0" w:rsidRPr="00C91C87" w14:paraId="77FDBD14" w14:textId="77777777" w:rsidTr="00B96F8F">
        <w:tc>
          <w:tcPr>
            <w:tcW w:w="630" w:type="dxa"/>
            <w:tcBorders>
              <w:top w:val="nil"/>
              <w:left w:val="nil"/>
              <w:bottom w:val="nil"/>
              <w:right w:val="nil"/>
            </w:tcBorders>
            <w:shd w:val="clear" w:color="auto" w:fill="auto"/>
            <w:noWrap/>
            <w:hideMark/>
          </w:tcPr>
          <w:p w14:paraId="77FDBD12"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77FDBD13"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BA5FA0" w:rsidRPr="00C91C87" w14:paraId="77FDBD17" w14:textId="77777777" w:rsidTr="00B96F8F">
        <w:tc>
          <w:tcPr>
            <w:tcW w:w="630" w:type="dxa"/>
            <w:tcBorders>
              <w:top w:val="nil"/>
              <w:left w:val="nil"/>
              <w:bottom w:val="nil"/>
              <w:right w:val="nil"/>
            </w:tcBorders>
            <w:shd w:val="clear" w:color="auto" w:fill="auto"/>
            <w:noWrap/>
            <w:hideMark/>
          </w:tcPr>
          <w:p w14:paraId="77FDBD15"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77FDBD16"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BA5FA0" w:rsidRPr="00C91C87" w14:paraId="77FDBD1A" w14:textId="77777777" w:rsidTr="00B96F8F">
        <w:tc>
          <w:tcPr>
            <w:tcW w:w="630" w:type="dxa"/>
            <w:tcBorders>
              <w:top w:val="nil"/>
              <w:left w:val="nil"/>
              <w:bottom w:val="nil"/>
              <w:right w:val="nil"/>
            </w:tcBorders>
            <w:shd w:val="clear" w:color="auto" w:fill="auto"/>
            <w:noWrap/>
            <w:hideMark/>
          </w:tcPr>
          <w:p w14:paraId="77FDBD18"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77FDBD19"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BA5FA0" w:rsidRPr="00C91C87" w14:paraId="77FDBD1D" w14:textId="77777777" w:rsidTr="00B96F8F">
        <w:tc>
          <w:tcPr>
            <w:tcW w:w="630" w:type="dxa"/>
            <w:tcBorders>
              <w:top w:val="nil"/>
              <w:left w:val="nil"/>
              <w:bottom w:val="nil"/>
              <w:right w:val="nil"/>
            </w:tcBorders>
            <w:shd w:val="clear" w:color="auto" w:fill="auto"/>
            <w:noWrap/>
            <w:hideMark/>
          </w:tcPr>
          <w:p w14:paraId="77FDBD1B"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77FDBD1C"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BA5FA0" w:rsidRPr="00C91C87" w14:paraId="77FDBD20" w14:textId="77777777" w:rsidTr="00B96F8F">
        <w:tc>
          <w:tcPr>
            <w:tcW w:w="630" w:type="dxa"/>
            <w:tcBorders>
              <w:top w:val="nil"/>
              <w:left w:val="nil"/>
              <w:bottom w:val="nil"/>
              <w:right w:val="nil"/>
            </w:tcBorders>
            <w:shd w:val="clear" w:color="auto" w:fill="auto"/>
            <w:noWrap/>
            <w:hideMark/>
          </w:tcPr>
          <w:p w14:paraId="77FDBD1E"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77FDBD1F"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BA5FA0" w:rsidRPr="00C91C87" w14:paraId="77FDBD23" w14:textId="77777777" w:rsidTr="00B96F8F">
        <w:tc>
          <w:tcPr>
            <w:tcW w:w="630" w:type="dxa"/>
            <w:tcBorders>
              <w:top w:val="nil"/>
              <w:left w:val="nil"/>
              <w:bottom w:val="nil"/>
              <w:right w:val="nil"/>
            </w:tcBorders>
            <w:shd w:val="clear" w:color="auto" w:fill="auto"/>
            <w:noWrap/>
            <w:hideMark/>
          </w:tcPr>
          <w:p w14:paraId="77FDBD21"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77FDBD22"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BA5FA0" w:rsidRPr="00C91C87" w14:paraId="77FDBD26" w14:textId="77777777" w:rsidTr="00B96F8F">
        <w:tc>
          <w:tcPr>
            <w:tcW w:w="630" w:type="dxa"/>
            <w:tcBorders>
              <w:top w:val="nil"/>
              <w:left w:val="nil"/>
              <w:bottom w:val="nil"/>
              <w:right w:val="nil"/>
            </w:tcBorders>
            <w:shd w:val="clear" w:color="auto" w:fill="auto"/>
            <w:noWrap/>
            <w:hideMark/>
          </w:tcPr>
          <w:p w14:paraId="77FDBD24"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77FDBD25"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BA5FA0" w:rsidRPr="00C91C87" w14:paraId="77FDBD29" w14:textId="77777777" w:rsidTr="00B96F8F">
        <w:tc>
          <w:tcPr>
            <w:tcW w:w="630" w:type="dxa"/>
            <w:tcBorders>
              <w:top w:val="nil"/>
              <w:left w:val="nil"/>
              <w:bottom w:val="nil"/>
              <w:right w:val="nil"/>
            </w:tcBorders>
            <w:shd w:val="clear" w:color="auto" w:fill="auto"/>
            <w:noWrap/>
            <w:hideMark/>
          </w:tcPr>
          <w:p w14:paraId="77FDBD27"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77FDBD28"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BA5FA0" w:rsidRPr="00C91C87" w14:paraId="77FDBD2C" w14:textId="77777777" w:rsidTr="00B96F8F">
        <w:tc>
          <w:tcPr>
            <w:tcW w:w="630" w:type="dxa"/>
            <w:tcBorders>
              <w:top w:val="nil"/>
              <w:left w:val="nil"/>
              <w:bottom w:val="nil"/>
              <w:right w:val="nil"/>
            </w:tcBorders>
            <w:shd w:val="clear" w:color="auto" w:fill="auto"/>
            <w:noWrap/>
            <w:hideMark/>
          </w:tcPr>
          <w:p w14:paraId="77FDBD2A"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77FDBD2B"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BA5FA0" w:rsidRPr="00C91C87" w14:paraId="77FDBD2F" w14:textId="77777777" w:rsidTr="00B96F8F">
        <w:tc>
          <w:tcPr>
            <w:tcW w:w="630" w:type="dxa"/>
            <w:tcBorders>
              <w:top w:val="nil"/>
              <w:left w:val="nil"/>
              <w:bottom w:val="nil"/>
              <w:right w:val="nil"/>
            </w:tcBorders>
            <w:shd w:val="clear" w:color="auto" w:fill="auto"/>
            <w:noWrap/>
            <w:hideMark/>
          </w:tcPr>
          <w:p w14:paraId="77FDBD2D"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77FDBD2E"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BA5FA0" w:rsidRPr="00C91C87" w14:paraId="77FDBD32" w14:textId="77777777" w:rsidTr="00B96F8F">
        <w:tc>
          <w:tcPr>
            <w:tcW w:w="630" w:type="dxa"/>
            <w:tcBorders>
              <w:top w:val="nil"/>
              <w:left w:val="nil"/>
              <w:bottom w:val="nil"/>
              <w:right w:val="nil"/>
            </w:tcBorders>
            <w:shd w:val="clear" w:color="auto" w:fill="auto"/>
            <w:noWrap/>
            <w:hideMark/>
          </w:tcPr>
          <w:p w14:paraId="77FDBD30"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77FDBD31"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BA5FA0" w:rsidRPr="00C91C87" w14:paraId="77FDBD35" w14:textId="77777777" w:rsidTr="00B96F8F">
        <w:tc>
          <w:tcPr>
            <w:tcW w:w="630" w:type="dxa"/>
            <w:tcBorders>
              <w:top w:val="nil"/>
              <w:left w:val="nil"/>
              <w:bottom w:val="nil"/>
              <w:right w:val="nil"/>
            </w:tcBorders>
            <w:shd w:val="clear" w:color="auto" w:fill="auto"/>
            <w:noWrap/>
            <w:hideMark/>
          </w:tcPr>
          <w:p w14:paraId="77FDBD33"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77FDBD34"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BA5FA0" w:rsidRPr="00C91C87" w14:paraId="77FDBD38" w14:textId="77777777" w:rsidTr="00B96F8F">
        <w:tc>
          <w:tcPr>
            <w:tcW w:w="630" w:type="dxa"/>
            <w:tcBorders>
              <w:top w:val="nil"/>
              <w:left w:val="nil"/>
              <w:bottom w:val="nil"/>
              <w:right w:val="nil"/>
            </w:tcBorders>
            <w:shd w:val="clear" w:color="auto" w:fill="auto"/>
            <w:noWrap/>
            <w:hideMark/>
          </w:tcPr>
          <w:p w14:paraId="77FDBD36"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77FDBD37"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BA5FA0" w:rsidRPr="00C91C87" w14:paraId="77FDBD3B" w14:textId="77777777" w:rsidTr="00B96F8F">
        <w:tc>
          <w:tcPr>
            <w:tcW w:w="630" w:type="dxa"/>
            <w:tcBorders>
              <w:top w:val="nil"/>
              <w:left w:val="nil"/>
              <w:bottom w:val="nil"/>
              <w:right w:val="nil"/>
            </w:tcBorders>
            <w:shd w:val="clear" w:color="auto" w:fill="auto"/>
            <w:noWrap/>
            <w:hideMark/>
          </w:tcPr>
          <w:p w14:paraId="77FDBD39"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77FDBD3A"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BA5FA0" w:rsidRPr="00C91C87" w14:paraId="77FDBD3E" w14:textId="77777777" w:rsidTr="00B96F8F">
        <w:tc>
          <w:tcPr>
            <w:tcW w:w="630" w:type="dxa"/>
            <w:tcBorders>
              <w:top w:val="nil"/>
              <w:left w:val="nil"/>
              <w:bottom w:val="nil"/>
              <w:right w:val="nil"/>
            </w:tcBorders>
            <w:shd w:val="clear" w:color="auto" w:fill="auto"/>
            <w:noWrap/>
            <w:hideMark/>
          </w:tcPr>
          <w:p w14:paraId="77FDBD3C"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77FDBD3D"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BA5FA0" w:rsidRPr="00C91C87" w14:paraId="77FDBD41" w14:textId="77777777" w:rsidTr="00B96F8F">
        <w:tc>
          <w:tcPr>
            <w:tcW w:w="630" w:type="dxa"/>
            <w:tcBorders>
              <w:top w:val="nil"/>
              <w:left w:val="nil"/>
              <w:bottom w:val="nil"/>
              <w:right w:val="nil"/>
            </w:tcBorders>
            <w:shd w:val="clear" w:color="auto" w:fill="auto"/>
            <w:noWrap/>
            <w:hideMark/>
          </w:tcPr>
          <w:p w14:paraId="77FDBD3F"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77FDBD40"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BA5FA0" w:rsidRPr="00C91C87" w14:paraId="77FDBD44" w14:textId="77777777" w:rsidTr="00B96F8F">
        <w:tc>
          <w:tcPr>
            <w:tcW w:w="630" w:type="dxa"/>
            <w:tcBorders>
              <w:top w:val="nil"/>
              <w:left w:val="nil"/>
              <w:bottom w:val="nil"/>
              <w:right w:val="nil"/>
            </w:tcBorders>
            <w:shd w:val="clear" w:color="auto" w:fill="auto"/>
            <w:noWrap/>
            <w:hideMark/>
          </w:tcPr>
          <w:p w14:paraId="77FDBD42"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77FDBD43"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BA5FA0" w:rsidRPr="00C91C87" w14:paraId="77FDBD47" w14:textId="77777777" w:rsidTr="00B96F8F">
        <w:tc>
          <w:tcPr>
            <w:tcW w:w="630" w:type="dxa"/>
            <w:tcBorders>
              <w:top w:val="nil"/>
              <w:left w:val="nil"/>
              <w:bottom w:val="nil"/>
              <w:right w:val="nil"/>
            </w:tcBorders>
            <w:shd w:val="clear" w:color="auto" w:fill="auto"/>
            <w:noWrap/>
            <w:hideMark/>
          </w:tcPr>
          <w:p w14:paraId="77FDBD45"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77FDBD46"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BA5FA0" w:rsidRPr="00C91C87" w14:paraId="77FDBD4A" w14:textId="77777777" w:rsidTr="00B96F8F">
        <w:tc>
          <w:tcPr>
            <w:tcW w:w="630" w:type="dxa"/>
            <w:tcBorders>
              <w:top w:val="nil"/>
              <w:left w:val="nil"/>
              <w:bottom w:val="nil"/>
              <w:right w:val="nil"/>
            </w:tcBorders>
            <w:shd w:val="clear" w:color="auto" w:fill="auto"/>
            <w:noWrap/>
            <w:hideMark/>
          </w:tcPr>
          <w:p w14:paraId="77FDBD48"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77FDBD49"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BA5FA0" w:rsidRPr="00C91C87" w14:paraId="77FDBD4D" w14:textId="77777777" w:rsidTr="00B96F8F">
        <w:tc>
          <w:tcPr>
            <w:tcW w:w="630" w:type="dxa"/>
            <w:tcBorders>
              <w:top w:val="nil"/>
              <w:left w:val="nil"/>
              <w:bottom w:val="nil"/>
              <w:right w:val="nil"/>
            </w:tcBorders>
            <w:shd w:val="clear" w:color="auto" w:fill="auto"/>
            <w:noWrap/>
            <w:hideMark/>
          </w:tcPr>
          <w:p w14:paraId="77FDBD4B"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77FDBD4C"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77FDBD4E" w14:textId="77777777" w:rsidR="00BA5FA0" w:rsidRDefault="00BA5FA0" w:rsidP="00BA5FA0">
      <w:pPr>
        <w:pStyle w:val="Source"/>
      </w:pPr>
      <w:r>
        <w:t xml:space="preserve">Source: Authors’ calculation using data from the </w:t>
      </w:r>
      <w:r w:rsidR="00B96C41">
        <w:t xml:space="preserve">UN’s </w:t>
      </w:r>
      <w:proofErr w:type="spellStart"/>
      <w:r w:rsidR="00B96C41">
        <w:t>COMTRADE</w:t>
      </w:r>
      <w:proofErr w:type="spellEnd"/>
      <w:r w:rsidR="00B96C41">
        <w:t xml:space="preserve"> database</w:t>
      </w:r>
      <w:r>
        <w:t>.</w:t>
      </w:r>
    </w:p>
    <w:p w14:paraId="77FDBD4F" w14:textId="77777777" w:rsidR="00BA5FA0" w:rsidRPr="00092E42" w:rsidRDefault="00BA5FA0" w:rsidP="00BA5FA0"/>
    <w:p w14:paraId="77FDBD50" w14:textId="77777777" w:rsidR="00BA5FA0" w:rsidRDefault="00BA5FA0" w:rsidP="00BA5FA0">
      <w:pPr>
        <w:rPr>
          <w:rFonts w:ascii="Arial" w:hAnsi="Arial"/>
          <w:b/>
          <w:iCs/>
          <w:color w:val="006C67" w:themeColor="accent1"/>
          <w:sz w:val="24"/>
          <w:szCs w:val="18"/>
        </w:rPr>
      </w:pPr>
      <w:r>
        <w:br w:type="page"/>
      </w:r>
    </w:p>
    <w:p w14:paraId="77FDBD51" w14:textId="77777777" w:rsidR="00BA5FA0" w:rsidRDefault="00BA5FA0" w:rsidP="00BA5FA0">
      <w:pPr>
        <w:pStyle w:val="FigureHeading"/>
        <w:spacing w:before="0"/>
      </w:pPr>
      <w:bookmarkStart w:id="72" w:name="_Toc405451001"/>
      <w:bookmarkStart w:id="73" w:name="_Toc405451565"/>
      <w:bookmarkStart w:id="74" w:name="_Toc405473674"/>
      <w:bookmarkStart w:id="75" w:name="_Toc406411729"/>
      <w:bookmarkStart w:id="76" w:name="_Toc406585305"/>
      <w:bookmarkStart w:id="77" w:name="_Toc428435142"/>
      <w:r>
        <w:t xml:space="preserve">Export visualisation, </w:t>
      </w:r>
      <w:r w:rsidR="00EA21D5">
        <w:t>Tanzania</w:t>
      </w:r>
      <w:r>
        <w:t>, 2005 and 201</w:t>
      </w:r>
      <w:bookmarkEnd w:id="72"/>
      <w:bookmarkEnd w:id="73"/>
      <w:r>
        <w:t>2</w:t>
      </w:r>
      <w:bookmarkEnd w:id="74"/>
      <w:bookmarkEnd w:id="75"/>
      <w:bookmarkEnd w:id="76"/>
      <w:bookmarkEnd w:id="77"/>
    </w:p>
    <w:tbl>
      <w:tblPr>
        <w:tblStyle w:val="TableGrid"/>
        <w:tblW w:w="42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0"/>
      </w:tblGrid>
      <w:tr w:rsidR="00BA5FA0" w:rsidRPr="00E81E7D" w14:paraId="77FDBD53" w14:textId="77777777" w:rsidTr="00B96F8F">
        <w:trPr>
          <w:trHeight w:hRule="exact" w:val="259"/>
        </w:trPr>
        <w:tc>
          <w:tcPr>
            <w:tcW w:w="7560" w:type="dxa"/>
            <w:vAlign w:val="bottom"/>
          </w:tcPr>
          <w:p w14:paraId="77FDBD52" w14:textId="77777777" w:rsidR="00BA5FA0" w:rsidRPr="00E81E7D" w:rsidRDefault="00BA5FA0" w:rsidP="00B96F8F">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BA5FA0" w14:paraId="77FDBD55" w14:textId="77777777" w:rsidTr="00B96F8F">
        <w:trPr>
          <w:trHeight w:hRule="exact" w:val="5400"/>
        </w:trPr>
        <w:tc>
          <w:tcPr>
            <w:tcW w:w="7560" w:type="dxa"/>
          </w:tcPr>
          <w:p w14:paraId="77FDBD54" w14:textId="77777777" w:rsidR="00BA5FA0" w:rsidRDefault="00C51D05" w:rsidP="00B96F8F">
            <w:r>
              <w:rPr>
                <w:noProof/>
                <w:lang w:eastAsia="en-GB"/>
              </w:rPr>
              <w:drawing>
                <wp:inline distT="0" distB="0" distL="0" distR="0" wp14:anchorId="77FDBF7F" wp14:editId="77FDBF80">
                  <wp:extent cx="4745736" cy="34107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26867" t="30256" r="15007" b="16068"/>
                          <a:stretch/>
                        </pic:blipFill>
                        <pic:spPr bwMode="auto">
                          <a:xfrm>
                            <a:off x="0" y="0"/>
                            <a:ext cx="4745736" cy="3410712"/>
                          </a:xfrm>
                          <a:prstGeom prst="rect">
                            <a:avLst/>
                          </a:prstGeom>
                          <a:ln>
                            <a:noFill/>
                          </a:ln>
                          <a:extLst>
                            <a:ext uri="{53640926-AAD7-44D8-BBD7-CCE9431645EC}">
                              <a14:shadowObscured xmlns:a14="http://schemas.microsoft.com/office/drawing/2010/main"/>
                            </a:ext>
                          </a:extLst>
                        </pic:spPr>
                      </pic:pic>
                    </a:graphicData>
                  </a:graphic>
                </wp:inline>
              </w:drawing>
            </w:r>
          </w:p>
        </w:tc>
      </w:tr>
      <w:tr w:rsidR="00BA5FA0" w14:paraId="77FDBD57" w14:textId="77777777" w:rsidTr="00B96F8F">
        <w:trPr>
          <w:trHeight w:hRule="exact" w:val="259"/>
        </w:trPr>
        <w:tc>
          <w:tcPr>
            <w:tcW w:w="7560" w:type="dxa"/>
            <w:vAlign w:val="bottom"/>
          </w:tcPr>
          <w:p w14:paraId="77FDBD56" w14:textId="77777777" w:rsidR="00BA5FA0" w:rsidRDefault="00BA5FA0" w:rsidP="00B96F8F">
            <w:pPr>
              <w:jc w:val="center"/>
              <w:rPr>
                <w:noProof/>
                <w:lang w:eastAsia="en-GB"/>
              </w:rPr>
            </w:pPr>
            <w:r w:rsidRPr="00195324">
              <w:rPr>
                <w:rFonts w:asciiTheme="majorHAnsi" w:hAnsiTheme="majorHAnsi" w:cstheme="majorHAnsi"/>
                <w:b/>
                <w:noProof/>
                <w:sz w:val="16"/>
                <w:szCs w:val="16"/>
                <w:lang w:eastAsia="en-GB"/>
              </w:rPr>
              <w:t>201</w:t>
            </w:r>
            <w:r>
              <w:rPr>
                <w:rFonts w:asciiTheme="majorHAnsi" w:hAnsiTheme="majorHAnsi" w:cstheme="majorHAnsi"/>
                <w:b/>
                <w:noProof/>
                <w:sz w:val="16"/>
                <w:szCs w:val="16"/>
                <w:lang w:eastAsia="en-GB"/>
              </w:rPr>
              <w:t>2</w:t>
            </w:r>
          </w:p>
        </w:tc>
      </w:tr>
      <w:tr w:rsidR="00BA5FA0" w14:paraId="77FDBD59" w14:textId="77777777" w:rsidTr="00B96F8F">
        <w:trPr>
          <w:trHeight w:hRule="exact" w:val="5400"/>
        </w:trPr>
        <w:tc>
          <w:tcPr>
            <w:tcW w:w="7560" w:type="dxa"/>
          </w:tcPr>
          <w:p w14:paraId="77FDBD58" w14:textId="77777777" w:rsidR="00BA5FA0" w:rsidRDefault="00C51D05" w:rsidP="00B96F8F">
            <w:pPr>
              <w:rPr>
                <w:noProof/>
                <w:lang w:eastAsia="en-GB"/>
              </w:rPr>
            </w:pPr>
            <w:r>
              <w:rPr>
                <w:noProof/>
                <w:lang w:eastAsia="en-GB"/>
              </w:rPr>
              <w:drawing>
                <wp:inline distT="0" distB="0" distL="0" distR="0" wp14:anchorId="77FDBF81" wp14:editId="77FDBF82">
                  <wp:extent cx="4727448" cy="339242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27134" t="30427" r="14875" b="16068"/>
                          <a:stretch/>
                        </pic:blipFill>
                        <pic:spPr bwMode="auto">
                          <a:xfrm>
                            <a:off x="0" y="0"/>
                            <a:ext cx="4727448" cy="33924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FDBD5A" w14:textId="77777777" w:rsidR="00BA5FA0" w:rsidRPr="00333F79" w:rsidRDefault="00BA5FA0" w:rsidP="00BA5FA0">
      <w:pPr>
        <w:pStyle w:val="Source"/>
        <w:rPr>
          <w:lang w:val="en" w:eastAsia="en-GB"/>
        </w:rPr>
      </w:pPr>
      <w:r>
        <w:t>Source: ‘</w:t>
      </w:r>
      <w:r w:rsidRPr="00333F79">
        <w:rPr>
          <w:lang w:val="en" w:eastAsia="en-GB"/>
        </w:rPr>
        <w:t>The Atlas of Economic Complexity</w:t>
      </w:r>
      <w:r>
        <w:rPr>
          <w:lang w:val="en" w:eastAsia="en-GB"/>
        </w:rPr>
        <w:t>’</w:t>
      </w:r>
      <w:r w:rsidRPr="00333F79">
        <w:rPr>
          <w:lang w:val="en" w:eastAsia="en-GB"/>
        </w:rPr>
        <w:t xml:space="preserve">, Center for International Development at Harvard University </w:t>
      </w:r>
      <w:r>
        <w:rPr>
          <w:lang w:val="en" w:eastAsia="en-GB"/>
        </w:rPr>
        <w:t>(</w:t>
      </w:r>
      <w:hyperlink r:id="rId84" w:history="1">
        <w:r w:rsidRPr="00333F79">
          <w:rPr>
            <w:rStyle w:val="Hyperlink"/>
            <w:lang w:val="en" w:eastAsia="en-GB"/>
          </w:rPr>
          <w:t>http://www.atlas.cid.harvard.edu</w:t>
        </w:r>
      </w:hyperlink>
      <w:r>
        <w:rPr>
          <w:lang w:val="en" w:eastAsia="en-GB"/>
        </w:rPr>
        <w:t>).</w:t>
      </w:r>
    </w:p>
    <w:p w14:paraId="77FDBD5B" w14:textId="77777777" w:rsidR="00BA5FA0" w:rsidRDefault="00BA5FA0" w:rsidP="00BA5FA0">
      <w:pPr>
        <w:rPr>
          <w:rFonts w:ascii="Arial" w:hAnsi="Arial"/>
          <w:b/>
          <w:color w:val="006C67" w:themeColor="accent1"/>
          <w:sz w:val="24"/>
        </w:rPr>
      </w:pPr>
      <w:bookmarkStart w:id="78" w:name="_Toc405451002"/>
      <w:bookmarkStart w:id="79" w:name="_Toc405451566"/>
      <w:r>
        <w:br w:type="page"/>
      </w:r>
    </w:p>
    <w:p w14:paraId="77FDBD5C" w14:textId="77777777" w:rsidR="00BA5FA0" w:rsidRDefault="00BA5FA0" w:rsidP="00BA5FA0">
      <w:pPr>
        <w:pStyle w:val="FigureHeading"/>
        <w:spacing w:before="0"/>
      </w:pPr>
      <w:bookmarkStart w:id="80" w:name="_Toc405451003"/>
      <w:bookmarkStart w:id="81" w:name="_Toc405451567"/>
      <w:bookmarkStart w:id="82" w:name="_Toc405473676"/>
      <w:bookmarkStart w:id="83" w:name="_Toc406411731"/>
      <w:bookmarkStart w:id="84" w:name="_Toc406585307"/>
      <w:bookmarkStart w:id="85" w:name="_Toc428435143"/>
      <w:bookmarkEnd w:id="78"/>
      <w:bookmarkEnd w:id="79"/>
      <w:r>
        <w:t xml:space="preserve">Top export products, </w:t>
      </w:r>
      <w:r w:rsidR="00EA21D5">
        <w:t>Tanzania</w:t>
      </w:r>
      <w:r>
        <w:t xml:space="preserve"> (average 2011–13)</w:t>
      </w:r>
      <w:bookmarkEnd w:id="80"/>
      <w:bookmarkEnd w:id="81"/>
      <w:bookmarkEnd w:id="82"/>
      <w:bookmarkEnd w:id="83"/>
      <w:bookmarkEnd w:id="84"/>
      <w:bookmarkEnd w:id="85"/>
    </w:p>
    <w:p w14:paraId="77FDBD5D" w14:textId="77777777" w:rsidR="006B1675" w:rsidRPr="006B1675" w:rsidRDefault="006B1675" w:rsidP="006B1675">
      <w:pPr>
        <w:pStyle w:val="BodyText"/>
      </w:pPr>
      <w:r>
        <w:rPr>
          <w:noProof/>
          <w:lang w:eastAsia="en-GB"/>
        </w:rPr>
        <w:drawing>
          <wp:inline distT="0" distB="0" distL="0" distR="0" wp14:anchorId="77FDBF83" wp14:editId="77FDBF84">
            <wp:extent cx="4754880" cy="2383496"/>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5">
                      <a:extLst>
                        <a:ext uri="{28A0092B-C50C-407E-A947-70E740481C1C}">
                          <a14:useLocalDpi xmlns:a14="http://schemas.microsoft.com/office/drawing/2010/main" val="0"/>
                        </a:ext>
                      </a:extLst>
                    </a:blip>
                    <a:srcRect l="11609" t="7401"/>
                    <a:stretch/>
                  </pic:blipFill>
                  <pic:spPr bwMode="auto">
                    <a:xfrm>
                      <a:off x="0" y="0"/>
                      <a:ext cx="4763635" cy="2387885"/>
                    </a:xfrm>
                    <a:prstGeom prst="rect">
                      <a:avLst/>
                    </a:prstGeom>
                    <a:noFill/>
                    <a:ln>
                      <a:noFill/>
                    </a:ln>
                    <a:extLst>
                      <a:ext uri="{53640926-AAD7-44D8-BBD7-CCE9431645EC}">
                        <a14:shadowObscured xmlns:a14="http://schemas.microsoft.com/office/drawing/2010/main"/>
                      </a:ext>
                    </a:extLst>
                  </pic:spPr>
                </pic:pic>
              </a:graphicData>
            </a:graphic>
          </wp:inline>
        </w:drawing>
      </w:r>
    </w:p>
    <w:p w14:paraId="77FDBD5E" w14:textId="77777777" w:rsidR="00BA5FA0" w:rsidRDefault="00BA5FA0" w:rsidP="00BA5FA0">
      <w:pPr>
        <w:pStyle w:val="Source"/>
      </w:pPr>
      <w:r>
        <w:t>Note: At Harmonised System 6-digit level.</w:t>
      </w:r>
      <w:r>
        <w:br/>
        <w:t xml:space="preserve">Source: Authors’ calculations using data from the </w:t>
      </w:r>
      <w:r w:rsidR="00B96C41">
        <w:t xml:space="preserve">UN’s </w:t>
      </w:r>
      <w:proofErr w:type="spellStart"/>
      <w:r w:rsidR="00B96C41">
        <w:t>COMTRADE</w:t>
      </w:r>
      <w:proofErr w:type="spellEnd"/>
      <w:r w:rsidR="00B96C41">
        <w:t xml:space="preserve"> database</w:t>
      </w:r>
      <w:r>
        <w:t>.</w:t>
      </w:r>
    </w:p>
    <w:p w14:paraId="77FDBD5F" w14:textId="77777777" w:rsidR="00AE4EA7" w:rsidRDefault="00AE4EA7" w:rsidP="00BA5FA0">
      <w:pPr>
        <w:pStyle w:val="Source"/>
      </w:pPr>
    </w:p>
    <w:p w14:paraId="77FDBD60" w14:textId="77777777" w:rsidR="00BA5FA0" w:rsidRDefault="00BA5FA0" w:rsidP="00BA5FA0">
      <w:pPr>
        <w:pStyle w:val="FigureHeading"/>
        <w:spacing w:before="0"/>
      </w:pPr>
      <w:bookmarkStart w:id="86" w:name="_Toc405451004"/>
      <w:bookmarkStart w:id="87" w:name="_Toc405451568"/>
      <w:bookmarkStart w:id="88" w:name="_Toc405473677"/>
      <w:bookmarkStart w:id="89" w:name="_Toc406411732"/>
      <w:bookmarkStart w:id="90" w:name="_Toc406585308"/>
      <w:bookmarkStart w:id="91" w:name="_Toc428435144"/>
      <w:r>
        <w:t xml:space="preserve">Top export markets, </w:t>
      </w:r>
      <w:r w:rsidR="00EA21D5">
        <w:t>Tanzania</w:t>
      </w:r>
      <w:r>
        <w:t xml:space="preserve"> (average 2011–13)</w:t>
      </w:r>
      <w:bookmarkEnd w:id="86"/>
      <w:bookmarkEnd w:id="87"/>
      <w:bookmarkEnd w:id="88"/>
      <w:bookmarkEnd w:id="89"/>
      <w:bookmarkEnd w:id="90"/>
      <w:bookmarkEnd w:id="91"/>
    </w:p>
    <w:p w14:paraId="77FDBD61" w14:textId="77777777" w:rsidR="006B1675" w:rsidRPr="006B1675" w:rsidRDefault="006B1675" w:rsidP="00232565">
      <w:pPr>
        <w:pStyle w:val="BodyText"/>
        <w:spacing w:before="39" w:after="0" w:line="240" w:lineRule="auto"/>
        <w:jc w:val="left"/>
      </w:pPr>
      <w:r>
        <w:rPr>
          <w:noProof/>
          <w:lang w:eastAsia="en-GB"/>
        </w:rPr>
        <w:drawing>
          <wp:inline distT="0" distB="0" distL="0" distR="0" wp14:anchorId="77FDBF85" wp14:editId="77FDBF86">
            <wp:extent cx="4818730" cy="2430780"/>
            <wp:effectExtent l="0" t="0" r="127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6">
                      <a:extLst>
                        <a:ext uri="{28A0092B-C50C-407E-A947-70E740481C1C}">
                          <a14:useLocalDpi xmlns:a14="http://schemas.microsoft.com/office/drawing/2010/main" val="0"/>
                        </a:ext>
                      </a:extLst>
                    </a:blip>
                    <a:srcRect l="10476" t="5621"/>
                    <a:stretch/>
                  </pic:blipFill>
                  <pic:spPr bwMode="auto">
                    <a:xfrm>
                      <a:off x="0" y="0"/>
                      <a:ext cx="4824670" cy="2433777"/>
                    </a:xfrm>
                    <a:prstGeom prst="rect">
                      <a:avLst/>
                    </a:prstGeom>
                    <a:noFill/>
                    <a:ln>
                      <a:noFill/>
                    </a:ln>
                    <a:extLst>
                      <a:ext uri="{53640926-AAD7-44D8-BBD7-CCE9431645EC}">
                        <a14:shadowObscured xmlns:a14="http://schemas.microsoft.com/office/drawing/2010/main"/>
                      </a:ext>
                    </a:extLst>
                  </pic:spPr>
                </pic:pic>
              </a:graphicData>
            </a:graphic>
          </wp:inline>
        </w:drawing>
      </w:r>
    </w:p>
    <w:p w14:paraId="77FDBD62" w14:textId="77777777" w:rsidR="00BA5FA0" w:rsidRDefault="00BA5FA0" w:rsidP="00BA5FA0">
      <w:pPr>
        <w:pStyle w:val="Source"/>
        <w:rPr>
          <w:b/>
          <w:color w:val="006C67" w:themeColor="accent1"/>
          <w:sz w:val="24"/>
        </w:rPr>
      </w:pPr>
      <w:r>
        <w:t xml:space="preserve">Source: Authors’ calculations using data from the </w:t>
      </w:r>
      <w:r w:rsidR="00B96C41">
        <w:t xml:space="preserve">UN’s </w:t>
      </w:r>
      <w:proofErr w:type="spellStart"/>
      <w:r w:rsidR="00B96C41">
        <w:t>COMTRADE</w:t>
      </w:r>
      <w:proofErr w:type="spellEnd"/>
      <w:r w:rsidR="00B96C41">
        <w:t xml:space="preserve"> database</w:t>
      </w:r>
      <w:r>
        <w:t>.</w:t>
      </w:r>
      <w:bookmarkStart w:id="92" w:name="_Toc405451005"/>
      <w:bookmarkStart w:id="93" w:name="_Toc405451569"/>
      <w:r>
        <w:br w:type="page"/>
      </w:r>
    </w:p>
    <w:p w14:paraId="77FDBD63" w14:textId="77777777" w:rsidR="00BA5FA0" w:rsidRDefault="00BA5FA0" w:rsidP="00BA5FA0">
      <w:pPr>
        <w:pStyle w:val="FigureHeading"/>
        <w:spacing w:before="0"/>
      </w:pPr>
      <w:bookmarkStart w:id="94" w:name="_Toc405473678"/>
      <w:bookmarkStart w:id="95" w:name="_Toc406411733"/>
      <w:bookmarkStart w:id="96" w:name="_Toc406585309"/>
      <w:bookmarkStart w:id="97" w:name="_Toc428435145"/>
      <w:r>
        <w:t xml:space="preserve">Imports by broad HS Section, </w:t>
      </w:r>
      <w:r w:rsidR="00EA21D5">
        <w:t>Tanzania</w:t>
      </w:r>
      <w:r>
        <w:t>, 2005–8 and 2009–1</w:t>
      </w:r>
      <w:bookmarkEnd w:id="92"/>
      <w:bookmarkEnd w:id="93"/>
      <w:r>
        <w:t>3</w:t>
      </w:r>
      <w:bookmarkEnd w:id="94"/>
      <w:bookmarkEnd w:id="95"/>
      <w:bookmarkEnd w:id="96"/>
      <w:bookmarkEnd w:id="97"/>
    </w:p>
    <w:p w14:paraId="77FDBD64" w14:textId="77777777" w:rsidR="006B1675" w:rsidRPr="006B1675" w:rsidRDefault="006B1675" w:rsidP="00232565">
      <w:pPr>
        <w:pStyle w:val="BodyText"/>
        <w:spacing w:before="39" w:after="0" w:line="240" w:lineRule="auto"/>
        <w:jc w:val="left"/>
      </w:pPr>
      <w:r>
        <w:rPr>
          <w:noProof/>
          <w:lang w:eastAsia="en-GB"/>
        </w:rPr>
        <w:drawing>
          <wp:inline distT="0" distB="0" distL="0" distR="0" wp14:anchorId="77FDBF87" wp14:editId="77FDBF88">
            <wp:extent cx="5486400" cy="25146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77FDBD65" w14:textId="77777777" w:rsidR="00BA5FA0" w:rsidRDefault="006B1675" w:rsidP="00232565">
      <w:pPr>
        <w:pStyle w:val="BodyText"/>
        <w:spacing w:before="39" w:after="0" w:line="240" w:lineRule="auto"/>
        <w:jc w:val="left"/>
      </w:pPr>
      <w:r>
        <w:rPr>
          <w:noProof/>
          <w:lang w:eastAsia="en-GB"/>
        </w:rPr>
        <w:drawing>
          <wp:inline distT="0" distB="0" distL="0" distR="0" wp14:anchorId="77FDBF89" wp14:editId="77FDBF8A">
            <wp:extent cx="5486400" cy="25146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BA5FA0" w:rsidRPr="00C91C87" w14:paraId="77FDBD68" w14:textId="77777777" w:rsidTr="00B96F8F">
        <w:tc>
          <w:tcPr>
            <w:tcW w:w="630" w:type="dxa"/>
            <w:tcBorders>
              <w:top w:val="nil"/>
              <w:left w:val="nil"/>
              <w:bottom w:val="nil"/>
              <w:right w:val="nil"/>
            </w:tcBorders>
            <w:shd w:val="clear" w:color="auto" w:fill="auto"/>
            <w:noWrap/>
          </w:tcPr>
          <w:p w14:paraId="77FDBD66" w14:textId="77777777" w:rsidR="00BA5FA0" w:rsidRPr="00A364CB" w:rsidRDefault="00BA5FA0" w:rsidP="00B96F8F">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77FDBD67" w14:textId="77777777" w:rsidR="00BA5FA0" w:rsidRDefault="00BA5FA0" w:rsidP="00B96F8F">
            <w:pPr>
              <w:rPr>
                <w:rFonts w:ascii="Calibri" w:eastAsia="Times New Roman" w:hAnsi="Calibri"/>
                <w:color w:val="000000"/>
                <w:sz w:val="16"/>
                <w:szCs w:val="16"/>
                <w:lang w:eastAsia="en-GB"/>
              </w:rPr>
            </w:pPr>
          </w:p>
        </w:tc>
      </w:tr>
      <w:tr w:rsidR="00BA5FA0" w:rsidRPr="00C91C87" w14:paraId="77FDBD6B" w14:textId="77777777" w:rsidTr="00B96F8F">
        <w:tc>
          <w:tcPr>
            <w:tcW w:w="630" w:type="dxa"/>
            <w:tcBorders>
              <w:top w:val="nil"/>
              <w:left w:val="nil"/>
              <w:bottom w:val="nil"/>
              <w:right w:val="nil"/>
            </w:tcBorders>
            <w:shd w:val="clear" w:color="auto" w:fill="auto"/>
            <w:noWrap/>
          </w:tcPr>
          <w:p w14:paraId="77FDBD69"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77FDBD6A"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BA5FA0" w:rsidRPr="00C91C87" w14:paraId="77FDBD6E" w14:textId="77777777" w:rsidTr="00B96F8F">
        <w:tc>
          <w:tcPr>
            <w:tcW w:w="630" w:type="dxa"/>
            <w:tcBorders>
              <w:top w:val="nil"/>
              <w:left w:val="nil"/>
              <w:bottom w:val="nil"/>
              <w:right w:val="nil"/>
            </w:tcBorders>
            <w:shd w:val="clear" w:color="auto" w:fill="auto"/>
            <w:noWrap/>
            <w:hideMark/>
          </w:tcPr>
          <w:p w14:paraId="77FDBD6C"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77FDBD6D"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BA5FA0" w:rsidRPr="00C91C87" w14:paraId="77FDBD71" w14:textId="77777777" w:rsidTr="00B96F8F">
        <w:tc>
          <w:tcPr>
            <w:tcW w:w="630" w:type="dxa"/>
            <w:tcBorders>
              <w:top w:val="nil"/>
              <w:left w:val="nil"/>
              <w:bottom w:val="nil"/>
              <w:right w:val="nil"/>
            </w:tcBorders>
            <w:shd w:val="clear" w:color="auto" w:fill="auto"/>
            <w:noWrap/>
            <w:hideMark/>
          </w:tcPr>
          <w:p w14:paraId="77FDBD6F"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77FDBD70"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BA5FA0" w:rsidRPr="00C91C87" w14:paraId="77FDBD74" w14:textId="77777777" w:rsidTr="00B96F8F">
        <w:tc>
          <w:tcPr>
            <w:tcW w:w="630" w:type="dxa"/>
            <w:tcBorders>
              <w:top w:val="nil"/>
              <w:left w:val="nil"/>
              <w:bottom w:val="nil"/>
              <w:right w:val="nil"/>
            </w:tcBorders>
            <w:shd w:val="clear" w:color="auto" w:fill="auto"/>
            <w:noWrap/>
            <w:hideMark/>
          </w:tcPr>
          <w:p w14:paraId="77FDBD72"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77FDBD73"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BA5FA0" w:rsidRPr="00C91C87" w14:paraId="77FDBD77" w14:textId="77777777" w:rsidTr="00B96F8F">
        <w:tc>
          <w:tcPr>
            <w:tcW w:w="630" w:type="dxa"/>
            <w:tcBorders>
              <w:top w:val="nil"/>
              <w:left w:val="nil"/>
              <w:bottom w:val="nil"/>
              <w:right w:val="nil"/>
            </w:tcBorders>
            <w:shd w:val="clear" w:color="auto" w:fill="auto"/>
            <w:noWrap/>
            <w:hideMark/>
          </w:tcPr>
          <w:p w14:paraId="77FDBD75"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77FDBD76"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BA5FA0" w:rsidRPr="00C91C87" w14:paraId="77FDBD7A" w14:textId="77777777" w:rsidTr="00B96F8F">
        <w:tc>
          <w:tcPr>
            <w:tcW w:w="630" w:type="dxa"/>
            <w:tcBorders>
              <w:top w:val="nil"/>
              <w:left w:val="nil"/>
              <w:bottom w:val="nil"/>
              <w:right w:val="nil"/>
            </w:tcBorders>
            <w:shd w:val="clear" w:color="auto" w:fill="auto"/>
            <w:noWrap/>
            <w:hideMark/>
          </w:tcPr>
          <w:p w14:paraId="77FDBD78"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77FDBD79"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BA5FA0" w:rsidRPr="00C91C87" w14:paraId="77FDBD7D" w14:textId="77777777" w:rsidTr="00B96F8F">
        <w:tc>
          <w:tcPr>
            <w:tcW w:w="630" w:type="dxa"/>
            <w:tcBorders>
              <w:top w:val="nil"/>
              <w:left w:val="nil"/>
              <w:bottom w:val="nil"/>
              <w:right w:val="nil"/>
            </w:tcBorders>
            <w:shd w:val="clear" w:color="auto" w:fill="auto"/>
            <w:noWrap/>
            <w:hideMark/>
          </w:tcPr>
          <w:p w14:paraId="77FDBD7B"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77FDBD7C"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BA5FA0" w:rsidRPr="00C91C87" w14:paraId="77FDBD80" w14:textId="77777777" w:rsidTr="00B96F8F">
        <w:tc>
          <w:tcPr>
            <w:tcW w:w="630" w:type="dxa"/>
            <w:tcBorders>
              <w:top w:val="nil"/>
              <w:left w:val="nil"/>
              <w:bottom w:val="nil"/>
              <w:right w:val="nil"/>
            </w:tcBorders>
            <w:shd w:val="clear" w:color="auto" w:fill="auto"/>
            <w:noWrap/>
            <w:hideMark/>
          </w:tcPr>
          <w:p w14:paraId="77FDBD7E"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77FDBD7F"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BA5FA0" w:rsidRPr="00C91C87" w14:paraId="77FDBD83" w14:textId="77777777" w:rsidTr="00B96F8F">
        <w:tc>
          <w:tcPr>
            <w:tcW w:w="630" w:type="dxa"/>
            <w:tcBorders>
              <w:top w:val="nil"/>
              <w:left w:val="nil"/>
              <w:bottom w:val="nil"/>
              <w:right w:val="nil"/>
            </w:tcBorders>
            <w:shd w:val="clear" w:color="auto" w:fill="auto"/>
            <w:noWrap/>
            <w:hideMark/>
          </w:tcPr>
          <w:p w14:paraId="77FDBD81"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77FDBD82"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BA5FA0" w:rsidRPr="00C91C87" w14:paraId="77FDBD86" w14:textId="77777777" w:rsidTr="00B96F8F">
        <w:tc>
          <w:tcPr>
            <w:tcW w:w="630" w:type="dxa"/>
            <w:tcBorders>
              <w:top w:val="nil"/>
              <w:left w:val="nil"/>
              <w:bottom w:val="nil"/>
              <w:right w:val="nil"/>
            </w:tcBorders>
            <w:shd w:val="clear" w:color="auto" w:fill="auto"/>
            <w:noWrap/>
            <w:hideMark/>
          </w:tcPr>
          <w:p w14:paraId="77FDBD84"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77FDBD85"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BA5FA0" w:rsidRPr="00C91C87" w14:paraId="77FDBD89" w14:textId="77777777" w:rsidTr="00B96F8F">
        <w:tc>
          <w:tcPr>
            <w:tcW w:w="630" w:type="dxa"/>
            <w:tcBorders>
              <w:top w:val="nil"/>
              <w:left w:val="nil"/>
              <w:bottom w:val="nil"/>
              <w:right w:val="nil"/>
            </w:tcBorders>
            <w:shd w:val="clear" w:color="auto" w:fill="auto"/>
            <w:noWrap/>
            <w:hideMark/>
          </w:tcPr>
          <w:p w14:paraId="77FDBD87"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77FDBD88"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BA5FA0" w:rsidRPr="00C91C87" w14:paraId="77FDBD8C" w14:textId="77777777" w:rsidTr="00B96F8F">
        <w:tc>
          <w:tcPr>
            <w:tcW w:w="630" w:type="dxa"/>
            <w:tcBorders>
              <w:top w:val="nil"/>
              <w:left w:val="nil"/>
              <w:bottom w:val="nil"/>
              <w:right w:val="nil"/>
            </w:tcBorders>
            <w:shd w:val="clear" w:color="auto" w:fill="auto"/>
            <w:noWrap/>
            <w:hideMark/>
          </w:tcPr>
          <w:p w14:paraId="77FDBD8A"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77FDBD8B"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BA5FA0" w:rsidRPr="00C91C87" w14:paraId="77FDBD8F" w14:textId="77777777" w:rsidTr="00B96F8F">
        <w:tc>
          <w:tcPr>
            <w:tcW w:w="630" w:type="dxa"/>
            <w:tcBorders>
              <w:top w:val="nil"/>
              <w:left w:val="nil"/>
              <w:bottom w:val="nil"/>
              <w:right w:val="nil"/>
            </w:tcBorders>
            <w:shd w:val="clear" w:color="auto" w:fill="auto"/>
            <w:noWrap/>
            <w:hideMark/>
          </w:tcPr>
          <w:p w14:paraId="77FDBD8D"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77FDBD8E"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BA5FA0" w:rsidRPr="00C91C87" w14:paraId="77FDBD92" w14:textId="77777777" w:rsidTr="00B96F8F">
        <w:tc>
          <w:tcPr>
            <w:tcW w:w="630" w:type="dxa"/>
            <w:tcBorders>
              <w:top w:val="nil"/>
              <w:left w:val="nil"/>
              <w:bottom w:val="nil"/>
              <w:right w:val="nil"/>
            </w:tcBorders>
            <w:shd w:val="clear" w:color="auto" w:fill="auto"/>
            <w:noWrap/>
            <w:hideMark/>
          </w:tcPr>
          <w:p w14:paraId="77FDBD90"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77FDBD91"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BA5FA0" w:rsidRPr="00C91C87" w14:paraId="77FDBD95" w14:textId="77777777" w:rsidTr="00B96F8F">
        <w:tc>
          <w:tcPr>
            <w:tcW w:w="630" w:type="dxa"/>
            <w:tcBorders>
              <w:top w:val="nil"/>
              <w:left w:val="nil"/>
              <w:bottom w:val="nil"/>
              <w:right w:val="nil"/>
            </w:tcBorders>
            <w:shd w:val="clear" w:color="auto" w:fill="auto"/>
            <w:noWrap/>
            <w:hideMark/>
          </w:tcPr>
          <w:p w14:paraId="77FDBD93"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77FDBD94"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BA5FA0" w:rsidRPr="00C91C87" w14:paraId="77FDBD98" w14:textId="77777777" w:rsidTr="00B96F8F">
        <w:tc>
          <w:tcPr>
            <w:tcW w:w="630" w:type="dxa"/>
            <w:tcBorders>
              <w:top w:val="nil"/>
              <w:left w:val="nil"/>
              <w:bottom w:val="nil"/>
              <w:right w:val="nil"/>
            </w:tcBorders>
            <w:shd w:val="clear" w:color="auto" w:fill="auto"/>
            <w:noWrap/>
            <w:hideMark/>
          </w:tcPr>
          <w:p w14:paraId="77FDBD96"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77FDBD97"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BA5FA0" w:rsidRPr="00C91C87" w14:paraId="77FDBD9B" w14:textId="77777777" w:rsidTr="00B96F8F">
        <w:tc>
          <w:tcPr>
            <w:tcW w:w="630" w:type="dxa"/>
            <w:tcBorders>
              <w:top w:val="nil"/>
              <w:left w:val="nil"/>
              <w:bottom w:val="nil"/>
              <w:right w:val="nil"/>
            </w:tcBorders>
            <w:shd w:val="clear" w:color="auto" w:fill="auto"/>
            <w:noWrap/>
            <w:hideMark/>
          </w:tcPr>
          <w:p w14:paraId="77FDBD99"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77FDBD9A"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BA5FA0" w:rsidRPr="00C91C87" w14:paraId="77FDBD9E" w14:textId="77777777" w:rsidTr="00B96F8F">
        <w:tc>
          <w:tcPr>
            <w:tcW w:w="630" w:type="dxa"/>
            <w:tcBorders>
              <w:top w:val="nil"/>
              <w:left w:val="nil"/>
              <w:bottom w:val="nil"/>
              <w:right w:val="nil"/>
            </w:tcBorders>
            <w:shd w:val="clear" w:color="auto" w:fill="auto"/>
            <w:noWrap/>
            <w:hideMark/>
          </w:tcPr>
          <w:p w14:paraId="77FDBD9C"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77FDBD9D"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BA5FA0" w:rsidRPr="00C91C87" w14:paraId="77FDBDA1" w14:textId="77777777" w:rsidTr="00B96F8F">
        <w:tc>
          <w:tcPr>
            <w:tcW w:w="630" w:type="dxa"/>
            <w:tcBorders>
              <w:top w:val="nil"/>
              <w:left w:val="nil"/>
              <w:bottom w:val="nil"/>
              <w:right w:val="nil"/>
            </w:tcBorders>
            <w:shd w:val="clear" w:color="auto" w:fill="auto"/>
            <w:noWrap/>
            <w:hideMark/>
          </w:tcPr>
          <w:p w14:paraId="77FDBD9F"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77FDBDA0"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BA5FA0" w:rsidRPr="00C91C87" w14:paraId="77FDBDA4" w14:textId="77777777" w:rsidTr="00B96F8F">
        <w:tc>
          <w:tcPr>
            <w:tcW w:w="630" w:type="dxa"/>
            <w:tcBorders>
              <w:top w:val="nil"/>
              <w:left w:val="nil"/>
              <w:bottom w:val="nil"/>
              <w:right w:val="nil"/>
            </w:tcBorders>
            <w:shd w:val="clear" w:color="auto" w:fill="auto"/>
            <w:noWrap/>
            <w:hideMark/>
          </w:tcPr>
          <w:p w14:paraId="77FDBDA2"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77FDBDA3"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BA5FA0" w:rsidRPr="00C91C87" w14:paraId="77FDBDA7" w14:textId="77777777" w:rsidTr="00B96F8F">
        <w:tc>
          <w:tcPr>
            <w:tcW w:w="630" w:type="dxa"/>
            <w:tcBorders>
              <w:top w:val="nil"/>
              <w:left w:val="nil"/>
              <w:bottom w:val="nil"/>
              <w:right w:val="nil"/>
            </w:tcBorders>
            <w:shd w:val="clear" w:color="auto" w:fill="auto"/>
            <w:noWrap/>
            <w:hideMark/>
          </w:tcPr>
          <w:p w14:paraId="77FDBDA5"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77FDBDA6"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BA5FA0" w:rsidRPr="00C91C87" w14:paraId="77FDBDAA" w14:textId="77777777" w:rsidTr="00B96F8F">
        <w:tc>
          <w:tcPr>
            <w:tcW w:w="630" w:type="dxa"/>
            <w:tcBorders>
              <w:top w:val="nil"/>
              <w:left w:val="nil"/>
              <w:bottom w:val="nil"/>
              <w:right w:val="nil"/>
            </w:tcBorders>
            <w:shd w:val="clear" w:color="auto" w:fill="auto"/>
            <w:noWrap/>
            <w:hideMark/>
          </w:tcPr>
          <w:p w14:paraId="77FDBDA8"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77FDBDA9"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77FDBDAB" w14:textId="77777777" w:rsidR="00BA5FA0" w:rsidRPr="00975F04" w:rsidRDefault="00BA5FA0" w:rsidP="00BA5FA0">
      <w:pPr>
        <w:pStyle w:val="Source"/>
      </w:pPr>
      <w:r>
        <w:t xml:space="preserve">Note: </w:t>
      </w:r>
      <w:r w:rsidRPr="00C91C87">
        <w:t xml:space="preserve">Bubble sizes and labels relate to </w:t>
      </w:r>
      <w:r>
        <w:t xml:space="preserve">the </w:t>
      </w:r>
      <w:r w:rsidRPr="00C91C87">
        <w:t xml:space="preserve">number of HS 6-digit subheads within the Section which were </w:t>
      </w:r>
      <w:r>
        <w:t>im</w:t>
      </w:r>
      <w:r w:rsidRPr="00C91C87">
        <w:t>ported</w:t>
      </w:r>
      <w:r>
        <w:br/>
        <w:t xml:space="preserve">Source: Authors’ calculation using data from the </w:t>
      </w:r>
      <w:r w:rsidR="00B96C41">
        <w:t xml:space="preserve">UN’s </w:t>
      </w:r>
      <w:proofErr w:type="spellStart"/>
      <w:r w:rsidR="00B96C41">
        <w:t>COMTRADE</w:t>
      </w:r>
      <w:proofErr w:type="spellEnd"/>
      <w:r w:rsidR="00B96C41">
        <w:t xml:space="preserve"> database</w:t>
      </w:r>
      <w:r>
        <w:t>.</w:t>
      </w:r>
      <w:bookmarkStart w:id="98" w:name="_Toc405451006"/>
      <w:bookmarkStart w:id="99" w:name="_Toc405451570"/>
      <w:r>
        <w:br w:type="page"/>
      </w:r>
    </w:p>
    <w:p w14:paraId="77FDBDAC" w14:textId="77777777" w:rsidR="00BA5FA0" w:rsidRDefault="00BA5FA0" w:rsidP="00BA5FA0">
      <w:pPr>
        <w:pStyle w:val="FigureHeading"/>
        <w:spacing w:before="0"/>
      </w:pPr>
      <w:bookmarkStart w:id="100" w:name="_Toc405473679"/>
      <w:bookmarkStart w:id="101" w:name="_Toc406411734"/>
      <w:bookmarkStart w:id="102" w:name="_Toc406585310"/>
      <w:bookmarkStart w:id="103" w:name="_Toc428435146"/>
      <w:r>
        <w:t xml:space="preserve">Change in import share by HS Section, </w:t>
      </w:r>
      <w:r w:rsidR="00EA21D5">
        <w:t>Tanzania</w:t>
      </w:r>
      <w:r>
        <w:t>, 2005–8 and 2009–1</w:t>
      </w:r>
      <w:bookmarkEnd w:id="98"/>
      <w:bookmarkEnd w:id="99"/>
      <w:r>
        <w:t>3</w:t>
      </w:r>
      <w:bookmarkEnd w:id="100"/>
      <w:bookmarkEnd w:id="101"/>
      <w:bookmarkEnd w:id="102"/>
      <w:bookmarkEnd w:id="103"/>
    </w:p>
    <w:p w14:paraId="77FDBDAD" w14:textId="77777777" w:rsidR="00173EBE" w:rsidRPr="00173EBE" w:rsidRDefault="00173EBE" w:rsidP="00173EBE">
      <w:pPr>
        <w:pStyle w:val="BodyText"/>
        <w:spacing w:before="39" w:after="0" w:line="240" w:lineRule="auto"/>
        <w:jc w:val="left"/>
      </w:pPr>
      <w:r>
        <w:rPr>
          <w:noProof/>
          <w:lang w:eastAsia="en-GB"/>
        </w:rPr>
        <w:drawing>
          <wp:inline distT="0" distB="0" distL="0" distR="0" wp14:anchorId="77FDBF8B" wp14:editId="77FDBF8C">
            <wp:extent cx="4572000" cy="22860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BA5FA0" w:rsidRPr="00C91C87" w14:paraId="77FDBDB0" w14:textId="77777777" w:rsidTr="00B96F8F">
        <w:tc>
          <w:tcPr>
            <w:tcW w:w="630" w:type="dxa"/>
            <w:tcBorders>
              <w:top w:val="nil"/>
              <w:left w:val="nil"/>
              <w:bottom w:val="nil"/>
              <w:right w:val="nil"/>
            </w:tcBorders>
            <w:shd w:val="clear" w:color="auto" w:fill="auto"/>
            <w:noWrap/>
          </w:tcPr>
          <w:p w14:paraId="77FDBDAE" w14:textId="77777777" w:rsidR="00BA5FA0" w:rsidRPr="00A364CB" w:rsidRDefault="00BA5FA0" w:rsidP="00B96F8F">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77FDBDAF" w14:textId="77777777" w:rsidR="00BA5FA0" w:rsidRDefault="00BA5FA0" w:rsidP="00B96F8F">
            <w:pPr>
              <w:rPr>
                <w:rFonts w:ascii="Calibri" w:eastAsia="Times New Roman" w:hAnsi="Calibri"/>
                <w:color w:val="000000"/>
                <w:sz w:val="16"/>
                <w:szCs w:val="16"/>
                <w:lang w:eastAsia="en-GB"/>
              </w:rPr>
            </w:pPr>
          </w:p>
        </w:tc>
      </w:tr>
      <w:tr w:rsidR="00BA5FA0" w:rsidRPr="00C91C87" w14:paraId="77FDBDB3" w14:textId="77777777" w:rsidTr="00B96F8F">
        <w:tc>
          <w:tcPr>
            <w:tcW w:w="630" w:type="dxa"/>
            <w:tcBorders>
              <w:top w:val="nil"/>
              <w:left w:val="nil"/>
              <w:bottom w:val="nil"/>
              <w:right w:val="nil"/>
            </w:tcBorders>
            <w:shd w:val="clear" w:color="auto" w:fill="auto"/>
            <w:noWrap/>
          </w:tcPr>
          <w:p w14:paraId="77FDBDB1"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77FDBDB2"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BA5FA0" w:rsidRPr="00C91C87" w14:paraId="77FDBDB6" w14:textId="77777777" w:rsidTr="00B96F8F">
        <w:tc>
          <w:tcPr>
            <w:tcW w:w="630" w:type="dxa"/>
            <w:tcBorders>
              <w:top w:val="nil"/>
              <w:left w:val="nil"/>
              <w:bottom w:val="nil"/>
              <w:right w:val="nil"/>
            </w:tcBorders>
            <w:shd w:val="clear" w:color="auto" w:fill="auto"/>
            <w:noWrap/>
            <w:hideMark/>
          </w:tcPr>
          <w:p w14:paraId="77FDBDB4"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77FDBDB5"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BA5FA0" w:rsidRPr="00C91C87" w14:paraId="77FDBDB9" w14:textId="77777777" w:rsidTr="00B96F8F">
        <w:tc>
          <w:tcPr>
            <w:tcW w:w="630" w:type="dxa"/>
            <w:tcBorders>
              <w:top w:val="nil"/>
              <w:left w:val="nil"/>
              <w:bottom w:val="nil"/>
              <w:right w:val="nil"/>
            </w:tcBorders>
            <w:shd w:val="clear" w:color="auto" w:fill="auto"/>
            <w:noWrap/>
            <w:hideMark/>
          </w:tcPr>
          <w:p w14:paraId="77FDBDB7"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77FDBDB8"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BA5FA0" w:rsidRPr="00C91C87" w14:paraId="77FDBDBC" w14:textId="77777777" w:rsidTr="00B96F8F">
        <w:tc>
          <w:tcPr>
            <w:tcW w:w="630" w:type="dxa"/>
            <w:tcBorders>
              <w:top w:val="nil"/>
              <w:left w:val="nil"/>
              <w:bottom w:val="nil"/>
              <w:right w:val="nil"/>
            </w:tcBorders>
            <w:shd w:val="clear" w:color="auto" w:fill="auto"/>
            <w:noWrap/>
            <w:hideMark/>
          </w:tcPr>
          <w:p w14:paraId="77FDBDBA"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77FDBDBB"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BA5FA0" w:rsidRPr="00C91C87" w14:paraId="77FDBDBF" w14:textId="77777777" w:rsidTr="00B96F8F">
        <w:tc>
          <w:tcPr>
            <w:tcW w:w="630" w:type="dxa"/>
            <w:tcBorders>
              <w:top w:val="nil"/>
              <w:left w:val="nil"/>
              <w:bottom w:val="nil"/>
              <w:right w:val="nil"/>
            </w:tcBorders>
            <w:shd w:val="clear" w:color="auto" w:fill="auto"/>
            <w:noWrap/>
            <w:hideMark/>
          </w:tcPr>
          <w:p w14:paraId="77FDBDBD"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77FDBDBE"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BA5FA0" w:rsidRPr="00C91C87" w14:paraId="77FDBDC2" w14:textId="77777777" w:rsidTr="00B96F8F">
        <w:tc>
          <w:tcPr>
            <w:tcW w:w="630" w:type="dxa"/>
            <w:tcBorders>
              <w:top w:val="nil"/>
              <w:left w:val="nil"/>
              <w:bottom w:val="nil"/>
              <w:right w:val="nil"/>
            </w:tcBorders>
            <w:shd w:val="clear" w:color="auto" w:fill="auto"/>
            <w:noWrap/>
            <w:hideMark/>
          </w:tcPr>
          <w:p w14:paraId="77FDBDC0"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77FDBDC1"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BA5FA0" w:rsidRPr="00C91C87" w14:paraId="77FDBDC5" w14:textId="77777777" w:rsidTr="00B96F8F">
        <w:tc>
          <w:tcPr>
            <w:tcW w:w="630" w:type="dxa"/>
            <w:tcBorders>
              <w:top w:val="nil"/>
              <w:left w:val="nil"/>
              <w:bottom w:val="nil"/>
              <w:right w:val="nil"/>
            </w:tcBorders>
            <w:shd w:val="clear" w:color="auto" w:fill="auto"/>
            <w:noWrap/>
            <w:hideMark/>
          </w:tcPr>
          <w:p w14:paraId="77FDBDC3"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77FDBDC4"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BA5FA0" w:rsidRPr="00C91C87" w14:paraId="77FDBDC8" w14:textId="77777777" w:rsidTr="00B96F8F">
        <w:tc>
          <w:tcPr>
            <w:tcW w:w="630" w:type="dxa"/>
            <w:tcBorders>
              <w:top w:val="nil"/>
              <w:left w:val="nil"/>
              <w:bottom w:val="nil"/>
              <w:right w:val="nil"/>
            </w:tcBorders>
            <w:shd w:val="clear" w:color="auto" w:fill="auto"/>
            <w:noWrap/>
            <w:hideMark/>
          </w:tcPr>
          <w:p w14:paraId="77FDBDC6"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77FDBDC7"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BA5FA0" w:rsidRPr="00C91C87" w14:paraId="77FDBDCB" w14:textId="77777777" w:rsidTr="00B96F8F">
        <w:tc>
          <w:tcPr>
            <w:tcW w:w="630" w:type="dxa"/>
            <w:tcBorders>
              <w:top w:val="nil"/>
              <w:left w:val="nil"/>
              <w:bottom w:val="nil"/>
              <w:right w:val="nil"/>
            </w:tcBorders>
            <w:shd w:val="clear" w:color="auto" w:fill="auto"/>
            <w:noWrap/>
            <w:hideMark/>
          </w:tcPr>
          <w:p w14:paraId="77FDBDC9"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77FDBDCA"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BA5FA0" w:rsidRPr="00C91C87" w14:paraId="77FDBDCE" w14:textId="77777777" w:rsidTr="00B96F8F">
        <w:tc>
          <w:tcPr>
            <w:tcW w:w="630" w:type="dxa"/>
            <w:tcBorders>
              <w:top w:val="nil"/>
              <w:left w:val="nil"/>
              <w:bottom w:val="nil"/>
              <w:right w:val="nil"/>
            </w:tcBorders>
            <w:shd w:val="clear" w:color="auto" w:fill="auto"/>
            <w:noWrap/>
            <w:hideMark/>
          </w:tcPr>
          <w:p w14:paraId="77FDBDCC"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77FDBDCD"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BA5FA0" w:rsidRPr="00C91C87" w14:paraId="77FDBDD1" w14:textId="77777777" w:rsidTr="00B96F8F">
        <w:tc>
          <w:tcPr>
            <w:tcW w:w="630" w:type="dxa"/>
            <w:tcBorders>
              <w:top w:val="nil"/>
              <w:left w:val="nil"/>
              <w:bottom w:val="nil"/>
              <w:right w:val="nil"/>
            </w:tcBorders>
            <w:shd w:val="clear" w:color="auto" w:fill="auto"/>
            <w:noWrap/>
            <w:hideMark/>
          </w:tcPr>
          <w:p w14:paraId="77FDBDCF"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77FDBDD0"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BA5FA0" w:rsidRPr="00C91C87" w14:paraId="77FDBDD4" w14:textId="77777777" w:rsidTr="00B96F8F">
        <w:tc>
          <w:tcPr>
            <w:tcW w:w="630" w:type="dxa"/>
            <w:tcBorders>
              <w:top w:val="nil"/>
              <w:left w:val="nil"/>
              <w:bottom w:val="nil"/>
              <w:right w:val="nil"/>
            </w:tcBorders>
            <w:shd w:val="clear" w:color="auto" w:fill="auto"/>
            <w:noWrap/>
            <w:hideMark/>
          </w:tcPr>
          <w:p w14:paraId="77FDBDD2"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77FDBDD3"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BA5FA0" w:rsidRPr="00C91C87" w14:paraId="77FDBDD7" w14:textId="77777777" w:rsidTr="00B96F8F">
        <w:tc>
          <w:tcPr>
            <w:tcW w:w="630" w:type="dxa"/>
            <w:tcBorders>
              <w:top w:val="nil"/>
              <w:left w:val="nil"/>
              <w:bottom w:val="nil"/>
              <w:right w:val="nil"/>
            </w:tcBorders>
            <w:shd w:val="clear" w:color="auto" w:fill="auto"/>
            <w:noWrap/>
            <w:hideMark/>
          </w:tcPr>
          <w:p w14:paraId="77FDBDD5"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77FDBDD6"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BA5FA0" w:rsidRPr="00C91C87" w14:paraId="77FDBDDA" w14:textId="77777777" w:rsidTr="00B96F8F">
        <w:tc>
          <w:tcPr>
            <w:tcW w:w="630" w:type="dxa"/>
            <w:tcBorders>
              <w:top w:val="nil"/>
              <w:left w:val="nil"/>
              <w:bottom w:val="nil"/>
              <w:right w:val="nil"/>
            </w:tcBorders>
            <w:shd w:val="clear" w:color="auto" w:fill="auto"/>
            <w:noWrap/>
            <w:hideMark/>
          </w:tcPr>
          <w:p w14:paraId="77FDBDD8"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77FDBDD9"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BA5FA0" w:rsidRPr="00C91C87" w14:paraId="77FDBDDD" w14:textId="77777777" w:rsidTr="00B96F8F">
        <w:tc>
          <w:tcPr>
            <w:tcW w:w="630" w:type="dxa"/>
            <w:tcBorders>
              <w:top w:val="nil"/>
              <w:left w:val="nil"/>
              <w:bottom w:val="nil"/>
              <w:right w:val="nil"/>
            </w:tcBorders>
            <w:shd w:val="clear" w:color="auto" w:fill="auto"/>
            <w:noWrap/>
            <w:hideMark/>
          </w:tcPr>
          <w:p w14:paraId="77FDBDDB"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77FDBDDC"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BA5FA0" w:rsidRPr="00C91C87" w14:paraId="77FDBDE0" w14:textId="77777777" w:rsidTr="00B96F8F">
        <w:tc>
          <w:tcPr>
            <w:tcW w:w="630" w:type="dxa"/>
            <w:tcBorders>
              <w:top w:val="nil"/>
              <w:left w:val="nil"/>
              <w:bottom w:val="nil"/>
              <w:right w:val="nil"/>
            </w:tcBorders>
            <w:shd w:val="clear" w:color="auto" w:fill="auto"/>
            <w:noWrap/>
            <w:hideMark/>
          </w:tcPr>
          <w:p w14:paraId="77FDBDDE"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77FDBDDF"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BA5FA0" w:rsidRPr="00C91C87" w14:paraId="77FDBDE3" w14:textId="77777777" w:rsidTr="00B96F8F">
        <w:tc>
          <w:tcPr>
            <w:tcW w:w="630" w:type="dxa"/>
            <w:tcBorders>
              <w:top w:val="nil"/>
              <w:left w:val="nil"/>
              <w:bottom w:val="nil"/>
              <w:right w:val="nil"/>
            </w:tcBorders>
            <w:shd w:val="clear" w:color="auto" w:fill="auto"/>
            <w:noWrap/>
            <w:hideMark/>
          </w:tcPr>
          <w:p w14:paraId="77FDBDE1"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77FDBDE2"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BA5FA0" w:rsidRPr="00C91C87" w14:paraId="77FDBDE6" w14:textId="77777777" w:rsidTr="00B96F8F">
        <w:tc>
          <w:tcPr>
            <w:tcW w:w="630" w:type="dxa"/>
            <w:tcBorders>
              <w:top w:val="nil"/>
              <w:left w:val="nil"/>
              <w:bottom w:val="nil"/>
              <w:right w:val="nil"/>
            </w:tcBorders>
            <w:shd w:val="clear" w:color="auto" w:fill="auto"/>
            <w:noWrap/>
            <w:hideMark/>
          </w:tcPr>
          <w:p w14:paraId="77FDBDE4"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77FDBDE5"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BA5FA0" w:rsidRPr="00C91C87" w14:paraId="77FDBDE9" w14:textId="77777777" w:rsidTr="00B96F8F">
        <w:tc>
          <w:tcPr>
            <w:tcW w:w="630" w:type="dxa"/>
            <w:tcBorders>
              <w:top w:val="nil"/>
              <w:left w:val="nil"/>
              <w:bottom w:val="nil"/>
              <w:right w:val="nil"/>
            </w:tcBorders>
            <w:shd w:val="clear" w:color="auto" w:fill="auto"/>
            <w:noWrap/>
            <w:hideMark/>
          </w:tcPr>
          <w:p w14:paraId="77FDBDE7"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77FDBDE8"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BA5FA0" w:rsidRPr="00C91C87" w14:paraId="77FDBDEC" w14:textId="77777777" w:rsidTr="00B96F8F">
        <w:tc>
          <w:tcPr>
            <w:tcW w:w="630" w:type="dxa"/>
            <w:tcBorders>
              <w:top w:val="nil"/>
              <w:left w:val="nil"/>
              <w:bottom w:val="nil"/>
              <w:right w:val="nil"/>
            </w:tcBorders>
            <w:shd w:val="clear" w:color="auto" w:fill="auto"/>
            <w:noWrap/>
            <w:hideMark/>
          </w:tcPr>
          <w:p w14:paraId="77FDBDEA"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77FDBDEB"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BA5FA0" w:rsidRPr="00C91C87" w14:paraId="77FDBDEF" w14:textId="77777777" w:rsidTr="00B96F8F">
        <w:tc>
          <w:tcPr>
            <w:tcW w:w="630" w:type="dxa"/>
            <w:tcBorders>
              <w:top w:val="nil"/>
              <w:left w:val="nil"/>
              <w:bottom w:val="nil"/>
              <w:right w:val="nil"/>
            </w:tcBorders>
            <w:shd w:val="clear" w:color="auto" w:fill="auto"/>
            <w:noWrap/>
            <w:hideMark/>
          </w:tcPr>
          <w:p w14:paraId="77FDBDED"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77FDBDEE"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BA5FA0" w:rsidRPr="00C91C87" w14:paraId="77FDBDF2" w14:textId="77777777" w:rsidTr="00B96F8F">
        <w:tc>
          <w:tcPr>
            <w:tcW w:w="630" w:type="dxa"/>
            <w:tcBorders>
              <w:top w:val="nil"/>
              <w:left w:val="nil"/>
              <w:bottom w:val="nil"/>
              <w:right w:val="nil"/>
            </w:tcBorders>
            <w:shd w:val="clear" w:color="auto" w:fill="auto"/>
            <w:noWrap/>
            <w:hideMark/>
          </w:tcPr>
          <w:p w14:paraId="77FDBDF0" w14:textId="77777777" w:rsidR="00BA5FA0" w:rsidRPr="00A364CB" w:rsidRDefault="00BA5FA0" w:rsidP="00B96F8F">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77FDBDF1" w14:textId="77777777" w:rsidR="00BA5FA0" w:rsidRPr="00A364CB" w:rsidRDefault="00BA5FA0" w:rsidP="00B96F8F">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77FDBDF3" w14:textId="77777777" w:rsidR="00BA5FA0" w:rsidRDefault="00BA5FA0" w:rsidP="00BA5FA0">
      <w:pPr>
        <w:pStyle w:val="Source"/>
      </w:pPr>
      <w:r>
        <w:t xml:space="preserve">Source: Authors’ calculation using data from the </w:t>
      </w:r>
      <w:r w:rsidR="00B96C41">
        <w:t xml:space="preserve">UN’s </w:t>
      </w:r>
      <w:proofErr w:type="spellStart"/>
      <w:r w:rsidR="00B96C41">
        <w:t>COMTRADE</w:t>
      </w:r>
      <w:proofErr w:type="spellEnd"/>
      <w:r w:rsidR="00B96C41">
        <w:t xml:space="preserve"> database</w:t>
      </w:r>
      <w:r>
        <w:t>.</w:t>
      </w:r>
    </w:p>
    <w:p w14:paraId="77FDBDF4" w14:textId="77777777" w:rsidR="00BA5FA0" w:rsidRDefault="00BA5FA0" w:rsidP="00BA5FA0">
      <w:pPr>
        <w:rPr>
          <w:rFonts w:ascii="Arial" w:hAnsi="Arial"/>
          <w:i/>
          <w:sz w:val="16"/>
        </w:rPr>
      </w:pPr>
      <w:r>
        <w:br w:type="page"/>
      </w:r>
    </w:p>
    <w:p w14:paraId="77FDBDF5" w14:textId="77777777" w:rsidR="00BA5FA0" w:rsidRDefault="00BA5FA0" w:rsidP="00BA5FA0">
      <w:pPr>
        <w:pStyle w:val="FigureHeading"/>
        <w:spacing w:before="0"/>
      </w:pPr>
      <w:bookmarkStart w:id="104" w:name="_Toc405451007"/>
      <w:bookmarkStart w:id="105" w:name="_Toc405451571"/>
      <w:bookmarkStart w:id="106" w:name="_Toc405473680"/>
      <w:bookmarkStart w:id="107" w:name="_Toc406411735"/>
      <w:bookmarkStart w:id="108" w:name="_Toc406585311"/>
      <w:bookmarkStart w:id="109" w:name="_Toc428435147"/>
      <w:r>
        <w:t xml:space="preserve">Import visualisation, </w:t>
      </w:r>
      <w:r w:rsidR="00EA21D5">
        <w:t>Tanzania</w:t>
      </w:r>
      <w:r>
        <w:t>, 2005 and 201</w:t>
      </w:r>
      <w:bookmarkEnd w:id="104"/>
      <w:bookmarkEnd w:id="105"/>
      <w:r>
        <w:t>2</w:t>
      </w:r>
      <w:bookmarkEnd w:id="106"/>
      <w:bookmarkEnd w:id="107"/>
      <w:bookmarkEnd w:id="108"/>
      <w:bookmarkEnd w:id="109"/>
    </w:p>
    <w:tbl>
      <w:tblPr>
        <w:tblStyle w:val="TableGrid"/>
        <w:tblW w:w="427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58"/>
      </w:tblGrid>
      <w:tr w:rsidR="00BA5FA0" w:rsidRPr="00E81E7D" w14:paraId="77FDBDF7" w14:textId="77777777" w:rsidTr="00B96F8F">
        <w:trPr>
          <w:trHeight w:hRule="exact" w:val="259"/>
        </w:trPr>
        <w:tc>
          <w:tcPr>
            <w:tcW w:w="7920" w:type="dxa"/>
            <w:vAlign w:val="bottom"/>
          </w:tcPr>
          <w:p w14:paraId="77FDBDF6" w14:textId="77777777" w:rsidR="00BA5FA0" w:rsidRPr="00E81E7D" w:rsidRDefault="00BA5FA0" w:rsidP="00B96F8F">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BA5FA0" w14:paraId="77FDBDF9" w14:textId="77777777" w:rsidTr="00B96F8F">
        <w:trPr>
          <w:trHeight w:hRule="exact" w:val="5400"/>
        </w:trPr>
        <w:tc>
          <w:tcPr>
            <w:tcW w:w="7920" w:type="dxa"/>
          </w:tcPr>
          <w:p w14:paraId="77FDBDF8" w14:textId="77777777" w:rsidR="00BA5FA0" w:rsidRDefault="006B1675" w:rsidP="00B96F8F">
            <w:r>
              <w:rPr>
                <w:noProof/>
                <w:lang w:eastAsia="en-GB"/>
              </w:rPr>
              <w:drawing>
                <wp:inline distT="0" distB="0" distL="0" distR="0" wp14:anchorId="77FDBF8D" wp14:editId="77FDBF8E">
                  <wp:extent cx="4754880" cy="3410712"/>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l="26734" t="30427" r="15008" b="15897"/>
                          <a:stretch/>
                        </pic:blipFill>
                        <pic:spPr bwMode="auto">
                          <a:xfrm>
                            <a:off x="0" y="0"/>
                            <a:ext cx="4754880" cy="3410712"/>
                          </a:xfrm>
                          <a:prstGeom prst="rect">
                            <a:avLst/>
                          </a:prstGeom>
                          <a:ln>
                            <a:noFill/>
                          </a:ln>
                          <a:extLst>
                            <a:ext uri="{53640926-AAD7-44D8-BBD7-CCE9431645EC}">
                              <a14:shadowObscured xmlns:a14="http://schemas.microsoft.com/office/drawing/2010/main"/>
                            </a:ext>
                          </a:extLst>
                        </pic:spPr>
                      </pic:pic>
                    </a:graphicData>
                  </a:graphic>
                </wp:inline>
              </w:drawing>
            </w:r>
          </w:p>
        </w:tc>
      </w:tr>
      <w:tr w:rsidR="00BA5FA0" w14:paraId="77FDBDFB" w14:textId="77777777" w:rsidTr="00B96F8F">
        <w:trPr>
          <w:trHeight w:hRule="exact" w:val="259"/>
        </w:trPr>
        <w:tc>
          <w:tcPr>
            <w:tcW w:w="7920" w:type="dxa"/>
            <w:vAlign w:val="bottom"/>
          </w:tcPr>
          <w:p w14:paraId="77FDBDFA" w14:textId="77777777" w:rsidR="00BA5FA0" w:rsidRDefault="00BA5FA0" w:rsidP="00B96F8F">
            <w:pPr>
              <w:jc w:val="center"/>
              <w:rPr>
                <w:noProof/>
                <w:lang w:eastAsia="en-GB"/>
              </w:rPr>
            </w:pPr>
            <w:r>
              <w:rPr>
                <w:rFonts w:asciiTheme="majorHAnsi" w:hAnsiTheme="majorHAnsi" w:cstheme="majorHAnsi"/>
                <w:b/>
                <w:noProof/>
                <w:sz w:val="16"/>
                <w:szCs w:val="16"/>
                <w:lang w:eastAsia="en-GB"/>
              </w:rPr>
              <w:t>2012</w:t>
            </w:r>
          </w:p>
        </w:tc>
      </w:tr>
      <w:tr w:rsidR="00BA5FA0" w14:paraId="77FDBDFD" w14:textId="77777777" w:rsidTr="00B96F8F">
        <w:trPr>
          <w:trHeight w:hRule="exact" w:val="5400"/>
        </w:trPr>
        <w:tc>
          <w:tcPr>
            <w:tcW w:w="7920" w:type="dxa"/>
          </w:tcPr>
          <w:p w14:paraId="77FDBDFC" w14:textId="77777777" w:rsidR="00BA5FA0" w:rsidRDefault="006B1675" w:rsidP="00B96F8F">
            <w:pPr>
              <w:rPr>
                <w:noProof/>
                <w:lang w:eastAsia="en-GB"/>
              </w:rPr>
            </w:pPr>
            <w:r>
              <w:rPr>
                <w:noProof/>
                <w:lang w:eastAsia="en-GB"/>
              </w:rPr>
              <w:drawing>
                <wp:inline distT="0" distB="0" distL="0" distR="0" wp14:anchorId="77FDBF8F" wp14:editId="77FDBF90">
                  <wp:extent cx="4777740" cy="339852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l="26542" t="30271" r="14860" b="16155"/>
                          <a:stretch/>
                        </pic:blipFill>
                        <pic:spPr bwMode="auto">
                          <a:xfrm>
                            <a:off x="0" y="0"/>
                            <a:ext cx="4779526" cy="339979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FDBDFE" w14:textId="77777777" w:rsidR="00BA5FA0" w:rsidRPr="00333F79" w:rsidRDefault="00BA5FA0" w:rsidP="00BA5FA0">
      <w:pPr>
        <w:pStyle w:val="Source"/>
        <w:rPr>
          <w:lang w:val="en" w:eastAsia="en-GB"/>
        </w:rPr>
      </w:pPr>
      <w:bookmarkStart w:id="110" w:name="_Toc405451008"/>
      <w:bookmarkStart w:id="111" w:name="_Toc405451572"/>
      <w:r>
        <w:t>Source: ‘</w:t>
      </w:r>
      <w:r w:rsidRPr="00333F79">
        <w:rPr>
          <w:lang w:val="en" w:eastAsia="en-GB"/>
        </w:rPr>
        <w:t>The Atlas of Economic Complexity</w:t>
      </w:r>
      <w:r>
        <w:rPr>
          <w:lang w:val="en" w:eastAsia="en-GB"/>
        </w:rPr>
        <w:t>’</w:t>
      </w:r>
      <w:r w:rsidRPr="00333F79">
        <w:rPr>
          <w:lang w:val="en" w:eastAsia="en-GB"/>
        </w:rPr>
        <w:t xml:space="preserve">, Center for International Development at Harvard University </w:t>
      </w:r>
      <w:r>
        <w:rPr>
          <w:lang w:val="en" w:eastAsia="en-GB"/>
        </w:rPr>
        <w:t>(</w:t>
      </w:r>
      <w:hyperlink r:id="rId92" w:history="1">
        <w:r w:rsidRPr="00333F79">
          <w:rPr>
            <w:rStyle w:val="Hyperlink"/>
            <w:lang w:val="en" w:eastAsia="en-GB"/>
          </w:rPr>
          <w:t>http://www.atlas.cid.harvard.edu</w:t>
        </w:r>
      </w:hyperlink>
      <w:r>
        <w:rPr>
          <w:lang w:val="en" w:eastAsia="en-GB"/>
        </w:rPr>
        <w:t>).</w:t>
      </w:r>
    </w:p>
    <w:p w14:paraId="77FDBDFF" w14:textId="77777777" w:rsidR="00BA5FA0" w:rsidRDefault="00BA5FA0" w:rsidP="00BA5FA0">
      <w:pPr>
        <w:rPr>
          <w:rFonts w:ascii="Arial" w:hAnsi="Arial"/>
          <w:b/>
          <w:color w:val="006C67" w:themeColor="accent1"/>
          <w:sz w:val="24"/>
        </w:rPr>
      </w:pPr>
      <w:r>
        <w:br w:type="page"/>
      </w:r>
    </w:p>
    <w:p w14:paraId="77FDBE00" w14:textId="77777777" w:rsidR="00BA5FA0" w:rsidRDefault="00BA5FA0" w:rsidP="00BA5FA0">
      <w:pPr>
        <w:pStyle w:val="FigureHeading"/>
        <w:spacing w:before="0"/>
      </w:pPr>
      <w:bookmarkStart w:id="112" w:name="_Toc405451009"/>
      <w:bookmarkStart w:id="113" w:name="_Toc405451573"/>
      <w:bookmarkStart w:id="114" w:name="_Toc405473682"/>
      <w:bookmarkStart w:id="115" w:name="_Toc406411737"/>
      <w:bookmarkStart w:id="116" w:name="_Toc406585313"/>
      <w:bookmarkStart w:id="117" w:name="_Toc428435148"/>
      <w:bookmarkEnd w:id="110"/>
      <w:bookmarkEnd w:id="111"/>
      <w:r>
        <w:t xml:space="preserve">Top import products, </w:t>
      </w:r>
      <w:r w:rsidR="00EA21D5">
        <w:t>Tanzania</w:t>
      </w:r>
      <w:r>
        <w:t xml:space="preserve"> (average 2011–13)</w:t>
      </w:r>
      <w:bookmarkEnd w:id="112"/>
      <w:bookmarkEnd w:id="113"/>
      <w:bookmarkEnd w:id="114"/>
      <w:bookmarkEnd w:id="115"/>
      <w:bookmarkEnd w:id="116"/>
      <w:bookmarkEnd w:id="117"/>
    </w:p>
    <w:p w14:paraId="77FDBE01" w14:textId="77777777" w:rsidR="00B96C41" w:rsidRPr="00B96C41" w:rsidRDefault="00B96C41" w:rsidP="00B96C41">
      <w:pPr>
        <w:pStyle w:val="BodyText"/>
      </w:pPr>
      <w:r>
        <w:rPr>
          <w:noProof/>
          <w:lang w:eastAsia="en-GB"/>
        </w:rPr>
        <w:drawing>
          <wp:inline distT="0" distB="0" distL="0" distR="0" wp14:anchorId="77FDBF91" wp14:editId="77FDBF92">
            <wp:extent cx="5044440" cy="2201449"/>
            <wp:effectExtent l="0" t="0" r="381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3">
                      <a:extLst>
                        <a:ext uri="{28A0092B-C50C-407E-A947-70E740481C1C}">
                          <a14:useLocalDpi xmlns:a14="http://schemas.microsoft.com/office/drawing/2010/main" val="0"/>
                        </a:ext>
                      </a:extLst>
                    </a:blip>
                    <a:srcRect l="10177" t="7670"/>
                    <a:stretch/>
                  </pic:blipFill>
                  <pic:spPr bwMode="auto">
                    <a:xfrm>
                      <a:off x="0" y="0"/>
                      <a:ext cx="5043299" cy="2200951"/>
                    </a:xfrm>
                    <a:prstGeom prst="rect">
                      <a:avLst/>
                    </a:prstGeom>
                    <a:noFill/>
                    <a:ln>
                      <a:noFill/>
                    </a:ln>
                    <a:extLst>
                      <a:ext uri="{53640926-AAD7-44D8-BBD7-CCE9431645EC}">
                        <a14:shadowObscured xmlns:a14="http://schemas.microsoft.com/office/drawing/2010/main"/>
                      </a:ext>
                    </a:extLst>
                  </pic:spPr>
                </pic:pic>
              </a:graphicData>
            </a:graphic>
          </wp:inline>
        </w:drawing>
      </w:r>
    </w:p>
    <w:p w14:paraId="77FDBE02" w14:textId="77777777" w:rsidR="00BA5FA0" w:rsidRDefault="00BA5FA0" w:rsidP="00BA5FA0">
      <w:pPr>
        <w:pStyle w:val="Source"/>
      </w:pPr>
      <w:r>
        <w:t>Note: At Harmonised System 6-digit level.</w:t>
      </w:r>
      <w:r>
        <w:br/>
        <w:t xml:space="preserve">Source: Authors’ calculations using data from the </w:t>
      </w:r>
      <w:r w:rsidR="00B96C41">
        <w:t xml:space="preserve">UN’s </w:t>
      </w:r>
      <w:proofErr w:type="spellStart"/>
      <w:r w:rsidR="00B96C41">
        <w:t>COMTRADE</w:t>
      </w:r>
      <w:proofErr w:type="spellEnd"/>
      <w:r w:rsidR="00B96C41">
        <w:t xml:space="preserve"> database</w:t>
      </w:r>
      <w:r>
        <w:t>.</w:t>
      </w:r>
    </w:p>
    <w:p w14:paraId="77FDBE03" w14:textId="77777777" w:rsidR="00AE4EA7" w:rsidRDefault="00AE4EA7" w:rsidP="00BA5FA0">
      <w:pPr>
        <w:pStyle w:val="Source"/>
      </w:pPr>
    </w:p>
    <w:p w14:paraId="77FDBE04" w14:textId="77777777" w:rsidR="00BA5FA0" w:rsidRDefault="00BA5FA0" w:rsidP="00BA5FA0">
      <w:pPr>
        <w:pStyle w:val="FigureHeading"/>
        <w:spacing w:before="0"/>
      </w:pPr>
      <w:bookmarkStart w:id="118" w:name="_Toc405451010"/>
      <w:bookmarkStart w:id="119" w:name="_Toc405451574"/>
      <w:bookmarkStart w:id="120" w:name="_Toc405473683"/>
      <w:bookmarkStart w:id="121" w:name="_Toc406411738"/>
      <w:bookmarkStart w:id="122" w:name="_Toc406585314"/>
      <w:bookmarkStart w:id="123" w:name="_Toc428435149"/>
      <w:r>
        <w:t xml:space="preserve">Top import sources, </w:t>
      </w:r>
      <w:r w:rsidR="00EA21D5">
        <w:t>Tanzania</w:t>
      </w:r>
      <w:r>
        <w:t xml:space="preserve"> (average 2011–13)</w:t>
      </w:r>
      <w:bookmarkEnd w:id="118"/>
      <w:bookmarkEnd w:id="119"/>
      <w:bookmarkEnd w:id="120"/>
      <w:bookmarkEnd w:id="121"/>
      <w:bookmarkEnd w:id="122"/>
      <w:bookmarkEnd w:id="123"/>
    </w:p>
    <w:p w14:paraId="77FDBE05" w14:textId="77777777" w:rsidR="00B96C41" w:rsidRPr="00B96C41" w:rsidRDefault="00B96C41" w:rsidP="00232565">
      <w:pPr>
        <w:pStyle w:val="BodyText"/>
        <w:spacing w:before="39" w:after="0" w:line="240" w:lineRule="auto"/>
        <w:jc w:val="left"/>
      </w:pPr>
      <w:r>
        <w:rPr>
          <w:noProof/>
          <w:lang w:eastAsia="en-GB"/>
        </w:rPr>
        <w:drawing>
          <wp:inline distT="0" distB="0" distL="0" distR="0" wp14:anchorId="77FDBF93" wp14:editId="77FDBF94">
            <wp:extent cx="5059680" cy="2262410"/>
            <wp:effectExtent l="0" t="0" r="762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4">
                      <a:extLst>
                        <a:ext uri="{28A0092B-C50C-407E-A947-70E740481C1C}">
                          <a14:useLocalDpi xmlns:a14="http://schemas.microsoft.com/office/drawing/2010/main" val="0"/>
                        </a:ext>
                      </a:extLst>
                    </a:blip>
                    <a:srcRect l="9905" t="5113"/>
                    <a:stretch/>
                  </pic:blipFill>
                  <pic:spPr bwMode="auto">
                    <a:xfrm>
                      <a:off x="0" y="0"/>
                      <a:ext cx="5058535" cy="2261898"/>
                    </a:xfrm>
                    <a:prstGeom prst="rect">
                      <a:avLst/>
                    </a:prstGeom>
                    <a:noFill/>
                    <a:ln>
                      <a:noFill/>
                    </a:ln>
                    <a:extLst>
                      <a:ext uri="{53640926-AAD7-44D8-BBD7-CCE9431645EC}">
                        <a14:shadowObscured xmlns:a14="http://schemas.microsoft.com/office/drawing/2010/main"/>
                      </a:ext>
                    </a:extLst>
                  </pic:spPr>
                </pic:pic>
              </a:graphicData>
            </a:graphic>
          </wp:inline>
        </w:drawing>
      </w:r>
    </w:p>
    <w:p w14:paraId="77FDBE06" w14:textId="77777777" w:rsidR="00BA5FA0" w:rsidRDefault="00BA5FA0" w:rsidP="00BA5FA0">
      <w:pPr>
        <w:pStyle w:val="Source"/>
      </w:pPr>
      <w:r>
        <w:t xml:space="preserve">Source: Authors’ calculations using data from the </w:t>
      </w:r>
      <w:r w:rsidR="00B96C41">
        <w:t xml:space="preserve">UN’s </w:t>
      </w:r>
      <w:proofErr w:type="spellStart"/>
      <w:r w:rsidR="00B96C41">
        <w:t>COMTRADE</w:t>
      </w:r>
      <w:proofErr w:type="spellEnd"/>
      <w:r w:rsidR="00B96C41">
        <w:t xml:space="preserve"> database</w:t>
      </w:r>
      <w:r>
        <w:t>.</w:t>
      </w:r>
    </w:p>
    <w:p w14:paraId="77FDBE07" w14:textId="77777777" w:rsidR="00104401" w:rsidRDefault="00104401">
      <w:pPr>
        <w:rPr>
          <w:rFonts w:ascii="Arial" w:hAnsi="Arial"/>
          <w:i/>
          <w:sz w:val="16"/>
        </w:rPr>
      </w:pPr>
      <w:r>
        <w:rPr>
          <w:rFonts w:ascii="Arial" w:hAnsi="Arial"/>
          <w:i/>
          <w:sz w:val="16"/>
        </w:rPr>
        <w:br w:type="page"/>
      </w:r>
    </w:p>
    <w:p w14:paraId="77FDBE08" w14:textId="77777777" w:rsidR="00C91C87" w:rsidRDefault="00104401" w:rsidP="00104401">
      <w:pPr>
        <w:pStyle w:val="Heading2"/>
      </w:pPr>
      <w:bookmarkStart w:id="124" w:name="_Toc428435150"/>
      <w:r>
        <w:t>Diversification</w:t>
      </w:r>
      <w:bookmarkEnd w:id="124"/>
    </w:p>
    <w:p w14:paraId="77FDBE09" w14:textId="77777777" w:rsidR="00104401" w:rsidRDefault="00104401" w:rsidP="00104401">
      <w:pPr>
        <w:pStyle w:val="FigureHeading"/>
        <w:spacing w:before="0"/>
      </w:pPr>
      <w:bookmarkStart w:id="125" w:name="_Toc406585301"/>
      <w:bookmarkStart w:id="126" w:name="_Toc428435151"/>
      <w:r>
        <w:t>Export diversification index, Tanzania, 1965–2010</w:t>
      </w:r>
      <w:bookmarkEnd w:id="125"/>
      <w:bookmarkEnd w:id="126"/>
    </w:p>
    <w:p w14:paraId="77FDBE0A" w14:textId="77777777" w:rsidR="00104401" w:rsidRPr="00232565" w:rsidRDefault="00104401" w:rsidP="00104401">
      <w:pPr>
        <w:pStyle w:val="BodyText"/>
        <w:spacing w:before="39" w:after="0" w:line="240" w:lineRule="auto"/>
        <w:jc w:val="left"/>
      </w:pPr>
      <w:r>
        <w:rPr>
          <w:noProof/>
          <w:lang w:eastAsia="en-GB"/>
        </w:rPr>
        <w:drawing>
          <wp:inline distT="0" distB="0" distL="0" distR="0" wp14:anchorId="77FDBF95" wp14:editId="77FDBF96">
            <wp:extent cx="4114800" cy="22860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7FDBE0B" w14:textId="77777777" w:rsidR="00104401" w:rsidRDefault="00104401" w:rsidP="00104401">
      <w:pPr>
        <w:pStyle w:val="Source"/>
      </w:pPr>
      <w:r>
        <w:t>Notes</w:t>
      </w:r>
      <w:proofErr w:type="gramStart"/>
      <w:r>
        <w:t>:</w:t>
      </w:r>
      <w:proofErr w:type="gramEnd"/>
      <w:r>
        <w:br/>
        <w:t>Higher values reflect lower diversification.</w:t>
      </w:r>
      <w:r>
        <w:br/>
      </w:r>
      <w:r w:rsidRPr="00A8569F">
        <w:rPr>
          <w:b/>
        </w:rPr>
        <w:t>Extensive export diversification</w:t>
      </w:r>
      <w:r w:rsidRPr="00A8569F">
        <w:t xml:space="preserve"> reflects an increase in the number of export products or trading partners.</w:t>
      </w:r>
      <w:r w:rsidRPr="00A8569F">
        <w:br/>
      </w:r>
      <w:r w:rsidRPr="00A8569F">
        <w:rPr>
          <w:b/>
        </w:rPr>
        <w:t>Intensive export diversification</w:t>
      </w:r>
      <w:r w:rsidRPr="00A8569F">
        <w:t xml:space="preserve"> considers the shares of export volumes across active products or trading partners. Thus, a country is less diversified when export revenues are driven by only a few sectors or trading partners, even though the country might be exporting many different goods or to many different trading partners. Countries with a more evenly balanced mix of exports or trading partners have a higher level of intensive diversification.</w:t>
      </w:r>
      <w:r>
        <w:br/>
        <w:t>Source: DFID–IMF Diversification Toolkit (</w:t>
      </w:r>
      <w:hyperlink r:id="rId96" w:history="1">
        <w:r w:rsidRPr="005C6F94">
          <w:rPr>
            <w:rStyle w:val="Hyperlink"/>
          </w:rPr>
          <w:t>http://www.imf.org/external/np/res/dfidimf/diversification.htm</w:t>
        </w:r>
      </w:hyperlink>
      <w:r>
        <w:t xml:space="preserve">): Export Diversification Database. </w:t>
      </w:r>
    </w:p>
    <w:p w14:paraId="77FDBE0C" w14:textId="77777777" w:rsidR="00AE4EA7" w:rsidRDefault="00AE4EA7" w:rsidP="00104401">
      <w:pPr>
        <w:pStyle w:val="Source"/>
      </w:pPr>
    </w:p>
    <w:p w14:paraId="77FDBE0D" w14:textId="77777777" w:rsidR="00104401" w:rsidRDefault="00104401" w:rsidP="00104401">
      <w:pPr>
        <w:pStyle w:val="FigureHeading"/>
      </w:pPr>
      <w:bookmarkStart w:id="127" w:name="_Toc406411726"/>
      <w:bookmarkStart w:id="128" w:name="_Toc406585302"/>
      <w:bookmarkStart w:id="129" w:name="_Toc428435152"/>
      <w:r>
        <w:t>Export quality index, Tanzania, 1966–2010</w:t>
      </w:r>
      <w:bookmarkEnd w:id="127"/>
      <w:bookmarkEnd w:id="128"/>
      <w:bookmarkEnd w:id="129"/>
    </w:p>
    <w:p w14:paraId="77FDBE0E" w14:textId="77777777" w:rsidR="00104401" w:rsidRPr="00232565" w:rsidRDefault="00104401" w:rsidP="00104401">
      <w:pPr>
        <w:pStyle w:val="BodyText"/>
        <w:spacing w:before="39" w:after="0" w:line="240" w:lineRule="auto"/>
        <w:jc w:val="left"/>
      </w:pPr>
      <w:r>
        <w:rPr>
          <w:noProof/>
          <w:lang w:eastAsia="en-GB"/>
        </w:rPr>
        <w:drawing>
          <wp:inline distT="0" distB="0" distL="0" distR="0" wp14:anchorId="77FDBF97" wp14:editId="77FDBF98">
            <wp:extent cx="5613400" cy="2743200"/>
            <wp:effectExtent l="0" t="0" r="63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77FDBE0F" w14:textId="77777777" w:rsidR="00104401" w:rsidRDefault="00104401" w:rsidP="00104401">
      <w:pPr>
        <w:pStyle w:val="Source"/>
      </w:pPr>
      <w:r>
        <w:t>Source: DFID–IMF Diversification Toolkit (</w:t>
      </w:r>
      <w:hyperlink r:id="rId98" w:history="1">
        <w:r w:rsidRPr="005C6F94">
          <w:rPr>
            <w:rStyle w:val="Hyperlink"/>
          </w:rPr>
          <w:t>http://www.imf.org/external/np/res/dfidimf/diversification.htm</w:t>
        </w:r>
      </w:hyperlink>
      <w:r>
        <w:t xml:space="preserve">): Export Quality Database. </w:t>
      </w:r>
    </w:p>
    <w:p w14:paraId="77FDBE10" w14:textId="77777777" w:rsidR="00104401" w:rsidRDefault="00104401">
      <w:r>
        <w:br w:type="page"/>
      </w:r>
    </w:p>
    <w:p w14:paraId="77FDBE11" w14:textId="77777777" w:rsidR="00800C4B" w:rsidRDefault="00800C4B" w:rsidP="00800C4B">
      <w:pPr>
        <w:pStyle w:val="FigureHeading"/>
        <w:spacing w:before="0"/>
      </w:pPr>
      <w:bookmarkStart w:id="130" w:name="_Toc405473675"/>
      <w:bookmarkStart w:id="131" w:name="_Toc406411730"/>
      <w:bookmarkStart w:id="132" w:name="_Toc406585306"/>
      <w:bookmarkStart w:id="133" w:name="_Toc428435153"/>
      <w:bookmarkStart w:id="134" w:name="_Toc408300389"/>
      <w:r>
        <w:t>Number of export items and markets, Tanzania, 2005–13</w:t>
      </w:r>
      <w:bookmarkEnd w:id="130"/>
      <w:bookmarkEnd w:id="131"/>
      <w:bookmarkEnd w:id="132"/>
      <w:bookmarkEnd w:id="133"/>
    </w:p>
    <w:p w14:paraId="77FDBE12" w14:textId="77777777" w:rsidR="00800C4B" w:rsidRPr="00C51D05" w:rsidRDefault="00800C4B" w:rsidP="00800C4B">
      <w:pPr>
        <w:pStyle w:val="BodyText"/>
        <w:spacing w:before="39" w:after="0" w:line="240" w:lineRule="auto"/>
        <w:jc w:val="left"/>
      </w:pPr>
      <w:r>
        <w:rPr>
          <w:noProof/>
          <w:lang w:eastAsia="en-GB"/>
        </w:rPr>
        <w:drawing>
          <wp:inline distT="0" distB="0" distL="0" distR="0" wp14:anchorId="77FDBF99" wp14:editId="77FDBF9A">
            <wp:extent cx="4572000" cy="22860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77FDBE13" w14:textId="77777777" w:rsidR="00800C4B" w:rsidRDefault="00800C4B" w:rsidP="00800C4B">
      <w:pPr>
        <w:pStyle w:val="Source"/>
      </w:pPr>
      <w:r>
        <w:t>Note: EU countries counted individually.</w:t>
      </w:r>
      <w:r>
        <w:br/>
        <w:t xml:space="preserve">Source: Authors’ calculation using data from the UN’s </w:t>
      </w:r>
      <w:proofErr w:type="spellStart"/>
      <w:r>
        <w:t>COMTRADE</w:t>
      </w:r>
      <w:proofErr w:type="spellEnd"/>
      <w:r>
        <w:t xml:space="preserve"> database.</w:t>
      </w:r>
    </w:p>
    <w:p w14:paraId="77FDBE14" w14:textId="77777777" w:rsidR="00AE4EA7" w:rsidRDefault="00AE4EA7" w:rsidP="00800C4B">
      <w:pPr>
        <w:pStyle w:val="Source"/>
      </w:pPr>
    </w:p>
    <w:p w14:paraId="77FDBE15" w14:textId="77777777" w:rsidR="00800C4B" w:rsidRDefault="00800C4B" w:rsidP="00800C4B">
      <w:pPr>
        <w:pStyle w:val="FigureHeading"/>
        <w:spacing w:before="0"/>
      </w:pPr>
      <w:bookmarkStart w:id="135" w:name="_Toc405473681"/>
      <w:bookmarkStart w:id="136" w:name="_Toc406411736"/>
      <w:bookmarkStart w:id="137" w:name="_Toc406585312"/>
      <w:bookmarkStart w:id="138" w:name="_Toc428435154"/>
      <w:r>
        <w:t>Number of import items and suppliers, Tanzania, 2005–13</w:t>
      </w:r>
      <w:bookmarkEnd w:id="135"/>
      <w:bookmarkEnd w:id="136"/>
      <w:bookmarkEnd w:id="137"/>
      <w:bookmarkEnd w:id="138"/>
    </w:p>
    <w:p w14:paraId="77FDBE16" w14:textId="77777777" w:rsidR="00800C4B" w:rsidRDefault="00800C4B" w:rsidP="00800C4B">
      <w:pPr>
        <w:pStyle w:val="Source"/>
      </w:pPr>
      <w:r>
        <w:rPr>
          <w:noProof/>
          <w:lang w:eastAsia="en-GB"/>
        </w:rPr>
        <w:drawing>
          <wp:inline distT="0" distB="0" distL="0" distR="0" wp14:anchorId="77FDBF9B" wp14:editId="77FDBF9C">
            <wp:extent cx="4572000" cy="228600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br/>
        <w:t>Note: EU countries counted individually.</w:t>
      </w:r>
      <w:r>
        <w:br/>
        <w:t xml:space="preserve">Source: Authors’ calculation using data from the UN’s </w:t>
      </w:r>
      <w:proofErr w:type="spellStart"/>
      <w:r>
        <w:t>COMTRADE</w:t>
      </w:r>
      <w:proofErr w:type="spellEnd"/>
      <w:r>
        <w:t xml:space="preserve"> database.</w:t>
      </w:r>
    </w:p>
    <w:p w14:paraId="77FDBE17" w14:textId="77777777" w:rsidR="00800C4B" w:rsidRDefault="00800C4B">
      <w:pPr>
        <w:rPr>
          <w:rFonts w:ascii="Arial" w:eastAsia="Times New Roman" w:hAnsi="Arial"/>
          <w:b/>
          <w:color w:val="006C67" w:themeColor="accent1"/>
          <w:sz w:val="28"/>
          <w:szCs w:val="26"/>
        </w:rPr>
      </w:pPr>
      <w:r>
        <w:br w:type="page"/>
      </w:r>
    </w:p>
    <w:p w14:paraId="77FDBE19" w14:textId="77777777" w:rsidR="00DA39CA" w:rsidRDefault="00DA39CA" w:rsidP="00DA39CA">
      <w:pPr>
        <w:pStyle w:val="Heading2"/>
      </w:pPr>
      <w:bookmarkStart w:id="139" w:name="_Toc409172708"/>
      <w:bookmarkStart w:id="140" w:name="_Toc409174188"/>
      <w:bookmarkStart w:id="141" w:name="_Toc409179346"/>
      <w:bookmarkStart w:id="142" w:name="_Toc428435155"/>
      <w:r>
        <w:t>Revealed comparative advantage</w:t>
      </w:r>
      <w:bookmarkEnd w:id="139"/>
      <w:bookmarkEnd w:id="140"/>
      <w:bookmarkEnd w:id="141"/>
      <w:bookmarkEnd w:id="142"/>
    </w:p>
    <w:p w14:paraId="77FDBE1A" w14:textId="77777777" w:rsidR="00DA39CA" w:rsidRPr="0063355C" w:rsidRDefault="00DA39CA" w:rsidP="00DA39CA">
      <w:pPr>
        <w:pStyle w:val="TableHeading"/>
      </w:pPr>
      <w:bookmarkStart w:id="143" w:name="_Toc409172709"/>
      <w:bookmarkStart w:id="144" w:name="_Toc409174189"/>
      <w:bookmarkStart w:id="145" w:name="_Toc409179347"/>
      <w:bookmarkStart w:id="146" w:name="_Toc428435156"/>
      <w:r>
        <w:t xml:space="preserve">Revealed comparative advantage by HS Section, </w:t>
      </w:r>
      <w:bookmarkEnd w:id="143"/>
      <w:bookmarkEnd w:id="144"/>
      <w:bookmarkEnd w:id="145"/>
      <w:r>
        <w:t>Tanzania</w:t>
      </w:r>
      <w:bookmarkEnd w:id="146"/>
    </w:p>
    <w:tbl>
      <w:tblPr>
        <w:tblW w:w="5000" w:type="pct"/>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571"/>
        <w:gridCol w:w="3883"/>
        <w:gridCol w:w="487"/>
        <w:gridCol w:w="487"/>
        <w:gridCol w:w="487"/>
        <w:gridCol w:w="488"/>
        <w:gridCol w:w="487"/>
        <w:gridCol w:w="487"/>
        <w:gridCol w:w="488"/>
        <w:gridCol w:w="487"/>
        <w:gridCol w:w="488"/>
      </w:tblGrid>
      <w:tr w:rsidR="00DA39CA" w:rsidRPr="0063355C" w14:paraId="77FDBE26" w14:textId="77777777" w:rsidTr="00CA1C90">
        <w:trPr>
          <w:trHeight w:val="240"/>
        </w:trPr>
        <w:tc>
          <w:tcPr>
            <w:tcW w:w="571" w:type="dxa"/>
            <w:shd w:val="clear" w:color="auto" w:fill="E0E0E0" w:themeFill="accent4"/>
            <w:hideMark/>
          </w:tcPr>
          <w:p w14:paraId="77FDBE1B" w14:textId="77777777" w:rsidR="00DA39CA" w:rsidRPr="0063355C" w:rsidRDefault="00DA39CA" w:rsidP="00CA1C90">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HS Sect</w:t>
            </w:r>
            <w:r>
              <w:rPr>
                <w:rFonts w:asciiTheme="majorHAnsi" w:eastAsia="Times New Roman" w:hAnsiTheme="majorHAnsi" w:cstheme="majorHAnsi"/>
                <w:b/>
                <w:bCs/>
                <w:color w:val="000000"/>
                <w:sz w:val="16"/>
                <w:szCs w:val="16"/>
                <w:lang w:eastAsia="en-GB"/>
              </w:rPr>
              <w:t>.</w:t>
            </w:r>
          </w:p>
        </w:tc>
        <w:tc>
          <w:tcPr>
            <w:tcW w:w="3883" w:type="dxa"/>
            <w:shd w:val="clear" w:color="auto" w:fill="E0E0E0" w:themeFill="accent4"/>
            <w:hideMark/>
          </w:tcPr>
          <w:p w14:paraId="77FDBE1C" w14:textId="77777777" w:rsidR="00DA39CA" w:rsidRPr="0063355C" w:rsidRDefault="00DA39CA" w:rsidP="00CA1C90">
            <w:pPr>
              <w:spacing w:before="60" w:after="40"/>
              <w:ind w:left="72" w:right="72"/>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Product label</w:t>
            </w:r>
          </w:p>
        </w:tc>
        <w:tc>
          <w:tcPr>
            <w:tcW w:w="487" w:type="dxa"/>
            <w:shd w:val="clear" w:color="auto" w:fill="E0E0E0" w:themeFill="accent4"/>
          </w:tcPr>
          <w:p w14:paraId="77FDBE1D" w14:textId="77777777" w:rsidR="00DA39CA" w:rsidRPr="0063355C" w:rsidRDefault="00DA39CA" w:rsidP="00CA1C90">
            <w:pPr>
              <w:spacing w:before="60" w:after="40"/>
              <w:jc w:val="center"/>
              <w:rPr>
                <w:rFonts w:asciiTheme="majorHAnsi" w:eastAsia="Times New Roman" w:hAnsiTheme="majorHAnsi" w:cstheme="majorHAnsi"/>
                <w:b/>
                <w:bCs/>
                <w:color w:val="000000"/>
                <w:sz w:val="16"/>
                <w:szCs w:val="16"/>
                <w:lang w:eastAsia="en-GB"/>
              </w:rPr>
            </w:pPr>
            <w:r>
              <w:rPr>
                <w:rFonts w:asciiTheme="majorHAnsi" w:eastAsia="Times New Roman" w:hAnsiTheme="majorHAnsi" w:cstheme="majorHAnsi"/>
                <w:b/>
                <w:bCs/>
                <w:color w:val="000000"/>
                <w:sz w:val="16"/>
                <w:szCs w:val="16"/>
                <w:lang w:eastAsia="en-GB"/>
              </w:rPr>
              <w:t>2005</w:t>
            </w:r>
          </w:p>
        </w:tc>
        <w:tc>
          <w:tcPr>
            <w:tcW w:w="487" w:type="dxa"/>
            <w:shd w:val="clear" w:color="auto" w:fill="E0E0E0" w:themeFill="accent4"/>
            <w:hideMark/>
          </w:tcPr>
          <w:p w14:paraId="77FDBE1E" w14:textId="77777777" w:rsidR="00DA39CA" w:rsidRPr="0063355C" w:rsidRDefault="00DA39CA" w:rsidP="00CA1C90">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2006</w:t>
            </w:r>
          </w:p>
        </w:tc>
        <w:tc>
          <w:tcPr>
            <w:tcW w:w="487" w:type="dxa"/>
            <w:shd w:val="clear" w:color="auto" w:fill="E0E0E0" w:themeFill="accent4"/>
            <w:hideMark/>
          </w:tcPr>
          <w:p w14:paraId="77FDBE1F" w14:textId="77777777" w:rsidR="00DA39CA" w:rsidRPr="0063355C" w:rsidRDefault="00DA39CA" w:rsidP="00CA1C90">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2007</w:t>
            </w:r>
          </w:p>
        </w:tc>
        <w:tc>
          <w:tcPr>
            <w:tcW w:w="488" w:type="dxa"/>
            <w:shd w:val="clear" w:color="auto" w:fill="E0E0E0" w:themeFill="accent4"/>
            <w:hideMark/>
          </w:tcPr>
          <w:p w14:paraId="77FDBE20" w14:textId="77777777" w:rsidR="00DA39CA" w:rsidRPr="0063355C" w:rsidRDefault="00DA39CA" w:rsidP="00CA1C90">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2008</w:t>
            </w:r>
          </w:p>
        </w:tc>
        <w:tc>
          <w:tcPr>
            <w:tcW w:w="487" w:type="dxa"/>
            <w:shd w:val="clear" w:color="auto" w:fill="E0E0E0" w:themeFill="accent4"/>
            <w:hideMark/>
          </w:tcPr>
          <w:p w14:paraId="77FDBE21" w14:textId="77777777" w:rsidR="00DA39CA" w:rsidRPr="0063355C" w:rsidRDefault="00DA39CA" w:rsidP="00CA1C90">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2009</w:t>
            </w:r>
          </w:p>
        </w:tc>
        <w:tc>
          <w:tcPr>
            <w:tcW w:w="487" w:type="dxa"/>
            <w:shd w:val="clear" w:color="auto" w:fill="E0E0E0" w:themeFill="accent4"/>
            <w:hideMark/>
          </w:tcPr>
          <w:p w14:paraId="77FDBE22" w14:textId="77777777" w:rsidR="00DA39CA" w:rsidRPr="0063355C" w:rsidRDefault="00DA39CA" w:rsidP="00CA1C90">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2010</w:t>
            </w:r>
          </w:p>
        </w:tc>
        <w:tc>
          <w:tcPr>
            <w:tcW w:w="488" w:type="dxa"/>
            <w:shd w:val="clear" w:color="auto" w:fill="E0E0E0" w:themeFill="accent4"/>
            <w:hideMark/>
          </w:tcPr>
          <w:p w14:paraId="77FDBE23" w14:textId="77777777" w:rsidR="00DA39CA" w:rsidRPr="0063355C" w:rsidRDefault="00DA39CA" w:rsidP="00CA1C90">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2011</w:t>
            </w:r>
          </w:p>
        </w:tc>
        <w:tc>
          <w:tcPr>
            <w:tcW w:w="487" w:type="dxa"/>
            <w:shd w:val="clear" w:color="auto" w:fill="E0E0E0" w:themeFill="accent4"/>
            <w:hideMark/>
          </w:tcPr>
          <w:p w14:paraId="77FDBE24" w14:textId="77777777" w:rsidR="00DA39CA" w:rsidRPr="0063355C" w:rsidRDefault="00DA39CA" w:rsidP="00CA1C90">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2012</w:t>
            </w:r>
          </w:p>
        </w:tc>
        <w:tc>
          <w:tcPr>
            <w:tcW w:w="488" w:type="dxa"/>
            <w:shd w:val="clear" w:color="auto" w:fill="E0E0E0" w:themeFill="accent4"/>
            <w:hideMark/>
          </w:tcPr>
          <w:p w14:paraId="77FDBE25" w14:textId="77777777" w:rsidR="00DA39CA" w:rsidRPr="0063355C" w:rsidRDefault="00DA39CA" w:rsidP="00CA1C90">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2013</w:t>
            </w:r>
          </w:p>
        </w:tc>
      </w:tr>
      <w:tr w:rsidR="00DA39CA" w:rsidRPr="0063355C" w14:paraId="77FDBE32" w14:textId="77777777" w:rsidTr="00CA1C90">
        <w:trPr>
          <w:trHeight w:val="240"/>
        </w:trPr>
        <w:tc>
          <w:tcPr>
            <w:tcW w:w="571" w:type="dxa"/>
            <w:shd w:val="clear" w:color="auto" w:fill="auto"/>
            <w:noWrap/>
            <w:hideMark/>
          </w:tcPr>
          <w:p w14:paraId="77FDBE27" w14:textId="77777777" w:rsidR="00DA39CA" w:rsidRPr="0063355C" w:rsidRDefault="00DA39CA" w:rsidP="00CA1C90">
            <w:pPr>
              <w:spacing w:line="220" w:lineRule="atLeast"/>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 </w:t>
            </w:r>
          </w:p>
        </w:tc>
        <w:tc>
          <w:tcPr>
            <w:tcW w:w="3883" w:type="dxa"/>
            <w:shd w:val="clear" w:color="auto" w:fill="auto"/>
            <w:noWrap/>
            <w:hideMark/>
          </w:tcPr>
          <w:p w14:paraId="77FDBE28" w14:textId="77777777" w:rsidR="00DA39CA" w:rsidRPr="0063355C" w:rsidRDefault="00DA39CA" w:rsidP="00CA1C90">
            <w:pPr>
              <w:spacing w:line="220" w:lineRule="atLeast"/>
              <w:ind w:left="72" w:right="72"/>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Total in HS 1-97</w:t>
            </w:r>
          </w:p>
        </w:tc>
        <w:tc>
          <w:tcPr>
            <w:tcW w:w="487" w:type="dxa"/>
            <w:vAlign w:val="center"/>
          </w:tcPr>
          <w:p w14:paraId="77FDBE29" w14:textId="77777777" w:rsidR="00DA39CA" w:rsidRPr="00DA39CA" w:rsidRDefault="00DA39CA" w:rsidP="00CA1C90">
            <w:pPr>
              <w:spacing w:line="220" w:lineRule="atLeast"/>
              <w:jc w:val="center"/>
              <w:rPr>
                <w:rFonts w:ascii="Arial" w:eastAsia="Times New Roman" w:hAnsi="Arial" w:cs="Arial"/>
                <w:b/>
                <w:bCs/>
                <w:color w:val="000000"/>
                <w:sz w:val="16"/>
                <w:szCs w:val="18"/>
                <w:lang w:eastAsia="en-GB"/>
              </w:rPr>
            </w:pPr>
            <w:r w:rsidRPr="00DA39CA">
              <w:rPr>
                <w:rFonts w:ascii="Arial" w:eastAsia="Times New Roman" w:hAnsi="Arial" w:cs="Arial"/>
                <w:b/>
                <w:bCs/>
                <w:color w:val="000000"/>
                <w:sz w:val="16"/>
                <w:szCs w:val="18"/>
                <w:lang w:eastAsia="en-GB"/>
              </w:rPr>
              <w:t>1.00</w:t>
            </w:r>
          </w:p>
        </w:tc>
        <w:tc>
          <w:tcPr>
            <w:tcW w:w="487" w:type="dxa"/>
            <w:shd w:val="clear" w:color="auto" w:fill="auto"/>
            <w:noWrap/>
            <w:vAlign w:val="center"/>
          </w:tcPr>
          <w:p w14:paraId="77FDBE2A" w14:textId="77777777" w:rsidR="00DA39CA" w:rsidRPr="00DA39CA" w:rsidRDefault="00DA39CA" w:rsidP="00CA1C90">
            <w:pPr>
              <w:spacing w:line="220" w:lineRule="atLeast"/>
              <w:jc w:val="center"/>
              <w:rPr>
                <w:rFonts w:ascii="Arial" w:eastAsia="Times New Roman" w:hAnsi="Arial" w:cs="Arial"/>
                <w:b/>
                <w:bCs/>
                <w:color w:val="000000"/>
                <w:sz w:val="16"/>
                <w:szCs w:val="18"/>
                <w:lang w:eastAsia="en-GB"/>
              </w:rPr>
            </w:pPr>
            <w:r w:rsidRPr="00DA39CA">
              <w:rPr>
                <w:rFonts w:ascii="Arial" w:eastAsia="Times New Roman" w:hAnsi="Arial" w:cs="Arial"/>
                <w:b/>
                <w:bCs/>
                <w:color w:val="000000"/>
                <w:sz w:val="16"/>
                <w:szCs w:val="18"/>
                <w:lang w:eastAsia="en-GB"/>
              </w:rPr>
              <w:t>1.00</w:t>
            </w:r>
          </w:p>
        </w:tc>
        <w:tc>
          <w:tcPr>
            <w:tcW w:w="487" w:type="dxa"/>
            <w:shd w:val="clear" w:color="auto" w:fill="auto"/>
            <w:noWrap/>
            <w:vAlign w:val="center"/>
          </w:tcPr>
          <w:p w14:paraId="77FDBE2B" w14:textId="77777777" w:rsidR="00DA39CA" w:rsidRPr="00DA39CA" w:rsidRDefault="00DA39CA" w:rsidP="00CA1C90">
            <w:pPr>
              <w:spacing w:line="220" w:lineRule="atLeast"/>
              <w:jc w:val="center"/>
              <w:rPr>
                <w:rFonts w:ascii="Arial" w:eastAsia="Times New Roman" w:hAnsi="Arial" w:cs="Arial"/>
                <w:b/>
                <w:bCs/>
                <w:color w:val="000000"/>
                <w:sz w:val="16"/>
                <w:szCs w:val="18"/>
                <w:lang w:eastAsia="en-GB"/>
              </w:rPr>
            </w:pPr>
            <w:r w:rsidRPr="00DA39CA">
              <w:rPr>
                <w:rFonts w:ascii="Arial" w:eastAsia="Times New Roman" w:hAnsi="Arial" w:cs="Arial"/>
                <w:b/>
                <w:bCs/>
                <w:color w:val="000000"/>
                <w:sz w:val="16"/>
                <w:szCs w:val="18"/>
                <w:lang w:eastAsia="en-GB"/>
              </w:rPr>
              <w:t>1.00</w:t>
            </w:r>
          </w:p>
        </w:tc>
        <w:tc>
          <w:tcPr>
            <w:tcW w:w="488" w:type="dxa"/>
            <w:shd w:val="clear" w:color="auto" w:fill="auto"/>
            <w:noWrap/>
            <w:vAlign w:val="center"/>
          </w:tcPr>
          <w:p w14:paraId="77FDBE2C" w14:textId="77777777" w:rsidR="00DA39CA" w:rsidRPr="00DA39CA" w:rsidRDefault="00DA39CA" w:rsidP="00CA1C90">
            <w:pPr>
              <w:spacing w:line="220" w:lineRule="atLeast"/>
              <w:jc w:val="center"/>
              <w:rPr>
                <w:rFonts w:ascii="Arial" w:eastAsia="Times New Roman" w:hAnsi="Arial" w:cs="Arial"/>
                <w:b/>
                <w:bCs/>
                <w:color w:val="000000"/>
                <w:sz w:val="16"/>
                <w:szCs w:val="18"/>
                <w:lang w:eastAsia="en-GB"/>
              </w:rPr>
            </w:pPr>
            <w:r w:rsidRPr="00DA39CA">
              <w:rPr>
                <w:rFonts w:ascii="Arial" w:eastAsia="Times New Roman" w:hAnsi="Arial" w:cs="Arial"/>
                <w:b/>
                <w:bCs/>
                <w:color w:val="000000"/>
                <w:sz w:val="16"/>
                <w:szCs w:val="18"/>
                <w:lang w:eastAsia="en-GB"/>
              </w:rPr>
              <w:t>1.00</w:t>
            </w:r>
          </w:p>
        </w:tc>
        <w:tc>
          <w:tcPr>
            <w:tcW w:w="487" w:type="dxa"/>
            <w:shd w:val="clear" w:color="auto" w:fill="auto"/>
            <w:noWrap/>
            <w:vAlign w:val="center"/>
          </w:tcPr>
          <w:p w14:paraId="77FDBE2D" w14:textId="77777777" w:rsidR="00DA39CA" w:rsidRPr="00DA39CA" w:rsidRDefault="00DA39CA" w:rsidP="00CA1C90">
            <w:pPr>
              <w:spacing w:line="220" w:lineRule="atLeast"/>
              <w:jc w:val="center"/>
              <w:rPr>
                <w:rFonts w:ascii="Arial" w:eastAsia="Times New Roman" w:hAnsi="Arial" w:cs="Arial"/>
                <w:b/>
                <w:bCs/>
                <w:color w:val="000000"/>
                <w:sz w:val="16"/>
                <w:szCs w:val="18"/>
                <w:lang w:eastAsia="en-GB"/>
              </w:rPr>
            </w:pPr>
            <w:r w:rsidRPr="00DA39CA">
              <w:rPr>
                <w:rFonts w:ascii="Arial" w:eastAsia="Times New Roman" w:hAnsi="Arial" w:cs="Arial"/>
                <w:b/>
                <w:bCs/>
                <w:color w:val="000000"/>
                <w:sz w:val="16"/>
                <w:szCs w:val="18"/>
                <w:lang w:eastAsia="en-GB"/>
              </w:rPr>
              <w:t>1.00</w:t>
            </w:r>
          </w:p>
        </w:tc>
        <w:tc>
          <w:tcPr>
            <w:tcW w:w="487" w:type="dxa"/>
            <w:shd w:val="clear" w:color="auto" w:fill="auto"/>
            <w:noWrap/>
            <w:vAlign w:val="center"/>
          </w:tcPr>
          <w:p w14:paraId="77FDBE2E" w14:textId="77777777" w:rsidR="00DA39CA" w:rsidRPr="00DA39CA" w:rsidRDefault="00DA39CA" w:rsidP="00CA1C90">
            <w:pPr>
              <w:spacing w:line="220" w:lineRule="atLeast"/>
              <w:jc w:val="center"/>
              <w:rPr>
                <w:rFonts w:ascii="Arial" w:eastAsia="Times New Roman" w:hAnsi="Arial" w:cs="Arial"/>
                <w:b/>
                <w:bCs/>
                <w:color w:val="000000"/>
                <w:sz w:val="16"/>
                <w:szCs w:val="18"/>
                <w:lang w:eastAsia="en-GB"/>
              </w:rPr>
            </w:pPr>
            <w:r w:rsidRPr="00DA39CA">
              <w:rPr>
                <w:rFonts w:ascii="Arial" w:eastAsia="Times New Roman" w:hAnsi="Arial" w:cs="Arial"/>
                <w:b/>
                <w:bCs/>
                <w:color w:val="000000"/>
                <w:sz w:val="16"/>
                <w:szCs w:val="18"/>
                <w:lang w:eastAsia="en-GB"/>
              </w:rPr>
              <w:t>1.00</w:t>
            </w:r>
          </w:p>
        </w:tc>
        <w:tc>
          <w:tcPr>
            <w:tcW w:w="488" w:type="dxa"/>
            <w:shd w:val="clear" w:color="auto" w:fill="auto"/>
            <w:noWrap/>
            <w:vAlign w:val="center"/>
          </w:tcPr>
          <w:p w14:paraId="77FDBE2F" w14:textId="77777777" w:rsidR="00DA39CA" w:rsidRPr="00DA39CA" w:rsidRDefault="00DA39CA" w:rsidP="00CA1C90">
            <w:pPr>
              <w:spacing w:line="220" w:lineRule="atLeast"/>
              <w:jc w:val="center"/>
              <w:rPr>
                <w:rFonts w:ascii="Arial" w:eastAsia="Times New Roman" w:hAnsi="Arial" w:cs="Arial"/>
                <w:b/>
                <w:bCs/>
                <w:color w:val="000000"/>
                <w:sz w:val="16"/>
                <w:szCs w:val="18"/>
                <w:lang w:eastAsia="en-GB"/>
              </w:rPr>
            </w:pPr>
            <w:r w:rsidRPr="00DA39CA">
              <w:rPr>
                <w:rFonts w:ascii="Arial" w:eastAsia="Times New Roman" w:hAnsi="Arial" w:cs="Arial"/>
                <w:b/>
                <w:bCs/>
                <w:color w:val="000000"/>
                <w:sz w:val="16"/>
                <w:szCs w:val="18"/>
                <w:lang w:eastAsia="en-GB"/>
              </w:rPr>
              <w:t>1.00</w:t>
            </w:r>
          </w:p>
        </w:tc>
        <w:tc>
          <w:tcPr>
            <w:tcW w:w="487" w:type="dxa"/>
            <w:shd w:val="clear" w:color="auto" w:fill="auto"/>
            <w:noWrap/>
            <w:vAlign w:val="center"/>
          </w:tcPr>
          <w:p w14:paraId="77FDBE30" w14:textId="77777777" w:rsidR="00DA39CA" w:rsidRPr="00DA39CA" w:rsidRDefault="00DA39CA" w:rsidP="00CA1C90">
            <w:pPr>
              <w:spacing w:line="220" w:lineRule="atLeast"/>
              <w:jc w:val="center"/>
              <w:rPr>
                <w:rFonts w:ascii="Arial" w:eastAsia="Times New Roman" w:hAnsi="Arial" w:cs="Arial"/>
                <w:b/>
                <w:bCs/>
                <w:color w:val="000000"/>
                <w:sz w:val="16"/>
                <w:szCs w:val="18"/>
                <w:lang w:eastAsia="en-GB"/>
              </w:rPr>
            </w:pPr>
            <w:r w:rsidRPr="00DA39CA">
              <w:rPr>
                <w:rFonts w:ascii="Arial" w:eastAsia="Times New Roman" w:hAnsi="Arial" w:cs="Arial"/>
                <w:b/>
                <w:bCs/>
                <w:color w:val="000000"/>
                <w:sz w:val="16"/>
                <w:szCs w:val="18"/>
                <w:lang w:eastAsia="en-GB"/>
              </w:rPr>
              <w:t>1.00</w:t>
            </w:r>
          </w:p>
        </w:tc>
        <w:tc>
          <w:tcPr>
            <w:tcW w:w="488" w:type="dxa"/>
            <w:shd w:val="clear" w:color="auto" w:fill="auto"/>
            <w:noWrap/>
            <w:vAlign w:val="center"/>
          </w:tcPr>
          <w:p w14:paraId="77FDBE31" w14:textId="77777777" w:rsidR="00DA39CA" w:rsidRPr="00DA39CA" w:rsidRDefault="00DA39CA" w:rsidP="00CA1C90">
            <w:pPr>
              <w:spacing w:line="220" w:lineRule="atLeast"/>
              <w:jc w:val="center"/>
              <w:rPr>
                <w:rFonts w:ascii="Arial" w:eastAsia="Times New Roman" w:hAnsi="Arial" w:cs="Arial"/>
                <w:b/>
                <w:bCs/>
                <w:color w:val="000000"/>
                <w:sz w:val="16"/>
                <w:szCs w:val="18"/>
                <w:lang w:eastAsia="en-GB"/>
              </w:rPr>
            </w:pPr>
            <w:r w:rsidRPr="00DA39CA">
              <w:rPr>
                <w:rFonts w:ascii="Arial" w:eastAsia="Times New Roman" w:hAnsi="Arial" w:cs="Arial"/>
                <w:b/>
                <w:bCs/>
                <w:color w:val="000000"/>
                <w:sz w:val="16"/>
                <w:szCs w:val="18"/>
                <w:lang w:eastAsia="en-GB"/>
              </w:rPr>
              <w:t>1.00</w:t>
            </w:r>
          </w:p>
        </w:tc>
      </w:tr>
      <w:tr w:rsidR="00DA39CA" w:rsidRPr="0063355C" w14:paraId="77FDBE3E" w14:textId="77777777" w:rsidTr="00CA1C90">
        <w:trPr>
          <w:trHeight w:val="240"/>
        </w:trPr>
        <w:tc>
          <w:tcPr>
            <w:tcW w:w="571" w:type="dxa"/>
            <w:shd w:val="clear" w:color="auto" w:fill="auto"/>
            <w:noWrap/>
            <w:hideMark/>
          </w:tcPr>
          <w:p w14:paraId="77FDBE33" w14:textId="77777777" w:rsidR="00DA39CA" w:rsidRPr="0063355C" w:rsidRDefault="00DA39CA" w:rsidP="00CA1C90">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w:t>
            </w:r>
          </w:p>
        </w:tc>
        <w:tc>
          <w:tcPr>
            <w:tcW w:w="3883" w:type="dxa"/>
            <w:shd w:val="clear" w:color="auto" w:fill="auto"/>
            <w:noWrap/>
            <w:vAlign w:val="center"/>
            <w:hideMark/>
          </w:tcPr>
          <w:p w14:paraId="77FDBE34" w14:textId="77777777" w:rsidR="00DA39CA" w:rsidRPr="0063355C" w:rsidRDefault="00DA39CA" w:rsidP="00CA1C90">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Live animals; animal products </w:t>
            </w:r>
          </w:p>
        </w:tc>
        <w:tc>
          <w:tcPr>
            <w:tcW w:w="487" w:type="dxa"/>
            <w:vAlign w:val="center"/>
          </w:tcPr>
          <w:p w14:paraId="77FDBE35"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5.27</w:t>
            </w:r>
          </w:p>
        </w:tc>
        <w:tc>
          <w:tcPr>
            <w:tcW w:w="487" w:type="dxa"/>
            <w:shd w:val="clear" w:color="auto" w:fill="auto"/>
            <w:noWrap/>
            <w:vAlign w:val="center"/>
          </w:tcPr>
          <w:p w14:paraId="77FDBE36"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6.65</w:t>
            </w:r>
          </w:p>
        </w:tc>
        <w:tc>
          <w:tcPr>
            <w:tcW w:w="487" w:type="dxa"/>
            <w:shd w:val="clear" w:color="auto" w:fill="auto"/>
            <w:noWrap/>
            <w:vAlign w:val="center"/>
          </w:tcPr>
          <w:p w14:paraId="77FDBE37"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4.89</w:t>
            </w:r>
          </w:p>
        </w:tc>
        <w:tc>
          <w:tcPr>
            <w:tcW w:w="488" w:type="dxa"/>
            <w:shd w:val="clear" w:color="auto" w:fill="auto"/>
            <w:noWrap/>
            <w:vAlign w:val="center"/>
          </w:tcPr>
          <w:p w14:paraId="77FDBE38"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2.71</w:t>
            </w:r>
          </w:p>
        </w:tc>
        <w:tc>
          <w:tcPr>
            <w:tcW w:w="487" w:type="dxa"/>
            <w:shd w:val="clear" w:color="auto" w:fill="auto"/>
            <w:noWrap/>
            <w:vAlign w:val="center"/>
          </w:tcPr>
          <w:p w14:paraId="77FDBE39"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2.24</w:t>
            </w:r>
          </w:p>
        </w:tc>
        <w:tc>
          <w:tcPr>
            <w:tcW w:w="487" w:type="dxa"/>
            <w:shd w:val="clear" w:color="auto" w:fill="auto"/>
            <w:noWrap/>
            <w:vAlign w:val="center"/>
          </w:tcPr>
          <w:p w14:paraId="77FDBE3A"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1.92</w:t>
            </w:r>
          </w:p>
        </w:tc>
        <w:tc>
          <w:tcPr>
            <w:tcW w:w="488" w:type="dxa"/>
            <w:shd w:val="clear" w:color="auto" w:fill="auto"/>
            <w:noWrap/>
            <w:vAlign w:val="center"/>
          </w:tcPr>
          <w:p w14:paraId="77FDBE3B"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1.55</w:t>
            </w:r>
          </w:p>
        </w:tc>
        <w:tc>
          <w:tcPr>
            <w:tcW w:w="487" w:type="dxa"/>
            <w:shd w:val="clear" w:color="auto" w:fill="auto"/>
            <w:noWrap/>
            <w:vAlign w:val="center"/>
          </w:tcPr>
          <w:p w14:paraId="77FDBE3C"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1.19</w:t>
            </w:r>
          </w:p>
        </w:tc>
        <w:tc>
          <w:tcPr>
            <w:tcW w:w="488" w:type="dxa"/>
            <w:shd w:val="clear" w:color="auto" w:fill="auto"/>
            <w:noWrap/>
            <w:vAlign w:val="center"/>
          </w:tcPr>
          <w:p w14:paraId="77FDBE3D"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1.46</w:t>
            </w:r>
          </w:p>
        </w:tc>
      </w:tr>
      <w:tr w:rsidR="00DA39CA" w:rsidRPr="0063355C" w14:paraId="77FDBE4A" w14:textId="77777777" w:rsidTr="00CA1C90">
        <w:trPr>
          <w:trHeight w:val="240"/>
        </w:trPr>
        <w:tc>
          <w:tcPr>
            <w:tcW w:w="571" w:type="dxa"/>
            <w:shd w:val="clear" w:color="auto" w:fill="auto"/>
            <w:noWrap/>
            <w:hideMark/>
          </w:tcPr>
          <w:p w14:paraId="77FDBE3F" w14:textId="77777777" w:rsidR="00DA39CA" w:rsidRPr="0063355C" w:rsidRDefault="00DA39CA" w:rsidP="00CA1C90">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w:t>
            </w:r>
          </w:p>
        </w:tc>
        <w:tc>
          <w:tcPr>
            <w:tcW w:w="3883" w:type="dxa"/>
            <w:shd w:val="clear" w:color="auto" w:fill="auto"/>
            <w:noWrap/>
            <w:vAlign w:val="center"/>
            <w:hideMark/>
          </w:tcPr>
          <w:p w14:paraId="77FDBE40" w14:textId="77777777" w:rsidR="00DA39CA" w:rsidRPr="0063355C" w:rsidRDefault="00DA39CA" w:rsidP="00CA1C90">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Vegetable products</w:t>
            </w:r>
          </w:p>
        </w:tc>
        <w:tc>
          <w:tcPr>
            <w:tcW w:w="487" w:type="dxa"/>
            <w:vAlign w:val="center"/>
          </w:tcPr>
          <w:p w14:paraId="77FDBE41"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8.15</w:t>
            </w:r>
          </w:p>
        </w:tc>
        <w:tc>
          <w:tcPr>
            <w:tcW w:w="487" w:type="dxa"/>
            <w:shd w:val="clear" w:color="auto" w:fill="auto"/>
            <w:noWrap/>
            <w:vAlign w:val="center"/>
          </w:tcPr>
          <w:p w14:paraId="77FDBE42"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7.61</w:t>
            </w:r>
          </w:p>
        </w:tc>
        <w:tc>
          <w:tcPr>
            <w:tcW w:w="487" w:type="dxa"/>
            <w:shd w:val="clear" w:color="auto" w:fill="auto"/>
            <w:noWrap/>
            <w:vAlign w:val="center"/>
          </w:tcPr>
          <w:p w14:paraId="77FDBE43"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8.94</w:t>
            </w:r>
          </w:p>
        </w:tc>
        <w:tc>
          <w:tcPr>
            <w:tcW w:w="488" w:type="dxa"/>
            <w:shd w:val="clear" w:color="auto" w:fill="auto"/>
            <w:noWrap/>
            <w:vAlign w:val="center"/>
          </w:tcPr>
          <w:p w14:paraId="77FDBE44"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6.37</w:t>
            </w:r>
          </w:p>
        </w:tc>
        <w:tc>
          <w:tcPr>
            <w:tcW w:w="487" w:type="dxa"/>
            <w:shd w:val="clear" w:color="auto" w:fill="auto"/>
            <w:noWrap/>
            <w:vAlign w:val="center"/>
          </w:tcPr>
          <w:p w14:paraId="77FDBE45"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6.26</w:t>
            </w:r>
          </w:p>
        </w:tc>
        <w:tc>
          <w:tcPr>
            <w:tcW w:w="487" w:type="dxa"/>
            <w:shd w:val="clear" w:color="auto" w:fill="auto"/>
            <w:noWrap/>
            <w:vAlign w:val="center"/>
          </w:tcPr>
          <w:p w14:paraId="77FDBE46"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5.99</w:t>
            </w:r>
          </w:p>
        </w:tc>
        <w:tc>
          <w:tcPr>
            <w:tcW w:w="488" w:type="dxa"/>
            <w:shd w:val="clear" w:color="auto" w:fill="auto"/>
            <w:noWrap/>
            <w:vAlign w:val="center"/>
          </w:tcPr>
          <w:p w14:paraId="77FDBE47"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5.12</w:t>
            </w:r>
          </w:p>
        </w:tc>
        <w:tc>
          <w:tcPr>
            <w:tcW w:w="487" w:type="dxa"/>
            <w:shd w:val="clear" w:color="auto" w:fill="auto"/>
            <w:noWrap/>
            <w:vAlign w:val="center"/>
          </w:tcPr>
          <w:p w14:paraId="77FDBE48"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6.48</w:t>
            </w:r>
          </w:p>
        </w:tc>
        <w:tc>
          <w:tcPr>
            <w:tcW w:w="488" w:type="dxa"/>
            <w:shd w:val="clear" w:color="auto" w:fill="auto"/>
            <w:noWrap/>
            <w:vAlign w:val="center"/>
          </w:tcPr>
          <w:p w14:paraId="77FDBE49"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6.80</w:t>
            </w:r>
          </w:p>
        </w:tc>
      </w:tr>
      <w:tr w:rsidR="00DA39CA" w:rsidRPr="0063355C" w14:paraId="77FDBE56" w14:textId="77777777" w:rsidTr="00CA1C90">
        <w:trPr>
          <w:trHeight w:val="240"/>
        </w:trPr>
        <w:tc>
          <w:tcPr>
            <w:tcW w:w="571" w:type="dxa"/>
            <w:shd w:val="clear" w:color="auto" w:fill="auto"/>
            <w:noWrap/>
            <w:hideMark/>
          </w:tcPr>
          <w:p w14:paraId="77FDBE4B" w14:textId="77777777" w:rsidR="00DA39CA" w:rsidRPr="0063355C" w:rsidRDefault="00DA39CA" w:rsidP="00CA1C90">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3</w:t>
            </w:r>
          </w:p>
        </w:tc>
        <w:tc>
          <w:tcPr>
            <w:tcW w:w="3883" w:type="dxa"/>
            <w:shd w:val="clear" w:color="auto" w:fill="auto"/>
            <w:noWrap/>
            <w:vAlign w:val="center"/>
            <w:hideMark/>
          </w:tcPr>
          <w:p w14:paraId="77FDBE4C" w14:textId="77777777" w:rsidR="00DA39CA" w:rsidRPr="0063355C" w:rsidRDefault="00DA39CA" w:rsidP="00CA1C90">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Animal or vegetable fats and oils and their cleavage products; prepared edible fats; animal or vegetable waxes</w:t>
            </w:r>
          </w:p>
        </w:tc>
        <w:tc>
          <w:tcPr>
            <w:tcW w:w="487" w:type="dxa"/>
            <w:vAlign w:val="center"/>
          </w:tcPr>
          <w:p w14:paraId="77FDBE4D"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0.95</w:t>
            </w:r>
          </w:p>
        </w:tc>
        <w:tc>
          <w:tcPr>
            <w:tcW w:w="487" w:type="dxa"/>
            <w:shd w:val="clear" w:color="auto" w:fill="auto"/>
            <w:noWrap/>
            <w:vAlign w:val="center"/>
          </w:tcPr>
          <w:p w14:paraId="77FDBE4E"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1.40</w:t>
            </w:r>
          </w:p>
        </w:tc>
        <w:tc>
          <w:tcPr>
            <w:tcW w:w="487" w:type="dxa"/>
            <w:shd w:val="clear" w:color="auto" w:fill="auto"/>
            <w:noWrap/>
            <w:vAlign w:val="center"/>
          </w:tcPr>
          <w:p w14:paraId="77FDBE4F"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1.94</w:t>
            </w:r>
          </w:p>
        </w:tc>
        <w:tc>
          <w:tcPr>
            <w:tcW w:w="488" w:type="dxa"/>
            <w:shd w:val="clear" w:color="auto" w:fill="auto"/>
            <w:noWrap/>
            <w:vAlign w:val="center"/>
          </w:tcPr>
          <w:p w14:paraId="77FDBE50"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2.60</w:t>
            </w:r>
          </w:p>
        </w:tc>
        <w:tc>
          <w:tcPr>
            <w:tcW w:w="487" w:type="dxa"/>
            <w:shd w:val="clear" w:color="auto" w:fill="auto"/>
            <w:noWrap/>
            <w:vAlign w:val="center"/>
          </w:tcPr>
          <w:p w14:paraId="77FDBE51"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0.92</w:t>
            </w:r>
          </w:p>
        </w:tc>
        <w:tc>
          <w:tcPr>
            <w:tcW w:w="487" w:type="dxa"/>
            <w:shd w:val="clear" w:color="auto" w:fill="auto"/>
            <w:noWrap/>
            <w:vAlign w:val="center"/>
          </w:tcPr>
          <w:p w14:paraId="77FDBE52"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2.26</w:t>
            </w:r>
          </w:p>
        </w:tc>
        <w:tc>
          <w:tcPr>
            <w:tcW w:w="488" w:type="dxa"/>
            <w:shd w:val="clear" w:color="auto" w:fill="auto"/>
            <w:noWrap/>
            <w:vAlign w:val="center"/>
          </w:tcPr>
          <w:p w14:paraId="77FDBE53"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1.62</w:t>
            </w:r>
          </w:p>
        </w:tc>
        <w:tc>
          <w:tcPr>
            <w:tcW w:w="487" w:type="dxa"/>
            <w:shd w:val="clear" w:color="auto" w:fill="auto"/>
            <w:noWrap/>
            <w:vAlign w:val="center"/>
          </w:tcPr>
          <w:p w14:paraId="77FDBE54"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1.37</w:t>
            </w:r>
          </w:p>
        </w:tc>
        <w:tc>
          <w:tcPr>
            <w:tcW w:w="488" w:type="dxa"/>
            <w:shd w:val="clear" w:color="auto" w:fill="auto"/>
            <w:noWrap/>
            <w:vAlign w:val="center"/>
          </w:tcPr>
          <w:p w14:paraId="77FDBE55"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1.25</w:t>
            </w:r>
          </w:p>
        </w:tc>
      </w:tr>
      <w:tr w:rsidR="00DA39CA" w:rsidRPr="0063355C" w14:paraId="77FDBE62" w14:textId="77777777" w:rsidTr="00CA1C90">
        <w:trPr>
          <w:trHeight w:val="240"/>
        </w:trPr>
        <w:tc>
          <w:tcPr>
            <w:tcW w:w="571" w:type="dxa"/>
            <w:shd w:val="clear" w:color="auto" w:fill="auto"/>
            <w:noWrap/>
            <w:hideMark/>
          </w:tcPr>
          <w:p w14:paraId="77FDBE57" w14:textId="77777777" w:rsidR="00DA39CA" w:rsidRPr="0063355C" w:rsidRDefault="00DA39CA" w:rsidP="00CA1C90">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4</w:t>
            </w:r>
          </w:p>
        </w:tc>
        <w:tc>
          <w:tcPr>
            <w:tcW w:w="3883" w:type="dxa"/>
            <w:shd w:val="clear" w:color="auto" w:fill="auto"/>
            <w:noWrap/>
            <w:vAlign w:val="center"/>
            <w:hideMark/>
          </w:tcPr>
          <w:p w14:paraId="77FDBE58" w14:textId="77777777" w:rsidR="00DA39CA" w:rsidRPr="0063355C" w:rsidRDefault="00DA39CA" w:rsidP="00CA1C90">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Prepared foodstuffs; beverages, spirits and vinegar; tobacco and manufactured tobacco substitutes </w:t>
            </w:r>
          </w:p>
        </w:tc>
        <w:tc>
          <w:tcPr>
            <w:tcW w:w="487" w:type="dxa"/>
            <w:vAlign w:val="center"/>
          </w:tcPr>
          <w:p w14:paraId="77FDBE59"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3.80</w:t>
            </w:r>
          </w:p>
        </w:tc>
        <w:tc>
          <w:tcPr>
            <w:tcW w:w="487" w:type="dxa"/>
            <w:shd w:val="clear" w:color="auto" w:fill="auto"/>
            <w:noWrap/>
            <w:vAlign w:val="center"/>
          </w:tcPr>
          <w:p w14:paraId="77FDBE5A"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2.95</w:t>
            </w:r>
          </w:p>
        </w:tc>
        <w:tc>
          <w:tcPr>
            <w:tcW w:w="487" w:type="dxa"/>
            <w:shd w:val="clear" w:color="auto" w:fill="auto"/>
            <w:noWrap/>
            <w:vAlign w:val="center"/>
          </w:tcPr>
          <w:p w14:paraId="77FDBE5B"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2.75</w:t>
            </w:r>
          </w:p>
        </w:tc>
        <w:tc>
          <w:tcPr>
            <w:tcW w:w="488" w:type="dxa"/>
            <w:shd w:val="clear" w:color="auto" w:fill="auto"/>
            <w:noWrap/>
            <w:vAlign w:val="center"/>
          </w:tcPr>
          <w:p w14:paraId="77FDBE5C"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3.02</w:t>
            </w:r>
          </w:p>
        </w:tc>
        <w:tc>
          <w:tcPr>
            <w:tcW w:w="487" w:type="dxa"/>
            <w:shd w:val="clear" w:color="auto" w:fill="auto"/>
            <w:noWrap/>
            <w:vAlign w:val="center"/>
          </w:tcPr>
          <w:p w14:paraId="77FDBE5D"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1.62</w:t>
            </w:r>
          </w:p>
        </w:tc>
        <w:tc>
          <w:tcPr>
            <w:tcW w:w="487" w:type="dxa"/>
            <w:shd w:val="clear" w:color="auto" w:fill="auto"/>
            <w:noWrap/>
            <w:vAlign w:val="center"/>
          </w:tcPr>
          <w:p w14:paraId="77FDBE5E"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1.75</w:t>
            </w:r>
          </w:p>
        </w:tc>
        <w:tc>
          <w:tcPr>
            <w:tcW w:w="488" w:type="dxa"/>
            <w:shd w:val="clear" w:color="auto" w:fill="auto"/>
            <w:noWrap/>
            <w:vAlign w:val="center"/>
          </w:tcPr>
          <w:p w14:paraId="77FDBE5F"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1.31</w:t>
            </w:r>
          </w:p>
        </w:tc>
        <w:tc>
          <w:tcPr>
            <w:tcW w:w="487" w:type="dxa"/>
            <w:shd w:val="clear" w:color="auto" w:fill="auto"/>
            <w:noWrap/>
            <w:vAlign w:val="center"/>
          </w:tcPr>
          <w:p w14:paraId="77FDBE60"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2.03</w:t>
            </w:r>
          </w:p>
        </w:tc>
        <w:tc>
          <w:tcPr>
            <w:tcW w:w="488" w:type="dxa"/>
            <w:shd w:val="clear" w:color="auto" w:fill="auto"/>
            <w:noWrap/>
            <w:vAlign w:val="center"/>
          </w:tcPr>
          <w:p w14:paraId="77FDBE61"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2.25</w:t>
            </w:r>
          </w:p>
        </w:tc>
      </w:tr>
      <w:tr w:rsidR="00DA39CA" w:rsidRPr="0063355C" w14:paraId="77FDBE6E" w14:textId="77777777" w:rsidTr="00CA1C90">
        <w:trPr>
          <w:trHeight w:val="240"/>
        </w:trPr>
        <w:tc>
          <w:tcPr>
            <w:tcW w:w="571" w:type="dxa"/>
            <w:shd w:val="clear" w:color="auto" w:fill="auto"/>
            <w:noWrap/>
            <w:hideMark/>
          </w:tcPr>
          <w:p w14:paraId="77FDBE63" w14:textId="77777777" w:rsidR="00DA39CA" w:rsidRPr="0063355C" w:rsidRDefault="00DA39CA" w:rsidP="00CA1C90">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5</w:t>
            </w:r>
          </w:p>
        </w:tc>
        <w:tc>
          <w:tcPr>
            <w:tcW w:w="3883" w:type="dxa"/>
            <w:shd w:val="clear" w:color="auto" w:fill="auto"/>
            <w:noWrap/>
            <w:vAlign w:val="center"/>
            <w:hideMark/>
          </w:tcPr>
          <w:p w14:paraId="77FDBE64" w14:textId="77777777" w:rsidR="00DA39CA" w:rsidRPr="0063355C" w:rsidRDefault="00DA39CA" w:rsidP="00CA1C90">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Mineral products </w:t>
            </w:r>
          </w:p>
        </w:tc>
        <w:tc>
          <w:tcPr>
            <w:tcW w:w="487" w:type="dxa"/>
            <w:vAlign w:val="center"/>
          </w:tcPr>
          <w:p w14:paraId="77FDBE65"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0.50</w:t>
            </w:r>
          </w:p>
        </w:tc>
        <w:tc>
          <w:tcPr>
            <w:tcW w:w="487" w:type="dxa"/>
            <w:shd w:val="clear" w:color="auto" w:fill="auto"/>
            <w:noWrap/>
            <w:vAlign w:val="center"/>
          </w:tcPr>
          <w:p w14:paraId="77FDBE66"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0.68</w:t>
            </w:r>
          </w:p>
        </w:tc>
        <w:tc>
          <w:tcPr>
            <w:tcW w:w="487" w:type="dxa"/>
            <w:shd w:val="clear" w:color="auto" w:fill="auto"/>
            <w:noWrap/>
            <w:vAlign w:val="center"/>
          </w:tcPr>
          <w:p w14:paraId="77FDBE67"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0.86</w:t>
            </w:r>
          </w:p>
        </w:tc>
        <w:tc>
          <w:tcPr>
            <w:tcW w:w="488" w:type="dxa"/>
            <w:shd w:val="clear" w:color="auto" w:fill="auto"/>
            <w:noWrap/>
            <w:vAlign w:val="center"/>
          </w:tcPr>
          <w:p w14:paraId="77FDBE68"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0.79</w:t>
            </w:r>
          </w:p>
        </w:tc>
        <w:tc>
          <w:tcPr>
            <w:tcW w:w="487" w:type="dxa"/>
            <w:shd w:val="clear" w:color="auto" w:fill="auto"/>
            <w:noWrap/>
            <w:vAlign w:val="center"/>
          </w:tcPr>
          <w:p w14:paraId="77FDBE69"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1.25</w:t>
            </w:r>
          </w:p>
        </w:tc>
        <w:tc>
          <w:tcPr>
            <w:tcW w:w="487" w:type="dxa"/>
            <w:shd w:val="clear" w:color="auto" w:fill="auto"/>
            <w:noWrap/>
            <w:vAlign w:val="center"/>
          </w:tcPr>
          <w:p w14:paraId="77FDBE6A"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1.39</w:t>
            </w:r>
          </w:p>
        </w:tc>
        <w:tc>
          <w:tcPr>
            <w:tcW w:w="488" w:type="dxa"/>
            <w:shd w:val="clear" w:color="auto" w:fill="auto"/>
            <w:noWrap/>
            <w:vAlign w:val="center"/>
          </w:tcPr>
          <w:p w14:paraId="77FDBE6B"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1.24</w:t>
            </w:r>
          </w:p>
        </w:tc>
        <w:tc>
          <w:tcPr>
            <w:tcW w:w="487" w:type="dxa"/>
            <w:shd w:val="clear" w:color="auto" w:fill="auto"/>
            <w:noWrap/>
            <w:vAlign w:val="center"/>
          </w:tcPr>
          <w:p w14:paraId="77FDBE6C"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0.94</w:t>
            </w:r>
          </w:p>
        </w:tc>
        <w:tc>
          <w:tcPr>
            <w:tcW w:w="488" w:type="dxa"/>
            <w:shd w:val="clear" w:color="auto" w:fill="auto"/>
            <w:noWrap/>
            <w:vAlign w:val="center"/>
          </w:tcPr>
          <w:p w14:paraId="77FDBE6D"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0.66</w:t>
            </w:r>
          </w:p>
        </w:tc>
      </w:tr>
      <w:tr w:rsidR="00DA39CA" w:rsidRPr="0063355C" w14:paraId="77FDBE7A" w14:textId="77777777" w:rsidTr="00CA1C90">
        <w:trPr>
          <w:trHeight w:val="240"/>
        </w:trPr>
        <w:tc>
          <w:tcPr>
            <w:tcW w:w="571" w:type="dxa"/>
            <w:shd w:val="clear" w:color="auto" w:fill="auto"/>
            <w:noWrap/>
            <w:hideMark/>
          </w:tcPr>
          <w:p w14:paraId="77FDBE6F" w14:textId="77777777" w:rsidR="00DA39CA" w:rsidRPr="0063355C" w:rsidRDefault="00DA39CA" w:rsidP="00CA1C90">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6</w:t>
            </w:r>
          </w:p>
        </w:tc>
        <w:tc>
          <w:tcPr>
            <w:tcW w:w="3883" w:type="dxa"/>
            <w:shd w:val="clear" w:color="auto" w:fill="auto"/>
            <w:noWrap/>
            <w:vAlign w:val="center"/>
            <w:hideMark/>
          </w:tcPr>
          <w:p w14:paraId="77FDBE70" w14:textId="77777777" w:rsidR="00DA39CA" w:rsidRPr="0063355C" w:rsidRDefault="00DA39CA" w:rsidP="00CA1C90">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Products of the chemical or allied industries </w:t>
            </w:r>
          </w:p>
        </w:tc>
        <w:tc>
          <w:tcPr>
            <w:tcW w:w="487" w:type="dxa"/>
            <w:vAlign w:val="center"/>
          </w:tcPr>
          <w:p w14:paraId="77FDBE71"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0.12</w:t>
            </w:r>
          </w:p>
        </w:tc>
        <w:tc>
          <w:tcPr>
            <w:tcW w:w="487" w:type="dxa"/>
            <w:shd w:val="clear" w:color="auto" w:fill="auto"/>
            <w:noWrap/>
            <w:vAlign w:val="center"/>
          </w:tcPr>
          <w:p w14:paraId="77FDBE72"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0.33</w:t>
            </w:r>
          </w:p>
        </w:tc>
        <w:tc>
          <w:tcPr>
            <w:tcW w:w="487" w:type="dxa"/>
            <w:shd w:val="clear" w:color="auto" w:fill="auto"/>
            <w:noWrap/>
            <w:vAlign w:val="center"/>
          </w:tcPr>
          <w:p w14:paraId="77FDBE73"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0.23</w:t>
            </w:r>
          </w:p>
        </w:tc>
        <w:tc>
          <w:tcPr>
            <w:tcW w:w="488" w:type="dxa"/>
            <w:shd w:val="clear" w:color="auto" w:fill="auto"/>
            <w:noWrap/>
            <w:vAlign w:val="center"/>
          </w:tcPr>
          <w:p w14:paraId="77FDBE74"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0.32</w:t>
            </w:r>
          </w:p>
        </w:tc>
        <w:tc>
          <w:tcPr>
            <w:tcW w:w="487" w:type="dxa"/>
            <w:shd w:val="clear" w:color="auto" w:fill="auto"/>
            <w:noWrap/>
            <w:vAlign w:val="center"/>
          </w:tcPr>
          <w:p w14:paraId="77FDBE75"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0.25</w:t>
            </w:r>
          </w:p>
        </w:tc>
        <w:tc>
          <w:tcPr>
            <w:tcW w:w="487" w:type="dxa"/>
            <w:shd w:val="clear" w:color="auto" w:fill="auto"/>
            <w:noWrap/>
            <w:vAlign w:val="center"/>
          </w:tcPr>
          <w:p w14:paraId="77FDBE76"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0.28</w:t>
            </w:r>
          </w:p>
        </w:tc>
        <w:tc>
          <w:tcPr>
            <w:tcW w:w="488" w:type="dxa"/>
            <w:shd w:val="clear" w:color="auto" w:fill="auto"/>
            <w:noWrap/>
            <w:vAlign w:val="center"/>
          </w:tcPr>
          <w:p w14:paraId="77FDBE77"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0.24</w:t>
            </w:r>
          </w:p>
        </w:tc>
        <w:tc>
          <w:tcPr>
            <w:tcW w:w="487" w:type="dxa"/>
            <w:shd w:val="clear" w:color="auto" w:fill="auto"/>
            <w:noWrap/>
            <w:vAlign w:val="center"/>
          </w:tcPr>
          <w:p w14:paraId="77FDBE78"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0.25</w:t>
            </w:r>
          </w:p>
        </w:tc>
        <w:tc>
          <w:tcPr>
            <w:tcW w:w="488" w:type="dxa"/>
            <w:shd w:val="clear" w:color="auto" w:fill="auto"/>
            <w:noWrap/>
            <w:vAlign w:val="center"/>
          </w:tcPr>
          <w:p w14:paraId="77FDBE79"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0.19</w:t>
            </w:r>
          </w:p>
        </w:tc>
      </w:tr>
      <w:tr w:rsidR="00DA39CA" w:rsidRPr="0063355C" w14:paraId="77FDBE86" w14:textId="77777777" w:rsidTr="00CA1C90">
        <w:trPr>
          <w:trHeight w:val="240"/>
        </w:trPr>
        <w:tc>
          <w:tcPr>
            <w:tcW w:w="571" w:type="dxa"/>
            <w:shd w:val="clear" w:color="auto" w:fill="auto"/>
            <w:noWrap/>
            <w:hideMark/>
          </w:tcPr>
          <w:p w14:paraId="77FDBE7B" w14:textId="77777777" w:rsidR="00DA39CA" w:rsidRPr="0063355C" w:rsidRDefault="00DA39CA" w:rsidP="00CA1C90">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7</w:t>
            </w:r>
          </w:p>
        </w:tc>
        <w:tc>
          <w:tcPr>
            <w:tcW w:w="3883" w:type="dxa"/>
            <w:shd w:val="clear" w:color="auto" w:fill="auto"/>
            <w:noWrap/>
            <w:vAlign w:val="center"/>
            <w:hideMark/>
          </w:tcPr>
          <w:p w14:paraId="77FDBE7C" w14:textId="77777777" w:rsidR="00DA39CA" w:rsidRPr="0063355C" w:rsidRDefault="00DA39CA" w:rsidP="00CA1C90">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Plastics and articles thereof; rubber and articles thereof </w:t>
            </w:r>
          </w:p>
        </w:tc>
        <w:tc>
          <w:tcPr>
            <w:tcW w:w="487" w:type="dxa"/>
            <w:vAlign w:val="center"/>
          </w:tcPr>
          <w:p w14:paraId="77FDBE7D"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0.13</w:t>
            </w:r>
          </w:p>
        </w:tc>
        <w:tc>
          <w:tcPr>
            <w:tcW w:w="487" w:type="dxa"/>
            <w:shd w:val="clear" w:color="auto" w:fill="auto"/>
            <w:noWrap/>
            <w:vAlign w:val="center"/>
          </w:tcPr>
          <w:p w14:paraId="77FDBE7E"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0.16</w:t>
            </w:r>
          </w:p>
        </w:tc>
        <w:tc>
          <w:tcPr>
            <w:tcW w:w="487" w:type="dxa"/>
            <w:shd w:val="clear" w:color="auto" w:fill="auto"/>
            <w:noWrap/>
            <w:vAlign w:val="center"/>
          </w:tcPr>
          <w:p w14:paraId="77FDBE7F"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0.49</w:t>
            </w:r>
          </w:p>
        </w:tc>
        <w:tc>
          <w:tcPr>
            <w:tcW w:w="488" w:type="dxa"/>
            <w:shd w:val="clear" w:color="auto" w:fill="auto"/>
            <w:noWrap/>
            <w:vAlign w:val="center"/>
          </w:tcPr>
          <w:p w14:paraId="77FDBE80"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0.31</w:t>
            </w:r>
          </w:p>
        </w:tc>
        <w:tc>
          <w:tcPr>
            <w:tcW w:w="487" w:type="dxa"/>
            <w:shd w:val="clear" w:color="auto" w:fill="auto"/>
            <w:noWrap/>
            <w:vAlign w:val="center"/>
          </w:tcPr>
          <w:p w14:paraId="77FDBE81"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0.22</w:t>
            </w:r>
          </w:p>
        </w:tc>
        <w:tc>
          <w:tcPr>
            <w:tcW w:w="487" w:type="dxa"/>
            <w:shd w:val="clear" w:color="auto" w:fill="auto"/>
            <w:noWrap/>
            <w:vAlign w:val="center"/>
          </w:tcPr>
          <w:p w14:paraId="77FDBE82"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0.49</w:t>
            </w:r>
          </w:p>
        </w:tc>
        <w:tc>
          <w:tcPr>
            <w:tcW w:w="488" w:type="dxa"/>
            <w:shd w:val="clear" w:color="auto" w:fill="auto"/>
            <w:noWrap/>
            <w:vAlign w:val="center"/>
          </w:tcPr>
          <w:p w14:paraId="77FDBE83"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0.34</w:t>
            </w:r>
          </w:p>
        </w:tc>
        <w:tc>
          <w:tcPr>
            <w:tcW w:w="487" w:type="dxa"/>
            <w:shd w:val="clear" w:color="auto" w:fill="auto"/>
            <w:noWrap/>
            <w:vAlign w:val="center"/>
          </w:tcPr>
          <w:p w14:paraId="77FDBE84"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0.20</w:t>
            </w:r>
          </w:p>
        </w:tc>
        <w:tc>
          <w:tcPr>
            <w:tcW w:w="488" w:type="dxa"/>
            <w:shd w:val="clear" w:color="auto" w:fill="auto"/>
            <w:noWrap/>
            <w:vAlign w:val="center"/>
          </w:tcPr>
          <w:p w14:paraId="77FDBE85"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0.27</w:t>
            </w:r>
          </w:p>
        </w:tc>
      </w:tr>
      <w:tr w:rsidR="00DA39CA" w:rsidRPr="0063355C" w14:paraId="77FDBE92" w14:textId="77777777" w:rsidTr="00CA1C90">
        <w:trPr>
          <w:trHeight w:val="240"/>
        </w:trPr>
        <w:tc>
          <w:tcPr>
            <w:tcW w:w="571" w:type="dxa"/>
            <w:shd w:val="clear" w:color="auto" w:fill="auto"/>
            <w:noWrap/>
            <w:hideMark/>
          </w:tcPr>
          <w:p w14:paraId="77FDBE87" w14:textId="77777777" w:rsidR="00DA39CA" w:rsidRPr="0063355C" w:rsidRDefault="00DA39CA" w:rsidP="00CA1C90">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8</w:t>
            </w:r>
          </w:p>
        </w:tc>
        <w:tc>
          <w:tcPr>
            <w:tcW w:w="3883" w:type="dxa"/>
            <w:shd w:val="clear" w:color="auto" w:fill="auto"/>
            <w:noWrap/>
            <w:vAlign w:val="center"/>
            <w:hideMark/>
          </w:tcPr>
          <w:p w14:paraId="77FDBE88" w14:textId="77777777" w:rsidR="00DA39CA" w:rsidRPr="0063355C" w:rsidRDefault="00DA39CA" w:rsidP="00CA1C90">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Raw hides and skins, leather, furskins and articles thereof; saddlery and harness; travel goods, handbags and similar containers; articles of animal gut (other than silk-worm gut) </w:t>
            </w:r>
          </w:p>
        </w:tc>
        <w:tc>
          <w:tcPr>
            <w:tcW w:w="487" w:type="dxa"/>
            <w:vAlign w:val="center"/>
          </w:tcPr>
          <w:p w14:paraId="77FDBE89"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0.85</w:t>
            </w:r>
          </w:p>
        </w:tc>
        <w:tc>
          <w:tcPr>
            <w:tcW w:w="487" w:type="dxa"/>
            <w:shd w:val="clear" w:color="auto" w:fill="auto"/>
            <w:noWrap/>
            <w:vAlign w:val="center"/>
          </w:tcPr>
          <w:p w14:paraId="77FDBE8A"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1.21</w:t>
            </w:r>
          </w:p>
        </w:tc>
        <w:tc>
          <w:tcPr>
            <w:tcW w:w="487" w:type="dxa"/>
            <w:shd w:val="clear" w:color="auto" w:fill="auto"/>
            <w:noWrap/>
            <w:vAlign w:val="center"/>
          </w:tcPr>
          <w:p w14:paraId="77FDBE8B"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1.95</w:t>
            </w:r>
          </w:p>
        </w:tc>
        <w:tc>
          <w:tcPr>
            <w:tcW w:w="488" w:type="dxa"/>
            <w:shd w:val="clear" w:color="auto" w:fill="auto"/>
            <w:noWrap/>
            <w:vAlign w:val="center"/>
          </w:tcPr>
          <w:p w14:paraId="77FDBE8C"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1.12</w:t>
            </w:r>
          </w:p>
        </w:tc>
        <w:tc>
          <w:tcPr>
            <w:tcW w:w="487" w:type="dxa"/>
            <w:shd w:val="clear" w:color="auto" w:fill="auto"/>
            <w:noWrap/>
            <w:vAlign w:val="center"/>
          </w:tcPr>
          <w:p w14:paraId="77FDBE8D"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0.75</w:t>
            </w:r>
          </w:p>
        </w:tc>
        <w:tc>
          <w:tcPr>
            <w:tcW w:w="487" w:type="dxa"/>
            <w:shd w:val="clear" w:color="auto" w:fill="auto"/>
            <w:noWrap/>
            <w:vAlign w:val="center"/>
          </w:tcPr>
          <w:p w14:paraId="77FDBE8E"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0.79</w:t>
            </w:r>
          </w:p>
        </w:tc>
        <w:tc>
          <w:tcPr>
            <w:tcW w:w="488" w:type="dxa"/>
            <w:shd w:val="clear" w:color="auto" w:fill="auto"/>
            <w:noWrap/>
            <w:vAlign w:val="center"/>
          </w:tcPr>
          <w:p w14:paraId="77FDBE8F"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0.69</w:t>
            </w:r>
          </w:p>
        </w:tc>
        <w:tc>
          <w:tcPr>
            <w:tcW w:w="487" w:type="dxa"/>
            <w:shd w:val="clear" w:color="auto" w:fill="auto"/>
            <w:noWrap/>
            <w:vAlign w:val="center"/>
          </w:tcPr>
          <w:p w14:paraId="77FDBE90"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0.50</w:t>
            </w:r>
          </w:p>
        </w:tc>
        <w:tc>
          <w:tcPr>
            <w:tcW w:w="488" w:type="dxa"/>
            <w:shd w:val="clear" w:color="auto" w:fill="auto"/>
            <w:noWrap/>
            <w:vAlign w:val="center"/>
          </w:tcPr>
          <w:p w14:paraId="77FDBE91"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0.59</w:t>
            </w:r>
          </w:p>
        </w:tc>
      </w:tr>
      <w:tr w:rsidR="00DA39CA" w:rsidRPr="0063355C" w14:paraId="77FDBE9E" w14:textId="77777777" w:rsidTr="00CA1C90">
        <w:trPr>
          <w:trHeight w:val="240"/>
        </w:trPr>
        <w:tc>
          <w:tcPr>
            <w:tcW w:w="571" w:type="dxa"/>
            <w:shd w:val="clear" w:color="auto" w:fill="auto"/>
            <w:noWrap/>
            <w:hideMark/>
          </w:tcPr>
          <w:p w14:paraId="77FDBE93" w14:textId="77777777" w:rsidR="00DA39CA" w:rsidRPr="0063355C" w:rsidRDefault="00DA39CA" w:rsidP="00CA1C90">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9</w:t>
            </w:r>
          </w:p>
        </w:tc>
        <w:tc>
          <w:tcPr>
            <w:tcW w:w="3883" w:type="dxa"/>
            <w:shd w:val="clear" w:color="auto" w:fill="auto"/>
            <w:noWrap/>
            <w:vAlign w:val="center"/>
            <w:hideMark/>
          </w:tcPr>
          <w:p w14:paraId="77FDBE94" w14:textId="77777777" w:rsidR="00DA39CA" w:rsidRPr="0063355C" w:rsidRDefault="00DA39CA" w:rsidP="00CA1C90">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 xml:space="preserve">Wood and articles of wood; wood charcoal; cork and articles of cork; manufactures of straw, of esparto or of other plaiting materials; </w:t>
            </w:r>
            <w:proofErr w:type="spellStart"/>
            <w:r w:rsidRPr="0063355C">
              <w:rPr>
                <w:rFonts w:asciiTheme="majorHAnsi" w:eastAsia="Times New Roman" w:hAnsiTheme="majorHAnsi" w:cstheme="majorHAnsi"/>
                <w:color w:val="000000"/>
                <w:sz w:val="16"/>
                <w:szCs w:val="16"/>
                <w:lang w:eastAsia="en-GB"/>
              </w:rPr>
              <w:t>basketware</w:t>
            </w:r>
            <w:proofErr w:type="spellEnd"/>
            <w:r w:rsidRPr="0063355C">
              <w:rPr>
                <w:rFonts w:asciiTheme="majorHAnsi" w:eastAsia="Times New Roman" w:hAnsiTheme="majorHAnsi" w:cstheme="majorHAnsi"/>
                <w:color w:val="000000"/>
                <w:sz w:val="16"/>
                <w:szCs w:val="16"/>
                <w:lang w:eastAsia="en-GB"/>
              </w:rPr>
              <w:t xml:space="preserve"> and wickerwork</w:t>
            </w:r>
          </w:p>
        </w:tc>
        <w:tc>
          <w:tcPr>
            <w:tcW w:w="487" w:type="dxa"/>
            <w:vAlign w:val="center"/>
          </w:tcPr>
          <w:p w14:paraId="77FDBE95"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0.76</w:t>
            </w:r>
          </w:p>
        </w:tc>
        <w:tc>
          <w:tcPr>
            <w:tcW w:w="487" w:type="dxa"/>
            <w:shd w:val="clear" w:color="auto" w:fill="auto"/>
            <w:noWrap/>
            <w:vAlign w:val="center"/>
          </w:tcPr>
          <w:p w14:paraId="77FDBE96"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0.73</w:t>
            </w:r>
          </w:p>
        </w:tc>
        <w:tc>
          <w:tcPr>
            <w:tcW w:w="487" w:type="dxa"/>
            <w:shd w:val="clear" w:color="auto" w:fill="auto"/>
            <w:noWrap/>
            <w:vAlign w:val="center"/>
          </w:tcPr>
          <w:p w14:paraId="77FDBE97"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1.37</w:t>
            </w:r>
          </w:p>
        </w:tc>
        <w:tc>
          <w:tcPr>
            <w:tcW w:w="488" w:type="dxa"/>
            <w:shd w:val="clear" w:color="auto" w:fill="auto"/>
            <w:noWrap/>
            <w:vAlign w:val="center"/>
          </w:tcPr>
          <w:p w14:paraId="77FDBE98"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1.11</w:t>
            </w:r>
          </w:p>
        </w:tc>
        <w:tc>
          <w:tcPr>
            <w:tcW w:w="487" w:type="dxa"/>
            <w:shd w:val="clear" w:color="auto" w:fill="auto"/>
            <w:noWrap/>
            <w:vAlign w:val="center"/>
          </w:tcPr>
          <w:p w14:paraId="77FDBE99"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1.47</w:t>
            </w:r>
          </w:p>
        </w:tc>
        <w:tc>
          <w:tcPr>
            <w:tcW w:w="487" w:type="dxa"/>
            <w:shd w:val="clear" w:color="auto" w:fill="auto"/>
            <w:noWrap/>
            <w:vAlign w:val="center"/>
          </w:tcPr>
          <w:p w14:paraId="77FDBE9A"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1.65</w:t>
            </w:r>
          </w:p>
        </w:tc>
        <w:tc>
          <w:tcPr>
            <w:tcW w:w="488" w:type="dxa"/>
            <w:shd w:val="clear" w:color="auto" w:fill="auto"/>
            <w:noWrap/>
            <w:vAlign w:val="center"/>
          </w:tcPr>
          <w:p w14:paraId="77FDBE9B"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0.73</w:t>
            </w:r>
          </w:p>
        </w:tc>
        <w:tc>
          <w:tcPr>
            <w:tcW w:w="487" w:type="dxa"/>
            <w:shd w:val="clear" w:color="auto" w:fill="auto"/>
            <w:noWrap/>
            <w:vAlign w:val="center"/>
          </w:tcPr>
          <w:p w14:paraId="77FDBE9C"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0.70</w:t>
            </w:r>
          </w:p>
        </w:tc>
        <w:tc>
          <w:tcPr>
            <w:tcW w:w="488" w:type="dxa"/>
            <w:shd w:val="clear" w:color="auto" w:fill="auto"/>
            <w:noWrap/>
            <w:vAlign w:val="center"/>
          </w:tcPr>
          <w:p w14:paraId="77FDBE9D"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0.94</w:t>
            </w:r>
          </w:p>
        </w:tc>
      </w:tr>
      <w:tr w:rsidR="00DA39CA" w:rsidRPr="0063355C" w14:paraId="77FDBEAA" w14:textId="77777777" w:rsidTr="00CA1C90">
        <w:trPr>
          <w:trHeight w:val="240"/>
        </w:trPr>
        <w:tc>
          <w:tcPr>
            <w:tcW w:w="571" w:type="dxa"/>
            <w:shd w:val="clear" w:color="auto" w:fill="auto"/>
            <w:noWrap/>
            <w:hideMark/>
          </w:tcPr>
          <w:p w14:paraId="77FDBE9F" w14:textId="77777777" w:rsidR="00DA39CA" w:rsidRPr="0063355C" w:rsidRDefault="00DA39CA" w:rsidP="00CA1C90">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10</w:t>
            </w:r>
          </w:p>
        </w:tc>
        <w:tc>
          <w:tcPr>
            <w:tcW w:w="3883" w:type="dxa"/>
            <w:shd w:val="clear" w:color="auto" w:fill="auto"/>
            <w:noWrap/>
            <w:vAlign w:val="center"/>
            <w:hideMark/>
          </w:tcPr>
          <w:p w14:paraId="77FDBEA0" w14:textId="77777777" w:rsidR="00DA39CA" w:rsidRPr="0063355C" w:rsidRDefault="00DA39CA" w:rsidP="00CA1C90">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Pulp of wood or of other fibrous cellulosic material; recovered (waste and scrap) paper or paperboard; paper and paperboard and articles thereof </w:t>
            </w:r>
          </w:p>
        </w:tc>
        <w:tc>
          <w:tcPr>
            <w:tcW w:w="487" w:type="dxa"/>
            <w:vAlign w:val="center"/>
          </w:tcPr>
          <w:p w14:paraId="77FDBEA1"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0.11</w:t>
            </w:r>
          </w:p>
        </w:tc>
        <w:tc>
          <w:tcPr>
            <w:tcW w:w="487" w:type="dxa"/>
            <w:shd w:val="clear" w:color="auto" w:fill="auto"/>
            <w:noWrap/>
            <w:vAlign w:val="center"/>
          </w:tcPr>
          <w:p w14:paraId="77FDBEA2"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0.26</w:t>
            </w:r>
          </w:p>
        </w:tc>
        <w:tc>
          <w:tcPr>
            <w:tcW w:w="487" w:type="dxa"/>
            <w:shd w:val="clear" w:color="auto" w:fill="auto"/>
            <w:noWrap/>
            <w:vAlign w:val="center"/>
          </w:tcPr>
          <w:p w14:paraId="77FDBEA3"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0.33</w:t>
            </w:r>
          </w:p>
        </w:tc>
        <w:tc>
          <w:tcPr>
            <w:tcW w:w="488" w:type="dxa"/>
            <w:shd w:val="clear" w:color="auto" w:fill="auto"/>
            <w:noWrap/>
            <w:vAlign w:val="center"/>
          </w:tcPr>
          <w:p w14:paraId="77FDBEA4"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0.56</w:t>
            </w:r>
          </w:p>
        </w:tc>
        <w:tc>
          <w:tcPr>
            <w:tcW w:w="487" w:type="dxa"/>
            <w:shd w:val="clear" w:color="auto" w:fill="auto"/>
            <w:noWrap/>
            <w:vAlign w:val="center"/>
          </w:tcPr>
          <w:p w14:paraId="77FDBEA5"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0.45</w:t>
            </w:r>
          </w:p>
        </w:tc>
        <w:tc>
          <w:tcPr>
            <w:tcW w:w="487" w:type="dxa"/>
            <w:shd w:val="clear" w:color="auto" w:fill="auto"/>
            <w:noWrap/>
            <w:vAlign w:val="center"/>
          </w:tcPr>
          <w:p w14:paraId="77FDBEA6"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0.96</w:t>
            </w:r>
          </w:p>
        </w:tc>
        <w:tc>
          <w:tcPr>
            <w:tcW w:w="488" w:type="dxa"/>
            <w:shd w:val="clear" w:color="auto" w:fill="auto"/>
            <w:noWrap/>
            <w:vAlign w:val="center"/>
          </w:tcPr>
          <w:p w14:paraId="77FDBEA7"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0.45</w:t>
            </w:r>
          </w:p>
        </w:tc>
        <w:tc>
          <w:tcPr>
            <w:tcW w:w="487" w:type="dxa"/>
            <w:shd w:val="clear" w:color="auto" w:fill="auto"/>
            <w:noWrap/>
            <w:vAlign w:val="center"/>
          </w:tcPr>
          <w:p w14:paraId="77FDBEA8"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0.39</w:t>
            </w:r>
          </w:p>
        </w:tc>
        <w:tc>
          <w:tcPr>
            <w:tcW w:w="488" w:type="dxa"/>
            <w:shd w:val="clear" w:color="auto" w:fill="auto"/>
            <w:noWrap/>
            <w:vAlign w:val="center"/>
          </w:tcPr>
          <w:p w14:paraId="77FDBEA9"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0.69</w:t>
            </w:r>
          </w:p>
        </w:tc>
      </w:tr>
      <w:tr w:rsidR="00DA39CA" w:rsidRPr="0063355C" w14:paraId="77FDBEB6" w14:textId="77777777" w:rsidTr="00CA1C90">
        <w:trPr>
          <w:trHeight w:val="240"/>
        </w:trPr>
        <w:tc>
          <w:tcPr>
            <w:tcW w:w="571" w:type="dxa"/>
            <w:shd w:val="clear" w:color="auto" w:fill="auto"/>
            <w:noWrap/>
            <w:hideMark/>
          </w:tcPr>
          <w:p w14:paraId="77FDBEAB" w14:textId="77777777" w:rsidR="00DA39CA" w:rsidRPr="0063355C" w:rsidRDefault="00DA39CA" w:rsidP="00CA1C90">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11</w:t>
            </w:r>
          </w:p>
        </w:tc>
        <w:tc>
          <w:tcPr>
            <w:tcW w:w="3883" w:type="dxa"/>
            <w:shd w:val="clear" w:color="auto" w:fill="auto"/>
            <w:noWrap/>
            <w:vAlign w:val="center"/>
            <w:hideMark/>
          </w:tcPr>
          <w:p w14:paraId="77FDBEAC" w14:textId="77777777" w:rsidR="00DA39CA" w:rsidRPr="0063355C" w:rsidRDefault="00DA39CA" w:rsidP="00CA1C90">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Textiles and textile articles </w:t>
            </w:r>
          </w:p>
        </w:tc>
        <w:tc>
          <w:tcPr>
            <w:tcW w:w="487" w:type="dxa"/>
            <w:vAlign w:val="center"/>
          </w:tcPr>
          <w:p w14:paraId="77FDBEAD"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1.98</w:t>
            </w:r>
          </w:p>
        </w:tc>
        <w:tc>
          <w:tcPr>
            <w:tcW w:w="487" w:type="dxa"/>
            <w:shd w:val="clear" w:color="auto" w:fill="auto"/>
            <w:noWrap/>
            <w:vAlign w:val="center"/>
          </w:tcPr>
          <w:p w14:paraId="77FDBEAE"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1.46</w:t>
            </w:r>
          </w:p>
        </w:tc>
        <w:tc>
          <w:tcPr>
            <w:tcW w:w="487" w:type="dxa"/>
            <w:shd w:val="clear" w:color="auto" w:fill="auto"/>
            <w:noWrap/>
            <w:vAlign w:val="center"/>
          </w:tcPr>
          <w:p w14:paraId="77FDBEAF"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1.45</w:t>
            </w:r>
          </w:p>
        </w:tc>
        <w:tc>
          <w:tcPr>
            <w:tcW w:w="488" w:type="dxa"/>
            <w:shd w:val="clear" w:color="auto" w:fill="auto"/>
            <w:noWrap/>
            <w:vAlign w:val="center"/>
          </w:tcPr>
          <w:p w14:paraId="77FDBEB0"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2.07</w:t>
            </w:r>
          </w:p>
        </w:tc>
        <w:tc>
          <w:tcPr>
            <w:tcW w:w="487" w:type="dxa"/>
            <w:shd w:val="clear" w:color="auto" w:fill="auto"/>
            <w:noWrap/>
            <w:vAlign w:val="center"/>
          </w:tcPr>
          <w:p w14:paraId="77FDBEB1"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1.91</w:t>
            </w:r>
          </w:p>
        </w:tc>
        <w:tc>
          <w:tcPr>
            <w:tcW w:w="487" w:type="dxa"/>
            <w:shd w:val="clear" w:color="auto" w:fill="auto"/>
            <w:noWrap/>
            <w:vAlign w:val="center"/>
          </w:tcPr>
          <w:p w14:paraId="77FDBEB2"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1.32</w:t>
            </w:r>
          </w:p>
        </w:tc>
        <w:tc>
          <w:tcPr>
            <w:tcW w:w="488" w:type="dxa"/>
            <w:shd w:val="clear" w:color="auto" w:fill="auto"/>
            <w:noWrap/>
            <w:vAlign w:val="center"/>
          </w:tcPr>
          <w:p w14:paraId="77FDBEB3"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1.02</w:t>
            </w:r>
          </w:p>
        </w:tc>
        <w:tc>
          <w:tcPr>
            <w:tcW w:w="487" w:type="dxa"/>
            <w:shd w:val="clear" w:color="auto" w:fill="auto"/>
            <w:noWrap/>
            <w:vAlign w:val="center"/>
          </w:tcPr>
          <w:p w14:paraId="77FDBEB4"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1.36</w:t>
            </w:r>
          </w:p>
        </w:tc>
        <w:tc>
          <w:tcPr>
            <w:tcW w:w="488" w:type="dxa"/>
            <w:shd w:val="clear" w:color="auto" w:fill="auto"/>
            <w:noWrap/>
            <w:vAlign w:val="center"/>
          </w:tcPr>
          <w:p w14:paraId="77FDBEB5"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1.28</w:t>
            </w:r>
          </w:p>
        </w:tc>
      </w:tr>
      <w:tr w:rsidR="00DA39CA" w:rsidRPr="0063355C" w14:paraId="77FDBEC2" w14:textId="77777777" w:rsidTr="00CA1C90">
        <w:trPr>
          <w:trHeight w:val="240"/>
        </w:trPr>
        <w:tc>
          <w:tcPr>
            <w:tcW w:w="571" w:type="dxa"/>
            <w:shd w:val="clear" w:color="auto" w:fill="auto"/>
            <w:noWrap/>
            <w:hideMark/>
          </w:tcPr>
          <w:p w14:paraId="77FDBEB7" w14:textId="77777777" w:rsidR="00DA39CA" w:rsidRPr="0063355C" w:rsidRDefault="00DA39CA" w:rsidP="00CA1C90">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12</w:t>
            </w:r>
          </w:p>
        </w:tc>
        <w:tc>
          <w:tcPr>
            <w:tcW w:w="3883" w:type="dxa"/>
            <w:shd w:val="clear" w:color="auto" w:fill="auto"/>
            <w:noWrap/>
            <w:vAlign w:val="center"/>
            <w:hideMark/>
          </w:tcPr>
          <w:p w14:paraId="77FDBEB8" w14:textId="77777777" w:rsidR="00DA39CA" w:rsidRPr="0063355C" w:rsidRDefault="00DA39CA" w:rsidP="00CA1C90">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Footwear, headgear, umbrellas, sun umbrellas, walking-sticks, seat-sticks, whips, riding-crops and parts thereof; prepared feathers and articles made therewith; artificial flowers; articles of human hair </w:t>
            </w:r>
          </w:p>
        </w:tc>
        <w:tc>
          <w:tcPr>
            <w:tcW w:w="487" w:type="dxa"/>
            <w:vAlign w:val="center"/>
          </w:tcPr>
          <w:p w14:paraId="77FDBEB9"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0.12</w:t>
            </w:r>
          </w:p>
        </w:tc>
        <w:tc>
          <w:tcPr>
            <w:tcW w:w="487" w:type="dxa"/>
            <w:shd w:val="clear" w:color="auto" w:fill="auto"/>
            <w:noWrap/>
            <w:vAlign w:val="center"/>
          </w:tcPr>
          <w:p w14:paraId="77FDBEBA"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0.32</w:t>
            </w:r>
          </w:p>
        </w:tc>
        <w:tc>
          <w:tcPr>
            <w:tcW w:w="487" w:type="dxa"/>
            <w:shd w:val="clear" w:color="auto" w:fill="auto"/>
            <w:noWrap/>
            <w:vAlign w:val="center"/>
          </w:tcPr>
          <w:p w14:paraId="77FDBEBB"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0.27</w:t>
            </w:r>
          </w:p>
        </w:tc>
        <w:tc>
          <w:tcPr>
            <w:tcW w:w="488" w:type="dxa"/>
            <w:shd w:val="clear" w:color="auto" w:fill="auto"/>
            <w:noWrap/>
            <w:vAlign w:val="center"/>
          </w:tcPr>
          <w:p w14:paraId="77FDBEBC"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0.20</w:t>
            </w:r>
          </w:p>
        </w:tc>
        <w:tc>
          <w:tcPr>
            <w:tcW w:w="487" w:type="dxa"/>
            <w:shd w:val="clear" w:color="auto" w:fill="auto"/>
            <w:noWrap/>
            <w:vAlign w:val="center"/>
          </w:tcPr>
          <w:p w14:paraId="77FDBEBD"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0.22</w:t>
            </w:r>
          </w:p>
        </w:tc>
        <w:tc>
          <w:tcPr>
            <w:tcW w:w="487" w:type="dxa"/>
            <w:shd w:val="clear" w:color="auto" w:fill="auto"/>
            <w:noWrap/>
            <w:vAlign w:val="center"/>
          </w:tcPr>
          <w:p w14:paraId="77FDBEBE"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0.16</w:t>
            </w:r>
          </w:p>
        </w:tc>
        <w:tc>
          <w:tcPr>
            <w:tcW w:w="488" w:type="dxa"/>
            <w:shd w:val="clear" w:color="auto" w:fill="auto"/>
            <w:noWrap/>
            <w:vAlign w:val="center"/>
          </w:tcPr>
          <w:p w14:paraId="77FDBEBF"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0.06</w:t>
            </w:r>
          </w:p>
        </w:tc>
        <w:tc>
          <w:tcPr>
            <w:tcW w:w="487" w:type="dxa"/>
            <w:shd w:val="clear" w:color="auto" w:fill="auto"/>
            <w:noWrap/>
            <w:vAlign w:val="center"/>
          </w:tcPr>
          <w:p w14:paraId="77FDBEC0"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0.07</w:t>
            </w:r>
          </w:p>
        </w:tc>
        <w:tc>
          <w:tcPr>
            <w:tcW w:w="488" w:type="dxa"/>
            <w:shd w:val="clear" w:color="auto" w:fill="auto"/>
            <w:noWrap/>
            <w:vAlign w:val="center"/>
          </w:tcPr>
          <w:p w14:paraId="77FDBEC1"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0.08</w:t>
            </w:r>
          </w:p>
        </w:tc>
      </w:tr>
      <w:tr w:rsidR="00DA39CA" w:rsidRPr="0063355C" w14:paraId="77FDBECE" w14:textId="77777777" w:rsidTr="00CA1C90">
        <w:trPr>
          <w:trHeight w:val="240"/>
        </w:trPr>
        <w:tc>
          <w:tcPr>
            <w:tcW w:w="571" w:type="dxa"/>
            <w:shd w:val="clear" w:color="auto" w:fill="auto"/>
            <w:noWrap/>
            <w:hideMark/>
          </w:tcPr>
          <w:p w14:paraId="77FDBEC3" w14:textId="77777777" w:rsidR="00DA39CA" w:rsidRPr="0063355C" w:rsidRDefault="00DA39CA" w:rsidP="00CA1C90">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13</w:t>
            </w:r>
          </w:p>
        </w:tc>
        <w:tc>
          <w:tcPr>
            <w:tcW w:w="3883" w:type="dxa"/>
            <w:shd w:val="clear" w:color="auto" w:fill="auto"/>
            <w:noWrap/>
            <w:vAlign w:val="center"/>
            <w:hideMark/>
          </w:tcPr>
          <w:p w14:paraId="77FDBEC4" w14:textId="77777777" w:rsidR="00DA39CA" w:rsidRPr="0063355C" w:rsidRDefault="00DA39CA" w:rsidP="00CA1C90">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Articles of stone, plaster, cement, asbestos, mica or similar materials; ceramic products; glass and glassware </w:t>
            </w:r>
          </w:p>
        </w:tc>
        <w:tc>
          <w:tcPr>
            <w:tcW w:w="487" w:type="dxa"/>
            <w:vAlign w:val="center"/>
          </w:tcPr>
          <w:p w14:paraId="77FDBEC5"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0.55</w:t>
            </w:r>
          </w:p>
        </w:tc>
        <w:tc>
          <w:tcPr>
            <w:tcW w:w="487" w:type="dxa"/>
            <w:shd w:val="clear" w:color="auto" w:fill="auto"/>
            <w:noWrap/>
            <w:vAlign w:val="center"/>
          </w:tcPr>
          <w:p w14:paraId="77FDBEC6"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0.40</w:t>
            </w:r>
          </w:p>
        </w:tc>
        <w:tc>
          <w:tcPr>
            <w:tcW w:w="487" w:type="dxa"/>
            <w:shd w:val="clear" w:color="auto" w:fill="auto"/>
            <w:noWrap/>
            <w:vAlign w:val="center"/>
          </w:tcPr>
          <w:p w14:paraId="77FDBEC7"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0.37</w:t>
            </w:r>
          </w:p>
        </w:tc>
        <w:tc>
          <w:tcPr>
            <w:tcW w:w="488" w:type="dxa"/>
            <w:shd w:val="clear" w:color="auto" w:fill="auto"/>
            <w:noWrap/>
            <w:vAlign w:val="center"/>
          </w:tcPr>
          <w:p w14:paraId="77FDBEC8"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0.30</w:t>
            </w:r>
          </w:p>
        </w:tc>
        <w:tc>
          <w:tcPr>
            <w:tcW w:w="487" w:type="dxa"/>
            <w:shd w:val="clear" w:color="auto" w:fill="auto"/>
            <w:noWrap/>
            <w:vAlign w:val="center"/>
          </w:tcPr>
          <w:p w14:paraId="77FDBEC9"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0.31</w:t>
            </w:r>
          </w:p>
        </w:tc>
        <w:tc>
          <w:tcPr>
            <w:tcW w:w="487" w:type="dxa"/>
            <w:shd w:val="clear" w:color="auto" w:fill="auto"/>
            <w:noWrap/>
            <w:vAlign w:val="center"/>
          </w:tcPr>
          <w:p w14:paraId="77FDBECA"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0.40</w:t>
            </w:r>
          </w:p>
        </w:tc>
        <w:tc>
          <w:tcPr>
            <w:tcW w:w="488" w:type="dxa"/>
            <w:shd w:val="clear" w:color="auto" w:fill="auto"/>
            <w:noWrap/>
            <w:vAlign w:val="center"/>
          </w:tcPr>
          <w:p w14:paraId="77FDBECB"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0.58</w:t>
            </w:r>
          </w:p>
        </w:tc>
        <w:tc>
          <w:tcPr>
            <w:tcW w:w="487" w:type="dxa"/>
            <w:shd w:val="clear" w:color="auto" w:fill="auto"/>
            <w:noWrap/>
            <w:vAlign w:val="center"/>
          </w:tcPr>
          <w:p w14:paraId="77FDBECC"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1.50</w:t>
            </w:r>
          </w:p>
        </w:tc>
        <w:tc>
          <w:tcPr>
            <w:tcW w:w="488" w:type="dxa"/>
            <w:shd w:val="clear" w:color="auto" w:fill="auto"/>
            <w:noWrap/>
            <w:vAlign w:val="center"/>
          </w:tcPr>
          <w:p w14:paraId="77FDBECD"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0.78</w:t>
            </w:r>
          </w:p>
        </w:tc>
      </w:tr>
      <w:tr w:rsidR="00DA39CA" w:rsidRPr="0063355C" w14:paraId="77FDBEDA" w14:textId="77777777" w:rsidTr="00CA1C90">
        <w:trPr>
          <w:trHeight w:val="240"/>
        </w:trPr>
        <w:tc>
          <w:tcPr>
            <w:tcW w:w="571" w:type="dxa"/>
            <w:shd w:val="clear" w:color="auto" w:fill="auto"/>
            <w:noWrap/>
            <w:hideMark/>
          </w:tcPr>
          <w:p w14:paraId="77FDBECF" w14:textId="77777777" w:rsidR="00DA39CA" w:rsidRPr="0063355C" w:rsidRDefault="00DA39CA" w:rsidP="00CA1C90">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14</w:t>
            </w:r>
          </w:p>
        </w:tc>
        <w:tc>
          <w:tcPr>
            <w:tcW w:w="3883" w:type="dxa"/>
            <w:shd w:val="clear" w:color="auto" w:fill="auto"/>
            <w:noWrap/>
            <w:vAlign w:val="center"/>
            <w:hideMark/>
          </w:tcPr>
          <w:p w14:paraId="77FDBED0" w14:textId="77777777" w:rsidR="00DA39CA" w:rsidRPr="0063355C" w:rsidRDefault="00DA39CA" w:rsidP="00CA1C90">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Natural or cultured pearls, precious or semi-precious stones, precious metals, metals clad with precious metal and articles thereof; imitation jewellery; coin thereof; imitation jewellery; coin </w:t>
            </w:r>
          </w:p>
        </w:tc>
        <w:tc>
          <w:tcPr>
            <w:tcW w:w="487" w:type="dxa"/>
            <w:vAlign w:val="center"/>
          </w:tcPr>
          <w:p w14:paraId="77FDBED1"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21.20</w:t>
            </w:r>
          </w:p>
        </w:tc>
        <w:tc>
          <w:tcPr>
            <w:tcW w:w="487" w:type="dxa"/>
            <w:shd w:val="clear" w:color="auto" w:fill="auto"/>
            <w:noWrap/>
            <w:vAlign w:val="center"/>
          </w:tcPr>
          <w:p w14:paraId="77FDBED2"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19.75</w:t>
            </w:r>
          </w:p>
        </w:tc>
        <w:tc>
          <w:tcPr>
            <w:tcW w:w="487" w:type="dxa"/>
            <w:shd w:val="clear" w:color="auto" w:fill="auto"/>
            <w:noWrap/>
            <w:vAlign w:val="center"/>
          </w:tcPr>
          <w:p w14:paraId="77FDBED3"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15.64</w:t>
            </w:r>
          </w:p>
        </w:tc>
        <w:tc>
          <w:tcPr>
            <w:tcW w:w="488" w:type="dxa"/>
            <w:shd w:val="clear" w:color="auto" w:fill="auto"/>
            <w:noWrap/>
            <w:vAlign w:val="center"/>
          </w:tcPr>
          <w:p w14:paraId="77FDBED4"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13.29</w:t>
            </w:r>
          </w:p>
        </w:tc>
        <w:tc>
          <w:tcPr>
            <w:tcW w:w="487" w:type="dxa"/>
            <w:shd w:val="clear" w:color="auto" w:fill="auto"/>
            <w:noWrap/>
            <w:vAlign w:val="center"/>
          </w:tcPr>
          <w:p w14:paraId="77FDBED5"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11.89</w:t>
            </w:r>
          </w:p>
        </w:tc>
        <w:tc>
          <w:tcPr>
            <w:tcW w:w="487" w:type="dxa"/>
            <w:shd w:val="clear" w:color="auto" w:fill="auto"/>
            <w:noWrap/>
            <w:vAlign w:val="center"/>
          </w:tcPr>
          <w:p w14:paraId="77FDBED6"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9.71</w:t>
            </w:r>
          </w:p>
        </w:tc>
        <w:tc>
          <w:tcPr>
            <w:tcW w:w="488" w:type="dxa"/>
            <w:shd w:val="clear" w:color="auto" w:fill="auto"/>
            <w:noWrap/>
            <w:vAlign w:val="center"/>
          </w:tcPr>
          <w:p w14:paraId="77FDBED7"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11.96</w:t>
            </w:r>
          </w:p>
        </w:tc>
        <w:tc>
          <w:tcPr>
            <w:tcW w:w="487" w:type="dxa"/>
            <w:shd w:val="clear" w:color="auto" w:fill="auto"/>
            <w:noWrap/>
            <w:vAlign w:val="center"/>
          </w:tcPr>
          <w:p w14:paraId="77FDBED8"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10.90</w:t>
            </w:r>
          </w:p>
        </w:tc>
        <w:tc>
          <w:tcPr>
            <w:tcW w:w="488" w:type="dxa"/>
            <w:shd w:val="clear" w:color="auto" w:fill="auto"/>
            <w:noWrap/>
            <w:vAlign w:val="center"/>
          </w:tcPr>
          <w:p w14:paraId="77FDBED9"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13.31</w:t>
            </w:r>
          </w:p>
        </w:tc>
      </w:tr>
      <w:tr w:rsidR="00DA39CA" w:rsidRPr="0063355C" w14:paraId="77FDBEE6" w14:textId="77777777" w:rsidTr="00CA1C90">
        <w:trPr>
          <w:trHeight w:val="240"/>
        </w:trPr>
        <w:tc>
          <w:tcPr>
            <w:tcW w:w="571" w:type="dxa"/>
            <w:shd w:val="clear" w:color="auto" w:fill="auto"/>
            <w:noWrap/>
            <w:hideMark/>
          </w:tcPr>
          <w:p w14:paraId="77FDBEDB" w14:textId="77777777" w:rsidR="00DA39CA" w:rsidRPr="0063355C" w:rsidRDefault="00DA39CA" w:rsidP="00CA1C90">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15</w:t>
            </w:r>
          </w:p>
        </w:tc>
        <w:tc>
          <w:tcPr>
            <w:tcW w:w="3883" w:type="dxa"/>
            <w:shd w:val="clear" w:color="auto" w:fill="auto"/>
            <w:noWrap/>
            <w:vAlign w:val="center"/>
            <w:hideMark/>
          </w:tcPr>
          <w:p w14:paraId="77FDBEDC" w14:textId="77777777" w:rsidR="00DA39CA" w:rsidRPr="0063355C" w:rsidRDefault="00DA39CA" w:rsidP="00CA1C90">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Base metals and articles of base metal </w:t>
            </w:r>
          </w:p>
        </w:tc>
        <w:tc>
          <w:tcPr>
            <w:tcW w:w="487" w:type="dxa"/>
            <w:vAlign w:val="center"/>
          </w:tcPr>
          <w:p w14:paraId="77FDBEDD"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0.24</w:t>
            </w:r>
          </w:p>
        </w:tc>
        <w:tc>
          <w:tcPr>
            <w:tcW w:w="487" w:type="dxa"/>
            <w:shd w:val="clear" w:color="auto" w:fill="auto"/>
            <w:noWrap/>
            <w:vAlign w:val="center"/>
          </w:tcPr>
          <w:p w14:paraId="77FDBEDE"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0.17</w:t>
            </w:r>
          </w:p>
        </w:tc>
        <w:tc>
          <w:tcPr>
            <w:tcW w:w="487" w:type="dxa"/>
            <w:shd w:val="clear" w:color="auto" w:fill="auto"/>
            <w:noWrap/>
            <w:vAlign w:val="center"/>
          </w:tcPr>
          <w:p w14:paraId="77FDBEDF"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0.19</w:t>
            </w:r>
          </w:p>
        </w:tc>
        <w:tc>
          <w:tcPr>
            <w:tcW w:w="488" w:type="dxa"/>
            <w:shd w:val="clear" w:color="auto" w:fill="auto"/>
            <w:noWrap/>
            <w:vAlign w:val="center"/>
          </w:tcPr>
          <w:p w14:paraId="77FDBEE0"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0.42</w:t>
            </w:r>
          </w:p>
        </w:tc>
        <w:tc>
          <w:tcPr>
            <w:tcW w:w="487" w:type="dxa"/>
            <w:shd w:val="clear" w:color="auto" w:fill="auto"/>
            <w:noWrap/>
            <w:vAlign w:val="center"/>
          </w:tcPr>
          <w:p w14:paraId="77FDBEE1"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0.20</w:t>
            </w:r>
          </w:p>
        </w:tc>
        <w:tc>
          <w:tcPr>
            <w:tcW w:w="487" w:type="dxa"/>
            <w:shd w:val="clear" w:color="auto" w:fill="auto"/>
            <w:noWrap/>
            <w:vAlign w:val="center"/>
          </w:tcPr>
          <w:p w14:paraId="77FDBEE2"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0.69</w:t>
            </w:r>
          </w:p>
        </w:tc>
        <w:tc>
          <w:tcPr>
            <w:tcW w:w="488" w:type="dxa"/>
            <w:shd w:val="clear" w:color="auto" w:fill="auto"/>
            <w:noWrap/>
            <w:vAlign w:val="center"/>
          </w:tcPr>
          <w:p w14:paraId="77FDBEE3"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0.25</w:t>
            </w:r>
          </w:p>
        </w:tc>
        <w:tc>
          <w:tcPr>
            <w:tcW w:w="487" w:type="dxa"/>
            <w:shd w:val="clear" w:color="auto" w:fill="auto"/>
            <w:noWrap/>
            <w:vAlign w:val="center"/>
          </w:tcPr>
          <w:p w14:paraId="77FDBEE4"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0.24</w:t>
            </w:r>
          </w:p>
        </w:tc>
        <w:tc>
          <w:tcPr>
            <w:tcW w:w="488" w:type="dxa"/>
            <w:shd w:val="clear" w:color="auto" w:fill="auto"/>
            <w:noWrap/>
            <w:vAlign w:val="center"/>
          </w:tcPr>
          <w:p w14:paraId="77FDBEE5"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0.29</w:t>
            </w:r>
          </w:p>
        </w:tc>
      </w:tr>
      <w:tr w:rsidR="00DA39CA" w:rsidRPr="0063355C" w14:paraId="77FDBEF2" w14:textId="77777777" w:rsidTr="00CA1C90">
        <w:trPr>
          <w:trHeight w:val="240"/>
        </w:trPr>
        <w:tc>
          <w:tcPr>
            <w:tcW w:w="571" w:type="dxa"/>
            <w:shd w:val="clear" w:color="auto" w:fill="auto"/>
            <w:noWrap/>
            <w:hideMark/>
          </w:tcPr>
          <w:p w14:paraId="77FDBEE7" w14:textId="77777777" w:rsidR="00DA39CA" w:rsidRPr="0063355C" w:rsidRDefault="00DA39CA" w:rsidP="00CA1C90">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16</w:t>
            </w:r>
          </w:p>
        </w:tc>
        <w:tc>
          <w:tcPr>
            <w:tcW w:w="3883" w:type="dxa"/>
            <w:shd w:val="clear" w:color="auto" w:fill="auto"/>
            <w:noWrap/>
            <w:vAlign w:val="center"/>
            <w:hideMark/>
          </w:tcPr>
          <w:p w14:paraId="77FDBEE8" w14:textId="77777777" w:rsidR="00DA39CA" w:rsidRPr="0063355C" w:rsidRDefault="00DA39CA" w:rsidP="00CA1C90">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Machinery and mechanical appliances; electrical equipment; parts thereof; sound recorders and reproducers, television image and sound recorders and reproducers, and parts and accessories of such articles </w:t>
            </w:r>
          </w:p>
        </w:tc>
        <w:tc>
          <w:tcPr>
            <w:tcW w:w="487" w:type="dxa"/>
            <w:vAlign w:val="center"/>
          </w:tcPr>
          <w:p w14:paraId="77FDBEE9"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0.01</w:t>
            </w:r>
          </w:p>
        </w:tc>
        <w:tc>
          <w:tcPr>
            <w:tcW w:w="487" w:type="dxa"/>
            <w:shd w:val="clear" w:color="auto" w:fill="auto"/>
            <w:noWrap/>
            <w:vAlign w:val="center"/>
          </w:tcPr>
          <w:p w14:paraId="77FDBEEA"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0.03</w:t>
            </w:r>
          </w:p>
        </w:tc>
        <w:tc>
          <w:tcPr>
            <w:tcW w:w="487" w:type="dxa"/>
            <w:shd w:val="clear" w:color="auto" w:fill="auto"/>
            <w:noWrap/>
            <w:vAlign w:val="center"/>
          </w:tcPr>
          <w:p w14:paraId="77FDBEEB"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0.07</w:t>
            </w:r>
          </w:p>
        </w:tc>
        <w:tc>
          <w:tcPr>
            <w:tcW w:w="488" w:type="dxa"/>
            <w:shd w:val="clear" w:color="auto" w:fill="auto"/>
            <w:noWrap/>
            <w:vAlign w:val="center"/>
          </w:tcPr>
          <w:p w14:paraId="77FDBEEC"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0.23</w:t>
            </w:r>
          </w:p>
        </w:tc>
        <w:tc>
          <w:tcPr>
            <w:tcW w:w="487" w:type="dxa"/>
            <w:shd w:val="clear" w:color="auto" w:fill="auto"/>
            <w:noWrap/>
            <w:vAlign w:val="center"/>
          </w:tcPr>
          <w:p w14:paraId="77FDBEED"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0.18</w:t>
            </w:r>
          </w:p>
        </w:tc>
        <w:tc>
          <w:tcPr>
            <w:tcW w:w="487" w:type="dxa"/>
            <w:shd w:val="clear" w:color="auto" w:fill="auto"/>
            <w:noWrap/>
            <w:vAlign w:val="center"/>
          </w:tcPr>
          <w:p w14:paraId="77FDBEEE"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0.11</w:t>
            </w:r>
          </w:p>
        </w:tc>
        <w:tc>
          <w:tcPr>
            <w:tcW w:w="488" w:type="dxa"/>
            <w:shd w:val="clear" w:color="auto" w:fill="auto"/>
            <w:noWrap/>
            <w:vAlign w:val="center"/>
          </w:tcPr>
          <w:p w14:paraId="77FDBEEF"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0.14</w:t>
            </w:r>
          </w:p>
        </w:tc>
        <w:tc>
          <w:tcPr>
            <w:tcW w:w="487" w:type="dxa"/>
            <w:shd w:val="clear" w:color="auto" w:fill="auto"/>
            <w:noWrap/>
            <w:vAlign w:val="center"/>
          </w:tcPr>
          <w:p w14:paraId="77FDBEF0"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0.15</w:t>
            </w:r>
          </w:p>
        </w:tc>
        <w:tc>
          <w:tcPr>
            <w:tcW w:w="488" w:type="dxa"/>
            <w:shd w:val="clear" w:color="auto" w:fill="auto"/>
            <w:noWrap/>
            <w:vAlign w:val="center"/>
          </w:tcPr>
          <w:p w14:paraId="77FDBEF1"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0.14</w:t>
            </w:r>
          </w:p>
        </w:tc>
      </w:tr>
      <w:tr w:rsidR="00DA39CA" w:rsidRPr="0063355C" w14:paraId="77FDBEFE" w14:textId="77777777" w:rsidTr="00CA1C90">
        <w:trPr>
          <w:trHeight w:val="240"/>
        </w:trPr>
        <w:tc>
          <w:tcPr>
            <w:tcW w:w="571" w:type="dxa"/>
            <w:shd w:val="clear" w:color="auto" w:fill="auto"/>
            <w:noWrap/>
            <w:hideMark/>
          </w:tcPr>
          <w:p w14:paraId="77FDBEF3" w14:textId="77777777" w:rsidR="00DA39CA" w:rsidRPr="0063355C" w:rsidRDefault="00DA39CA" w:rsidP="00CA1C90">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17</w:t>
            </w:r>
          </w:p>
        </w:tc>
        <w:tc>
          <w:tcPr>
            <w:tcW w:w="3883" w:type="dxa"/>
            <w:shd w:val="clear" w:color="auto" w:fill="auto"/>
            <w:noWrap/>
            <w:vAlign w:val="center"/>
            <w:hideMark/>
          </w:tcPr>
          <w:p w14:paraId="77FDBEF4" w14:textId="77777777" w:rsidR="00DA39CA" w:rsidRPr="0063355C" w:rsidRDefault="00DA39CA" w:rsidP="00CA1C90">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Vehicles, aircraft, vessels and associated transport equipment </w:t>
            </w:r>
          </w:p>
        </w:tc>
        <w:tc>
          <w:tcPr>
            <w:tcW w:w="487" w:type="dxa"/>
            <w:vAlign w:val="center"/>
          </w:tcPr>
          <w:p w14:paraId="77FDBEF5"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0.01</w:t>
            </w:r>
          </w:p>
        </w:tc>
        <w:tc>
          <w:tcPr>
            <w:tcW w:w="487" w:type="dxa"/>
            <w:shd w:val="clear" w:color="auto" w:fill="auto"/>
            <w:noWrap/>
            <w:vAlign w:val="center"/>
          </w:tcPr>
          <w:p w14:paraId="77FDBEF6"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0.05</w:t>
            </w:r>
          </w:p>
        </w:tc>
        <w:tc>
          <w:tcPr>
            <w:tcW w:w="487" w:type="dxa"/>
            <w:shd w:val="clear" w:color="auto" w:fill="auto"/>
            <w:noWrap/>
            <w:vAlign w:val="center"/>
          </w:tcPr>
          <w:p w14:paraId="77FDBEF7"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0.01</w:t>
            </w:r>
          </w:p>
        </w:tc>
        <w:tc>
          <w:tcPr>
            <w:tcW w:w="488" w:type="dxa"/>
            <w:shd w:val="clear" w:color="auto" w:fill="auto"/>
            <w:noWrap/>
            <w:vAlign w:val="center"/>
          </w:tcPr>
          <w:p w14:paraId="77FDBEF8"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0.10</w:t>
            </w:r>
          </w:p>
        </w:tc>
        <w:tc>
          <w:tcPr>
            <w:tcW w:w="487" w:type="dxa"/>
            <w:shd w:val="clear" w:color="auto" w:fill="auto"/>
            <w:noWrap/>
            <w:vAlign w:val="center"/>
          </w:tcPr>
          <w:p w14:paraId="77FDBEF9"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0.07</w:t>
            </w:r>
          </w:p>
        </w:tc>
        <w:tc>
          <w:tcPr>
            <w:tcW w:w="487" w:type="dxa"/>
            <w:shd w:val="clear" w:color="auto" w:fill="auto"/>
            <w:noWrap/>
            <w:vAlign w:val="center"/>
          </w:tcPr>
          <w:p w14:paraId="77FDBEFA"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0.05</w:t>
            </w:r>
          </w:p>
        </w:tc>
        <w:tc>
          <w:tcPr>
            <w:tcW w:w="488" w:type="dxa"/>
            <w:shd w:val="clear" w:color="auto" w:fill="auto"/>
            <w:noWrap/>
            <w:vAlign w:val="center"/>
          </w:tcPr>
          <w:p w14:paraId="77FDBEFB"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0.08</w:t>
            </w:r>
          </w:p>
        </w:tc>
        <w:tc>
          <w:tcPr>
            <w:tcW w:w="487" w:type="dxa"/>
            <w:shd w:val="clear" w:color="auto" w:fill="auto"/>
            <w:noWrap/>
            <w:vAlign w:val="center"/>
          </w:tcPr>
          <w:p w14:paraId="77FDBEFC"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0.13</w:t>
            </w:r>
          </w:p>
        </w:tc>
        <w:tc>
          <w:tcPr>
            <w:tcW w:w="488" w:type="dxa"/>
            <w:shd w:val="clear" w:color="auto" w:fill="auto"/>
            <w:noWrap/>
            <w:vAlign w:val="center"/>
          </w:tcPr>
          <w:p w14:paraId="77FDBEFD"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0.22</w:t>
            </w:r>
          </w:p>
        </w:tc>
      </w:tr>
      <w:tr w:rsidR="00DA39CA" w:rsidRPr="0063355C" w14:paraId="77FDBF0A" w14:textId="77777777" w:rsidTr="00CA1C90">
        <w:trPr>
          <w:trHeight w:val="240"/>
        </w:trPr>
        <w:tc>
          <w:tcPr>
            <w:tcW w:w="571" w:type="dxa"/>
            <w:shd w:val="clear" w:color="auto" w:fill="auto"/>
            <w:noWrap/>
            <w:hideMark/>
          </w:tcPr>
          <w:p w14:paraId="77FDBEFF" w14:textId="77777777" w:rsidR="00DA39CA" w:rsidRPr="0063355C" w:rsidRDefault="00DA39CA" w:rsidP="00CA1C90">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18</w:t>
            </w:r>
          </w:p>
        </w:tc>
        <w:tc>
          <w:tcPr>
            <w:tcW w:w="3883" w:type="dxa"/>
            <w:shd w:val="clear" w:color="auto" w:fill="auto"/>
            <w:noWrap/>
            <w:vAlign w:val="center"/>
            <w:hideMark/>
          </w:tcPr>
          <w:p w14:paraId="77FDBF00" w14:textId="77777777" w:rsidR="00DA39CA" w:rsidRPr="0063355C" w:rsidRDefault="00DA39CA" w:rsidP="00CA1C90">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Optical, photographic, cinematographic, measuring, checking, precision, medical or surgical instruments and apparatus; clocks and watches; musical instruments; parts and accessories thereof </w:t>
            </w:r>
          </w:p>
        </w:tc>
        <w:tc>
          <w:tcPr>
            <w:tcW w:w="487" w:type="dxa"/>
            <w:vAlign w:val="center"/>
          </w:tcPr>
          <w:p w14:paraId="77FDBF01"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0.01</w:t>
            </w:r>
          </w:p>
        </w:tc>
        <w:tc>
          <w:tcPr>
            <w:tcW w:w="487" w:type="dxa"/>
            <w:shd w:val="clear" w:color="auto" w:fill="auto"/>
            <w:noWrap/>
            <w:vAlign w:val="center"/>
          </w:tcPr>
          <w:p w14:paraId="77FDBF02"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0.00</w:t>
            </w:r>
          </w:p>
        </w:tc>
        <w:tc>
          <w:tcPr>
            <w:tcW w:w="487" w:type="dxa"/>
            <w:shd w:val="clear" w:color="auto" w:fill="auto"/>
            <w:noWrap/>
            <w:vAlign w:val="center"/>
          </w:tcPr>
          <w:p w14:paraId="77FDBF03"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0.02</w:t>
            </w:r>
          </w:p>
        </w:tc>
        <w:tc>
          <w:tcPr>
            <w:tcW w:w="488" w:type="dxa"/>
            <w:shd w:val="clear" w:color="auto" w:fill="auto"/>
            <w:noWrap/>
            <w:vAlign w:val="center"/>
          </w:tcPr>
          <w:p w14:paraId="77FDBF04"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0.05</w:t>
            </w:r>
          </w:p>
        </w:tc>
        <w:tc>
          <w:tcPr>
            <w:tcW w:w="487" w:type="dxa"/>
            <w:shd w:val="clear" w:color="auto" w:fill="auto"/>
            <w:noWrap/>
            <w:vAlign w:val="center"/>
          </w:tcPr>
          <w:p w14:paraId="77FDBF05"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0.07</w:t>
            </w:r>
          </w:p>
        </w:tc>
        <w:tc>
          <w:tcPr>
            <w:tcW w:w="487" w:type="dxa"/>
            <w:shd w:val="clear" w:color="auto" w:fill="auto"/>
            <w:noWrap/>
            <w:vAlign w:val="center"/>
          </w:tcPr>
          <w:p w14:paraId="77FDBF06"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0.07</w:t>
            </w:r>
          </w:p>
        </w:tc>
        <w:tc>
          <w:tcPr>
            <w:tcW w:w="488" w:type="dxa"/>
            <w:shd w:val="clear" w:color="auto" w:fill="auto"/>
            <w:noWrap/>
            <w:vAlign w:val="center"/>
          </w:tcPr>
          <w:p w14:paraId="77FDBF07"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0.12</w:t>
            </w:r>
          </w:p>
        </w:tc>
        <w:tc>
          <w:tcPr>
            <w:tcW w:w="487" w:type="dxa"/>
            <w:shd w:val="clear" w:color="auto" w:fill="auto"/>
            <w:noWrap/>
            <w:vAlign w:val="center"/>
          </w:tcPr>
          <w:p w14:paraId="77FDBF08"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0.24</w:t>
            </w:r>
          </w:p>
        </w:tc>
        <w:tc>
          <w:tcPr>
            <w:tcW w:w="488" w:type="dxa"/>
            <w:shd w:val="clear" w:color="auto" w:fill="auto"/>
            <w:noWrap/>
            <w:vAlign w:val="center"/>
          </w:tcPr>
          <w:p w14:paraId="77FDBF09"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0.11</w:t>
            </w:r>
          </w:p>
        </w:tc>
      </w:tr>
      <w:tr w:rsidR="00DA39CA" w:rsidRPr="0063355C" w14:paraId="77FDBF16" w14:textId="77777777" w:rsidTr="00CA1C90">
        <w:trPr>
          <w:trHeight w:val="240"/>
        </w:trPr>
        <w:tc>
          <w:tcPr>
            <w:tcW w:w="571" w:type="dxa"/>
            <w:shd w:val="clear" w:color="auto" w:fill="auto"/>
            <w:noWrap/>
            <w:hideMark/>
          </w:tcPr>
          <w:p w14:paraId="77FDBF0B" w14:textId="77777777" w:rsidR="00DA39CA" w:rsidRPr="0063355C" w:rsidRDefault="00DA39CA" w:rsidP="00CA1C90">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19</w:t>
            </w:r>
          </w:p>
        </w:tc>
        <w:tc>
          <w:tcPr>
            <w:tcW w:w="3883" w:type="dxa"/>
            <w:shd w:val="clear" w:color="auto" w:fill="auto"/>
            <w:noWrap/>
            <w:vAlign w:val="center"/>
            <w:hideMark/>
          </w:tcPr>
          <w:p w14:paraId="77FDBF0C" w14:textId="77777777" w:rsidR="00DA39CA" w:rsidRPr="0063355C" w:rsidRDefault="00DA39CA" w:rsidP="00CA1C90">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Arms and ammunition; parts and accessories thereof </w:t>
            </w:r>
          </w:p>
        </w:tc>
        <w:tc>
          <w:tcPr>
            <w:tcW w:w="487" w:type="dxa"/>
            <w:vAlign w:val="center"/>
          </w:tcPr>
          <w:p w14:paraId="77FDBF0D"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0.01</w:t>
            </w:r>
          </w:p>
        </w:tc>
        <w:tc>
          <w:tcPr>
            <w:tcW w:w="487" w:type="dxa"/>
            <w:shd w:val="clear" w:color="auto" w:fill="auto"/>
            <w:noWrap/>
            <w:vAlign w:val="center"/>
          </w:tcPr>
          <w:p w14:paraId="77FDBF0E"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0.00</w:t>
            </w:r>
          </w:p>
        </w:tc>
        <w:tc>
          <w:tcPr>
            <w:tcW w:w="487" w:type="dxa"/>
            <w:shd w:val="clear" w:color="auto" w:fill="auto"/>
            <w:noWrap/>
            <w:vAlign w:val="center"/>
          </w:tcPr>
          <w:p w14:paraId="77FDBF0F"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0.03</w:t>
            </w:r>
          </w:p>
        </w:tc>
        <w:tc>
          <w:tcPr>
            <w:tcW w:w="488" w:type="dxa"/>
            <w:shd w:val="clear" w:color="auto" w:fill="auto"/>
            <w:noWrap/>
            <w:vAlign w:val="center"/>
          </w:tcPr>
          <w:p w14:paraId="77FDBF10"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0.01</w:t>
            </w:r>
          </w:p>
        </w:tc>
        <w:tc>
          <w:tcPr>
            <w:tcW w:w="487" w:type="dxa"/>
            <w:shd w:val="clear" w:color="auto" w:fill="auto"/>
            <w:noWrap/>
            <w:vAlign w:val="center"/>
          </w:tcPr>
          <w:p w14:paraId="77FDBF11"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0.32</w:t>
            </w:r>
          </w:p>
        </w:tc>
        <w:tc>
          <w:tcPr>
            <w:tcW w:w="487" w:type="dxa"/>
            <w:shd w:val="clear" w:color="auto" w:fill="auto"/>
            <w:noWrap/>
            <w:vAlign w:val="center"/>
          </w:tcPr>
          <w:p w14:paraId="77FDBF12"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0.03</w:t>
            </w:r>
          </w:p>
        </w:tc>
        <w:tc>
          <w:tcPr>
            <w:tcW w:w="488" w:type="dxa"/>
            <w:shd w:val="clear" w:color="auto" w:fill="auto"/>
            <w:noWrap/>
            <w:vAlign w:val="center"/>
          </w:tcPr>
          <w:p w14:paraId="77FDBF13"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0.00</w:t>
            </w:r>
          </w:p>
        </w:tc>
        <w:tc>
          <w:tcPr>
            <w:tcW w:w="487" w:type="dxa"/>
            <w:shd w:val="clear" w:color="auto" w:fill="auto"/>
            <w:noWrap/>
            <w:vAlign w:val="center"/>
          </w:tcPr>
          <w:p w14:paraId="77FDBF14"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0.12</w:t>
            </w:r>
          </w:p>
        </w:tc>
        <w:tc>
          <w:tcPr>
            <w:tcW w:w="488" w:type="dxa"/>
            <w:shd w:val="clear" w:color="auto" w:fill="auto"/>
            <w:noWrap/>
            <w:vAlign w:val="center"/>
          </w:tcPr>
          <w:p w14:paraId="77FDBF15"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1.04</w:t>
            </w:r>
          </w:p>
        </w:tc>
      </w:tr>
      <w:tr w:rsidR="00DA39CA" w:rsidRPr="0063355C" w14:paraId="77FDBF22" w14:textId="77777777" w:rsidTr="00CA1C90">
        <w:trPr>
          <w:trHeight w:val="240"/>
        </w:trPr>
        <w:tc>
          <w:tcPr>
            <w:tcW w:w="571" w:type="dxa"/>
            <w:shd w:val="clear" w:color="auto" w:fill="auto"/>
            <w:noWrap/>
            <w:hideMark/>
          </w:tcPr>
          <w:p w14:paraId="77FDBF17" w14:textId="77777777" w:rsidR="00DA39CA" w:rsidRPr="0063355C" w:rsidRDefault="00DA39CA" w:rsidP="00CA1C90">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20</w:t>
            </w:r>
          </w:p>
        </w:tc>
        <w:tc>
          <w:tcPr>
            <w:tcW w:w="3883" w:type="dxa"/>
            <w:shd w:val="clear" w:color="auto" w:fill="auto"/>
            <w:noWrap/>
            <w:vAlign w:val="center"/>
            <w:hideMark/>
          </w:tcPr>
          <w:p w14:paraId="77FDBF18" w14:textId="77777777" w:rsidR="00DA39CA" w:rsidRPr="0063355C" w:rsidRDefault="00DA39CA" w:rsidP="00CA1C90">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Miscellaneous manufactured articles </w:t>
            </w:r>
          </w:p>
        </w:tc>
        <w:tc>
          <w:tcPr>
            <w:tcW w:w="487" w:type="dxa"/>
            <w:vAlign w:val="center"/>
          </w:tcPr>
          <w:p w14:paraId="77FDBF19"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0.03</w:t>
            </w:r>
          </w:p>
        </w:tc>
        <w:tc>
          <w:tcPr>
            <w:tcW w:w="487" w:type="dxa"/>
            <w:shd w:val="clear" w:color="auto" w:fill="auto"/>
            <w:noWrap/>
            <w:vAlign w:val="center"/>
          </w:tcPr>
          <w:p w14:paraId="77FDBF1A"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0.06</w:t>
            </w:r>
          </w:p>
        </w:tc>
        <w:tc>
          <w:tcPr>
            <w:tcW w:w="487" w:type="dxa"/>
            <w:shd w:val="clear" w:color="auto" w:fill="auto"/>
            <w:noWrap/>
            <w:vAlign w:val="center"/>
          </w:tcPr>
          <w:p w14:paraId="77FDBF1B"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0.09</w:t>
            </w:r>
          </w:p>
        </w:tc>
        <w:tc>
          <w:tcPr>
            <w:tcW w:w="488" w:type="dxa"/>
            <w:shd w:val="clear" w:color="auto" w:fill="auto"/>
            <w:noWrap/>
            <w:vAlign w:val="center"/>
          </w:tcPr>
          <w:p w14:paraId="77FDBF1C"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0.55</w:t>
            </w:r>
          </w:p>
        </w:tc>
        <w:tc>
          <w:tcPr>
            <w:tcW w:w="487" w:type="dxa"/>
            <w:shd w:val="clear" w:color="auto" w:fill="auto"/>
            <w:noWrap/>
            <w:vAlign w:val="center"/>
          </w:tcPr>
          <w:p w14:paraId="77FDBF1D"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0.06</w:t>
            </w:r>
          </w:p>
        </w:tc>
        <w:tc>
          <w:tcPr>
            <w:tcW w:w="487" w:type="dxa"/>
            <w:shd w:val="clear" w:color="auto" w:fill="auto"/>
            <w:noWrap/>
            <w:vAlign w:val="center"/>
          </w:tcPr>
          <w:p w14:paraId="77FDBF1E"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0.41</w:t>
            </w:r>
          </w:p>
        </w:tc>
        <w:tc>
          <w:tcPr>
            <w:tcW w:w="488" w:type="dxa"/>
            <w:shd w:val="clear" w:color="auto" w:fill="auto"/>
            <w:noWrap/>
            <w:vAlign w:val="center"/>
          </w:tcPr>
          <w:p w14:paraId="77FDBF1F"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0.17</w:t>
            </w:r>
          </w:p>
        </w:tc>
        <w:tc>
          <w:tcPr>
            <w:tcW w:w="487" w:type="dxa"/>
            <w:shd w:val="clear" w:color="auto" w:fill="auto"/>
            <w:noWrap/>
            <w:vAlign w:val="center"/>
          </w:tcPr>
          <w:p w14:paraId="77FDBF20"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0.12</w:t>
            </w:r>
          </w:p>
        </w:tc>
        <w:tc>
          <w:tcPr>
            <w:tcW w:w="488" w:type="dxa"/>
            <w:shd w:val="clear" w:color="auto" w:fill="auto"/>
            <w:noWrap/>
            <w:vAlign w:val="center"/>
          </w:tcPr>
          <w:p w14:paraId="77FDBF21"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0.11</w:t>
            </w:r>
          </w:p>
        </w:tc>
      </w:tr>
      <w:tr w:rsidR="00DA39CA" w:rsidRPr="0063355C" w14:paraId="77FDBF2E" w14:textId="77777777" w:rsidTr="00CA1C90">
        <w:trPr>
          <w:trHeight w:val="240"/>
        </w:trPr>
        <w:tc>
          <w:tcPr>
            <w:tcW w:w="571" w:type="dxa"/>
            <w:shd w:val="clear" w:color="auto" w:fill="auto"/>
            <w:noWrap/>
            <w:hideMark/>
          </w:tcPr>
          <w:p w14:paraId="77FDBF23" w14:textId="77777777" w:rsidR="00DA39CA" w:rsidRPr="0063355C" w:rsidRDefault="00DA39CA" w:rsidP="00CA1C90">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21</w:t>
            </w:r>
          </w:p>
        </w:tc>
        <w:tc>
          <w:tcPr>
            <w:tcW w:w="3883" w:type="dxa"/>
            <w:shd w:val="clear" w:color="auto" w:fill="auto"/>
            <w:noWrap/>
            <w:vAlign w:val="center"/>
            <w:hideMark/>
          </w:tcPr>
          <w:p w14:paraId="77FDBF24" w14:textId="77777777" w:rsidR="00DA39CA" w:rsidRPr="0063355C" w:rsidRDefault="00DA39CA" w:rsidP="00CA1C90">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Works of art, collectors’ pieces and antiques </w:t>
            </w:r>
          </w:p>
        </w:tc>
        <w:tc>
          <w:tcPr>
            <w:tcW w:w="487" w:type="dxa"/>
            <w:vAlign w:val="center"/>
          </w:tcPr>
          <w:p w14:paraId="77FDBF25"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0.09</w:t>
            </w:r>
          </w:p>
        </w:tc>
        <w:tc>
          <w:tcPr>
            <w:tcW w:w="487" w:type="dxa"/>
            <w:shd w:val="clear" w:color="auto" w:fill="auto"/>
            <w:noWrap/>
            <w:vAlign w:val="center"/>
          </w:tcPr>
          <w:p w14:paraId="77FDBF26"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0.26</w:t>
            </w:r>
          </w:p>
        </w:tc>
        <w:tc>
          <w:tcPr>
            <w:tcW w:w="487" w:type="dxa"/>
            <w:shd w:val="clear" w:color="auto" w:fill="auto"/>
            <w:noWrap/>
            <w:vAlign w:val="center"/>
          </w:tcPr>
          <w:p w14:paraId="77FDBF27"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0.27</w:t>
            </w:r>
          </w:p>
        </w:tc>
        <w:tc>
          <w:tcPr>
            <w:tcW w:w="488" w:type="dxa"/>
            <w:shd w:val="clear" w:color="auto" w:fill="auto"/>
            <w:noWrap/>
            <w:vAlign w:val="center"/>
          </w:tcPr>
          <w:p w14:paraId="77FDBF28"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0.20</w:t>
            </w:r>
          </w:p>
        </w:tc>
        <w:tc>
          <w:tcPr>
            <w:tcW w:w="487" w:type="dxa"/>
            <w:shd w:val="clear" w:color="auto" w:fill="auto"/>
            <w:noWrap/>
            <w:vAlign w:val="center"/>
          </w:tcPr>
          <w:p w14:paraId="77FDBF29"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0.05</w:t>
            </w:r>
          </w:p>
        </w:tc>
        <w:tc>
          <w:tcPr>
            <w:tcW w:w="487" w:type="dxa"/>
            <w:shd w:val="clear" w:color="auto" w:fill="auto"/>
            <w:noWrap/>
            <w:vAlign w:val="center"/>
          </w:tcPr>
          <w:p w14:paraId="77FDBF2A"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0.06</w:t>
            </w:r>
          </w:p>
        </w:tc>
        <w:tc>
          <w:tcPr>
            <w:tcW w:w="488" w:type="dxa"/>
            <w:shd w:val="clear" w:color="auto" w:fill="auto"/>
            <w:noWrap/>
            <w:vAlign w:val="center"/>
          </w:tcPr>
          <w:p w14:paraId="77FDBF2B"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0.09</w:t>
            </w:r>
          </w:p>
        </w:tc>
        <w:tc>
          <w:tcPr>
            <w:tcW w:w="487" w:type="dxa"/>
            <w:shd w:val="clear" w:color="auto" w:fill="auto"/>
            <w:noWrap/>
            <w:vAlign w:val="center"/>
          </w:tcPr>
          <w:p w14:paraId="77FDBF2C"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0.05</w:t>
            </w:r>
          </w:p>
        </w:tc>
        <w:tc>
          <w:tcPr>
            <w:tcW w:w="488" w:type="dxa"/>
            <w:shd w:val="clear" w:color="auto" w:fill="auto"/>
            <w:noWrap/>
            <w:vAlign w:val="center"/>
          </w:tcPr>
          <w:p w14:paraId="77FDBF2D" w14:textId="77777777" w:rsidR="00DA39CA" w:rsidRPr="00DA39CA" w:rsidRDefault="00DA39CA" w:rsidP="00CA1C90">
            <w:pPr>
              <w:spacing w:line="220" w:lineRule="atLeast"/>
              <w:jc w:val="center"/>
              <w:rPr>
                <w:rFonts w:ascii="Arial" w:eastAsia="Times New Roman" w:hAnsi="Arial" w:cs="Arial"/>
                <w:color w:val="000000"/>
                <w:sz w:val="16"/>
                <w:szCs w:val="18"/>
                <w:lang w:eastAsia="en-GB"/>
              </w:rPr>
            </w:pPr>
            <w:r w:rsidRPr="00DA39CA">
              <w:rPr>
                <w:rFonts w:ascii="Arial" w:eastAsia="Times New Roman" w:hAnsi="Arial" w:cs="Arial"/>
                <w:color w:val="000000"/>
                <w:sz w:val="16"/>
                <w:szCs w:val="18"/>
                <w:lang w:eastAsia="en-GB"/>
              </w:rPr>
              <w:t>0.07</w:t>
            </w:r>
          </w:p>
        </w:tc>
      </w:tr>
    </w:tbl>
    <w:p w14:paraId="77FDBF2F" w14:textId="77777777" w:rsidR="00DA39CA" w:rsidRDefault="00DA39CA" w:rsidP="00DA39CA">
      <w:pPr>
        <w:pStyle w:val="Source"/>
      </w:pPr>
      <w:r>
        <w:t xml:space="preserve">Note: Share of country’s exports in each HS Section in country’s total exports as a ratio of share of world exports in each HS Section in world total exports. ‘World’ = UN </w:t>
      </w:r>
      <w:proofErr w:type="spellStart"/>
      <w:r>
        <w:t>COMTRADE’s</w:t>
      </w:r>
      <w:proofErr w:type="spellEnd"/>
      <w:r>
        <w:t xml:space="preserve"> ‘all countries’ aggregate, i.e. total of however many countries have reported their data in any given year. </w:t>
      </w:r>
      <w:r>
        <w:br/>
        <w:t xml:space="preserve">Source: Authors’ calculations using data from the UN’s </w:t>
      </w:r>
      <w:proofErr w:type="spellStart"/>
      <w:r>
        <w:t>COMTRADE</w:t>
      </w:r>
      <w:proofErr w:type="spellEnd"/>
      <w:r>
        <w:t xml:space="preserve"> database.</w:t>
      </w:r>
    </w:p>
    <w:p w14:paraId="77FDBF30" w14:textId="77777777" w:rsidR="00104401" w:rsidRDefault="00104401" w:rsidP="00104401">
      <w:pPr>
        <w:pStyle w:val="Heading2"/>
      </w:pPr>
      <w:bookmarkStart w:id="147" w:name="_Toc428435157"/>
      <w:r>
        <w:t>Trade in value added</w:t>
      </w:r>
      <w:bookmarkEnd w:id="134"/>
      <w:bookmarkEnd w:id="147"/>
    </w:p>
    <w:p w14:paraId="77FDBF31" w14:textId="77777777" w:rsidR="00DC3EDD" w:rsidRPr="007831E9" w:rsidRDefault="00DC3EDD" w:rsidP="00DC3EDD">
      <w:pPr>
        <w:pStyle w:val="FigureHeading"/>
      </w:pPr>
      <w:bookmarkStart w:id="148" w:name="_Toc428435158"/>
      <w:r w:rsidRPr="007831E9">
        <w:t>Compound annual growth rate of domestic value added, foreign value added and exports, 1996-2011 and 2006-11</w:t>
      </w:r>
      <w:r>
        <w:t>, Tanzania</w:t>
      </w:r>
      <w:bookmarkEnd w:id="148"/>
    </w:p>
    <w:p w14:paraId="77FDBF32" w14:textId="77777777" w:rsidR="00DC3EDD" w:rsidRDefault="00DC3EDD" w:rsidP="00DC3EDD">
      <w:r>
        <w:rPr>
          <w:noProof/>
          <w:lang w:eastAsia="en-GB"/>
        </w:rPr>
        <w:drawing>
          <wp:inline distT="0" distB="0" distL="0" distR="0" wp14:anchorId="77FDBF9D" wp14:editId="77FDBF9E">
            <wp:extent cx="4114800" cy="1828800"/>
            <wp:effectExtent l="0" t="0" r="0" b="0"/>
            <wp:docPr id="243" name="Chart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77FDBF33" w14:textId="77777777" w:rsidR="00DC3EDD" w:rsidRPr="00B67D98" w:rsidRDefault="00DC3EDD" w:rsidP="00DC3EDD">
      <w:pPr>
        <w:pStyle w:val="Source"/>
      </w:pPr>
      <w:r w:rsidRPr="00B67D98">
        <w:t xml:space="preserve">Source: Own </w:t>
      </w:r>
      <w:r>
        <w:t xml:space="preserve">computations using </w:t>
      </w:r>
      <w:proofErr w:type="spellStart"/>
      <w:r>
        <w:t>Eora26</w:t>
      </w:r>
      <w:proofErr w:type="spellEnd"/>
      <w:r>
        <w:t xml:space="preserve"> database</w:t>
      </w:r>
    </w:p>
    <w:p w14:paraId="77FDBF34" w14:textId="77777777" w:rsidR="00DC3EDD" w:rsidRDefault="00DC3EDD" w:rsidP="00DC3EDD"/>
    <w:p w14:paraId="77FDBF35" w14:textId="77777777" w:rsidR="00DC3EDD" w:rsidRDefault="00DC3EDD" w:rsidP="00DC3EDD">
      <w:pPr>
        <w:pStyle w:val="FigureHeading"/>
      </w:pPr>
      <w:bookmarkStart w:id="149" w:name="_Toc428435159"/>
      <w:r>
        <w:rPr>
          <w:rFonts w:cs="Arial"/>
        </w:rPr>
        <w:t>Domestic and foreign value added content of gross exports as share of gross exports, 1996, 2000, 2006 and 2011</w:t>
      </w:r>
      <w:r>
        <w:t>, Tanzania</w:t>
      </w:r>
      <w:bookmarkEnd w:id="149"/>
    </w:p>
    <w:p w14:paraId="6D3731A4" w14:textId="7EEBBD67" w:rsidR="00F134AC" w:rsidRPr="00F134AC" w:rsidRDefault="00F134AC" w:rsidP="00F134AC">
      <w:pPr>
        <w:pStyle w:val="BodyText"/>
        <w:spacing w:before="39" w:after="0" w:line="240" w:lineRule="auto"/>
        <w:jc w:val="left"/>
      </w:pPr>
      <w:r>
        <w:rPr>
          <w:noProof/>
          <w:lang w:eastAsia="en-GB"/>
        </w:rPr>
        <w:drawing>
          <wp:inline distT="0" distB="0" distL="0" distR="0" wp14:anchorId="34CE17DF" wp14:editId="0AA7EB2B">
            <wp:extent cx="4114800" cy="18288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77FDBF37" w14:textId="77777777" w:rsidR="00DC3EDD" w:rsidRPr="00B67D98" w:rsidRDefault="00DC3EDD" w:rsidP="00DC3EDD">
      <w:pPr>
        <w:pStyle w:val="Source"/>
      </w:pPr>
      <w:r w:rsidRPr="00B67D98">
        <w:t xml:space="preserve">Source: Own </w:t>
      </w:r>
      <w:r>
        <w:t xml:space="preserve">computations using </w:t>
      </w:r>
      <w:proofErr w:type="spellStart"/>
      <w:r>
        <w:t>Eora26</w:t>
      </w:r>
      <w:proofErr w:type="spellEnd"/>
      <w:r>
        <w:t xml:space="preserve"> database</w:t>
      </w:r>
    </w:p>
    <w:p w14:paraId="77FDBF38" w14:textId="77777777" w:rsidR="00DC3EDD" w:rsidRDefault="00DC3EDD" w:rsidP="00DC3EDD">
      <w:pPr>
        <w:pStyle w:val="BodyText"/>
      </w:pPr>
    </w:p>
    <w:p w14:paraId="77FDBF39" w14:textId="77777777" w:rsidR="00DC3EDD" w:rsidRPr="00623027" w:rsidRDefault="00DC3EDD" w:rsidP="00DC3EDD">
      <w:pPr>
        <w:pStyle w:val="FigureHeading"/>
        <w:rPr>
          <w:rFonts w:cs="Arial"/>
        </w:rPr>
      </w:pPr>
      <w:bookmarkStart w:id="150" w:name="_Toc428435160"/>
      <w:r>
        <w:rPr>
          <w:rFonts w:cs="Arial"/>
        </w:rPr>
        <w:t>Overall value of domestic and foreign value added, 1996, 2000, 2006 and 2011 (in USD 1,000)</w:t>
      </w:r>
      <w:r w:rsidRPr="00DC3EDD">
        <w:t xml:space="preserve"> </w:t>
      </w:r>
      <w:r>
        <w:t>, Tanzania</w:t>
      </w:r>
      <w:bookmarkEnd w:id="150"/>
    </w:p>
    <w:p w14:paraId="77FDBF3A" w14:textId="77777777" w:rsidR="00DC3EDD" w:rsidRDefault="00DC3EDD" w:rsidP="00DC3EDD">
      <w:pPr>
        <w:pStyle w:val="BodyText"/>
      </w:pPr>
      <w:r>
        <w:rPr>
          <w:noProof/>
          <w:lang w:eastAsia="en-GB"/>
        </w:rPr>
        <w:drawing>
          <wp:inline distT="0" distB="0" distL="0" distR="0" wp14:anchorId="77FDBFA1" wp14:editId="77FDBFA2">
            <wp:extent cx="4114800" cy="1828800"/>
            <wp:effectExtent l="0" t="0" r="0" b="0"/>
            <wp:docPr id="245"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77FDBF3B" w14:textId="77777777" w:rsidR="00DC3EDD" w:rsidRPr="00B67D98" w:rsidRDefault="00DC3EDD" w:rsidP="00DC3EDD">
      <w:pPr>
        <w:pStyle w:val="Source"/>
      </w:pPr>
      <w:r w:rsidRPr="00B67D98">
        <w:t xml:space="preserve">Source: Own </w:t>
      </w:r>
      <w:r>
        <w:t xml:space="preserve">computations using </w:t>
      </w:r>
      <w:proofErr w:type="spellStart"/>
      <w:r>
        <w:t>Eora26</w:t>
      </w:r>
      <w:proofErr w:type="spellEnd"/>
      <w:r>
        <w:t xml:space="preserve"> database</w:t>
      </w:r>
    </w:p>
    <w:p w14:paraId="77FDBF3C" w14:textId="77777777" w:rsidR="00DC3EDD" w:rsidRPr="007831E9" w:rsidRDefault="00DC3EDD" w:rsidP="00DC3EDD">
      <w:pPr>
        <w:pStyle w:val="BodyText"/>
      </w:pPr>
    </w:p>
    <w:p w14:paraId="77FDBF3D" w14:textId="77777777" w:rsidR="00DC3EDD" w:rsidRPr="00623027" w:rsidRDefault="00DC3EDD" w:rsidP="00DC3EDD">
      <w:pPr>
        <w:pStyle w:val="FigureHeading"/>
        <w:rPr>
          <w:rFonts w:cs="Arial"/>
        </w:rPr>
      </w:pPr>
      <w:bookmarkStart w:id="151" w:name="_Toc428435161"/>
      <w:r>
        <w:rPr>
          <w:rFonts w:cs="Arial"/>
        </w:rPr>
        <w:t>C</w:t>
      </w:r>
      <w:r w:rsidRPr="007831E9">
        <w:rPr>
          <w:rFonts w:cs="Arial"/>
        </w:rPr>
        <w:t xml:space="preserve">ompound annual growth rate of </w:t>
      </w:r>
      <w:proofErr w:type="spellStart"/>
      <w:r w:rsidRPr="007831E9">
        <w:rPr>
          <w:rFonts w:cs="Arial"/>
        </w:rPr>
        <w:t>DVA</w:t>
      </w:r>
      <w:proofErr w:type="spellEnd"/>
      <w:r w:rsidRPr="007831E9">
        <w:rPr>
          <w:rFonts w:cs="Arial"/>
        </w:rPr>
        <w:t xml:space="preserve"> embodied in gross exports by sector, 1996-2011 and 2006-2011</w:t>
      </w:r>
      <w:r>
        <w:t>, Tanzania</w:t>
      </w:r>
      <w:bookmarkEnd w:id="151"/>
    </w:p>
    <w:p w14:paraId="77FDBF3E" w14:textId="77777777" w:rsidR="00DC3EDD" w:rsidRDefault="00DC3EDD" w:rsidP="00DC3EDD">
      <w:r>
        <w:rPr>
          <w:noProof/>
          <w:lang w:eastAsia="en-GB"/>
        </w:rPr>
        <w:drawing>
          <wp:inline distT="0" distB="0" distL="0" distR="0" wp14:anchorId="77FDBFA3" wp14:editId="77FDBFA4">
            <wp:extent cx="4572000" cy="2743200"/>
            <wp:effectExtent l="0" t="0" r="0" b="0"/>
            <wp:docPr id="246" name="Chart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77FDBF3F" w14:textId="77777777" w:rsidR="00DC3EDD" w:rsidRPr="00B67D98" w:rsidRDefault="00DC3EDD" w:rsidP="00DC3EDD">
      <w:pPr>
        <w:pStyle w:val="Source"/>
      </w:pPr>
      <w:r w:rsidRPr="00B67D98">
        <w:t xml:space="preserve">Source: Own </w:t>
      </w:r>
      <w:r>
        <w:t xml:space="preserve">computations using </w:t>
      </w:r>
      <w:proofErr w:type="spellStart"/>
      <w:r>
        <w:t>Eora26</w:t>
      </w:r>
      <w:proofErr w:type="spellEnd"/>
      <w:r>
        <w:t xml:space="preserve"> database</w:t>
      </w:r>
    </w:p>
    <w:p w14:paraId="77FDBF40" w14:textId="77777777" w:rsidR="00DC3EDD" w:rsidRDefault="00DC3EDD" w:rsidP="00DC3EDD"/>
    <w:p w14:paraId="77FDBF41" w14:textId="77777777" w:rsidR="00DC3EDD" w:rsidRDefault="00DC3EDD" w:rsidP="00DC3EDD">
      <w:pPr>
        <w:pStyle w:val="FigureHeading"/>
      </w:pPr>
      <w:bookmarkStart w:id="152" w:name="_Toc428435162"/>
      <w:r w:rsidRPr="007831E9">
        <w:rPr>
          <w:rFonts w:cs="Arial"/>
        </w:rPr>
        <w:t xml:space="preserve">Sectoral </w:t>
      </w:r>
      <w:proofErr w:type="spellStart"/>
      <w:r w:rsidRPr="007831E9">
        <w:rPr>
          <w:rFonts w:cs="Arial"/>
        </w:rPr>
        <w:t>DVA</w:t>
      </w:r>
      <w:proofErr w:type="spellEnd"/>
      <w:r w:rsidRPr="007831E9">
        <w:rPr>
          <w:rFonts w:cs="Arial"/>
        </w:rPr>
        <w:t xml:space="preserve"> embodied in exports as a share of sectoral gross exports, 2000 and 2011</w:t>
      </w:r>
      <w:r>
        <w:t>, Tanzania</w:t>
      </w:r>
      <w:bookmarkEnd w:id="152"/>
    </w:p>
    <w:p w14:paraId="32042A82" w14:textId="1113704F" w:rsidR="00F134AC" w:rsidRPr="00F134AC" w:rsidRDefault="00F134AC" w:rsidP="00F134AC">
      <w:pPr>
        <w:pStyle w:val="BodyText"/>
        <w:spacing w:before="39" w:after="0" w:line="240" w:lineRule="auto"/>
        <w:jc w:val="left"/>
      </w:pPr>
      <w:r>
        <w:rPr>
          <w:noProof/>
          <w:lang w:eastAsia="en-GB"/>
        </w:rPr>
        <w:drawing>
          <wp:inline distT="0" distB="0" distL="0" distR="0" wp14:anchorId="31C836E1" wp14:editId="4FE09206">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77FDBF43" w14:textId="77777777" w:rsidR="00DC3EDD" w:rsidRPr="00B67D98" w:rsidRDefault="00DC3EDD" w:rsidP="00DC3EDD">
      <w:pPr>
        <w:pStyle w:val="Source"/>
      </w:pPr>
      <w:r w:rsidRPr="00B67D98">
        <w:t xml:space="preserve">Source: Own </w:t>
      </w:r>
      <w:r>
        <w:t xml:space="preserve">computations using </w:t>
      </w:r>
      <w:proofErr w:type="spellStart"/>
      <w:r>
        <w:t>Eora26</w:t>
      </w:r>
      <w:proofErr w:type="spellEnd"/>
      <w:r>
        <w:t xml:space="preserve"> database</w:t>
      </w:r>
    </w:p>
    <w:p w14:paraId="77FDBF44" w14:textId="77777777" w:rsidR="00DC3EDD" w:rsidRDefault="00DC3EDD" w:rsidP="00DC3EDD"/>
    <w:p w14:paraId="77FDBF45" w14:textId="77777777" w:rsidR="00DC3EDD" w:rsidRDefault="00DC3EDD">
      <w:pPr>
        <w:rPr>
          <w:rFonts w:ascii="Arial" w:hAnsi="Arial" w:cs="Arial"/>
          <w:b/>
          <w:color w:val="006C67" w:themeColor="accent1"/>
          <w:sz w:val="24"/>
        </w:rPr>
      </w:pPr>
      <w:r>
        <w:rPr>
          <w:rFonts w:cs="Arial"/>
        </w:rPr>
        <w:br w:type="page"/>
      </w:r>
    </w:p>
    <w:p w14:paraId="77FDBF46" w14:textId="77777777" w:rsidR="00DC3EDD" w:rsidRDefault="00DC3EDD" w:rsidP="00DC3EDD">
      <w:pPr>
        <w:pStyle w:val="FigureHeading"/>
      </w:pPr>
      <w:bookmarkStart w:id="153" w:name="_Toc428435163"/>
      <w:r w:rsidRPr="007831E9">
        <w:rPr>
          <w:rFonts w:cs="Arial"/>
        </w:rPr>
        <w:t xml:space="preserve">Sectoral </w:t>
      </w:r>
      <w:proofErr w:type="spellStart"/>
      <w:r w:rsidRPr="007831E9">
        <w:rPr>
          <w:rFonts w:cs="Arial"/>
        </w:rPr>
        <w:t>DVA</w:t>
      </w:r>
      <w:proofErr w:type="spellEnd"/>
      <w:r w:rsidRPr="007831E9">
        <w:rPr>
          <w:rFonts w:cs="Arial"/>
        </w:rPr>
        <w:t xml:space="preserve"> as a share of total </w:t>
      </w:r>
      <w:proofErr w:type="spellStart"/>
      <w:r w:rsidRPr="007831E9">
        <w:rPr>
          <w:rFonts w:cs="Arial"/>
        </w:rPr>
        <w:t>DVA</w:t>
      </w:r>
      <w:proofErr w:type="spellEnd"/>
      <w:r w:rsidRPr="007831E9">
        <w:rPr>
          <w:rFonts w:cs="Arial"/>
        </w:rPr>
        <w:t>, 2000 and 2011</w:t>
      </w:r>
      <w:r>
        <w:t>, Tanzania</w:t>
      </w:r>
      <w:bookmarkEnd w:id="153"/>
    </w:p>
    <w:p w14:paraId="77FDBF47" w14:textId="77777777" w:rsidR="00DC3EDD" w:rsidRPr="00DC3EDD" w:rsidRDefault="00DC3EDD" w:rsidP="00DC3EDD">
      <w:pPr>
        <w:pStyle w:val="BodyText"/>
      </w:pPr>
      <w:r>
        <w:rPr>
          <w:noProof/>
          <w:lang w:eastAsia="en-GB"/>
        </w:rPr>
        <w:drawing>
          <wp:inline distT="0" distB="0" distL="0" distR="0" wp14:anchorId="77FDBFA7" wp14:editId="77FDBFA8">
            <wp:extent cx="4680966" cy="2800800"/>
            <wp:effectExtent l="0" t="0" r="571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77FDBF48" w14:textId="77777777" w:rsidR="00DC3EDD" w:rsidRDefault="00DC3EDD" w:rsidP="00DC3EDD">
      <w:r>
        <w:rPr>
          <w:noProof/>
          <w:lang w:eastAsia="en-GB"/>
        </w:rPr>
        <w:drawing>
          <wp:inline distT="0" distB="0" distL="0" distR="0" wp14:anchorId="77FDBFA9" wp14:editId="77FDBFAA">
            <wp:extent cx="4680000" cy="2800800"/>
            <wp:effectExtent l="0" t="0" r="635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77FDBF49" w14:textId="77777777" w:rsidR="00DC3EDD" w:rsidRDefault="00DC3EDD" w:rsidP="00DC3EDD"/>
    <w:p w14:paraId="77FDBF4A" w14:textId="77777777" w:rsidR="00DC3EDD" w:rsidRPr="00B67D98" w:rsidRDefault="00DC3EDD" w:rsidP="00DC3EDD">
      <w:pPr>
        <w:pStyle w:val="Source"/>
      </w:pPr>
      <w:r w:rsidRPr="00B67D98">
        <w:t xml:space="preserve">Source: Own </w:t>
      </w:r>
      <w:r>
        <w:t xml:space="preserve">computations using </w:t>
      </w:r>
      <w:proofErr w:type="spellStart"/>
      <w:r>
        <w:t>Eora26</w:t>
      </w:r>
      <w:proofErr w:type="spellEnd"/>
      <w:r>
        <w:t xml:space="preserve"> database</w:t>
      </w:r>
    </w:p>
    <w:p w14:paraId="77FDBF4B" w14:textId="77777777" w:rsidR="00DC3EDD" w:rsidRDefault="00DC3EDD" w:rsidP="00DC3EDD"/>
    <w:p w14:paraId="77FDBF4C" w14:textId="77777777" w:rsidR="00DC3EDD" w:rsidRDefault="00DC3EDD">
      <w:pPr>
        <w:rPr>
          <w:rFonts w:ascii="Arial" w:hAnsi="Arial" w:cs="Arial"/>
          <w:b/>
          <w:color w:val="006C67" w:themeColor="accent1"/>
          <w:sz w:val="24"/>
        </w:rPr>
      </w:pPr>
      <w:r>
        <w:rPr>
          <w:rFonts w:cs="Arial"/>
        </w:rPr>
        <w:br w:type="page"/>
      </w:r>
    </w:p>
    <w:p w14:paraId="77FDBF4D" w14:textId="77777777" w:rsidR="00DC3EDD" w:rsidRPr="00623027" w:rsidRDefault="00DC3EDD" w:rsidP="00DC3EDD">
      <w:pPr>
        <w:pStyle w:val="FigureHeading"/>
        <w:rPr>
          <w:rFonts w:cs="Arial"/>
        </w:rPr>
      </w:pPr>
      <w:bookmarkStart w:id="154" w:name="_Toc428435164"/>
      <w:r w:rsidRPr="007831E9">
        <w:rPr>
          <w:rFonts w:cs="Arial"/>
        </w:rPr>
        <w:t xml:space="preserve">Compound annual growth rate of </w:t>
      </w:r>
      <w:proofErr w:type="spellStart"/>
      <w:r w:rsidRPr="007831E9">
        <w:rPr>
          <w:rFonts w:cs="Arial"/>
        </w:rPr>
        <w:t>FVA</w:t>
      </w:r>
      <w:proofErr w:type="spellEnd"/>
      <w:r w:rsidRPr="007831E9">
        <w:rPr>
          <w:rFonts w:cs="Arial"/>
        </w:rPr>
        <w:t xml:space="preserve"> embodied in gross exports by sector, 1996-2011 and 2006-2011</w:t>
      </w:r>
      <w:r>
        <w:t>, Tanzania</w:t>
      </w:r>
      <w:bookmarkEnd w:id="154"/>
    </w:p>
    <w:p w14:paraId="77FDBF4E" w14:textId="77777777" w:rsidR="00DC3EDD" w:rsidRDefault="00DC3EDD" w:rsidP="00DC3EDD">
      <w:r>
        <w:rPr>
          <w:noProof/>
          <w:lang w:eastAsia="en-GB"/>
        </w:rPr>
        <w:drawing>
          <wp:inline distT="0" distB="0" distL="0" distR="0" wp14:anchorId="77FDBFAB" wp14:editId="77FDBFAC">
            <wp:extent cx="4572000" cy="2743200"/>
            <wp:effectExtent l="0" t="0" r="0" b="0"/>
            <wp:docPr id="250"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77FDBF4F" w14:textId="77777777" w:rsidR="00DC3EDD" w:rsidRPr="00B67D98" w:rsidRDefault="00DC3EDD" w:rsidP="00DC3EDD">
      <w:pPr>
        <w:pStyle w:val="Source"/>
      </w:pPr>
      <w:r w:rsidRPr="00B67D98">
        <w:t xml:space="preserve">Source: Own </w:t>
      </w:r>
      <w:r>
        <w:t xml:space="preserve">computations using </w:t>
      </w:r>
      <w:proofErr w:type="spellStart"/>
      <w:r>
        <w:t>Eora26</w:t>
      </w:r>
      <w:proofErr w:type="spellEnd"/>
      <w:r>
        <w:t xml:space="preserve"> database</w:t>
      </w:r>
    </w:p>
    <w:p w14:paraId="77FDBF50" w14:textId="77777777" w:rsidR="00DC3EDD" w:rsidRDefault="00DC3EDD" w:rsidP="00DC3EDD"/>
    <w:p w14:paraId="77FDBF51" w14:textId="77777777" w:rsidR="00DC3EDD" w:rsidRDefault="00DC3EDD" w:rsidP="00DC3EDD">
      <w:pPr>
        <w:pStyle w:val="FigureHeading"/>
      </w:pPr>
      <w:bookmarkStart w:id="155" w:name="_Toc428435165"/>
      <w:r w:rsidRPr="007831E9">
        <w:rPr>
          <w:rFonts w:cs="Arial"/>
        </w:rPr>
        <w:t xml:space="preserve">Sectoral </w:t>
      </w:r>
      <w:proofErr w:type="spellStart"/>
      <w:r w:rsidRPr="007831E9">
        <w:rPr>
          <w:rFonts w:cs="Arial"/>
        </w:rPr>
        <w:t>FVA</w:t>
      </w:r>
      <w:proofErr w:type="spellEnd"/>
      <w:r w:rsidRPr="007831E9">
        <w:rPr>
          <w:rFonts w:cs="Arial"/>
        </w:rPr>
        <w:t xml:space="preserve"> embodied in exports as a share of sectoral gross exports, 2000 and 2011</w:t>
      </w:r>
      <w:r>
        <w:t>, Tanzania</w:t>
      </w:r>
      <w:bookmarkEnd w:id="155"/>
    </w:p>
    <w:p w14:paraId="2D5D0C3E" w14:textId="07E9CC23" w:rsidR="00F134AC" w:rsidRPr="00F134AC" w:rsidRDefault="00F134AC" w:rsidP="00F134AC">
      <w:pPr>
        <w:pStyle w:val="BodyText"/>
        <w:spacing w:before="39" w:after="0" w:line="240" w:lineRule="auto"/>
        <w:jc w:val="left"/>
      </w:pPr>
      <w:r>
        <w:rPr>
          <w:noProof/>
          <w:lang w:eastAsia="en-GB"/>
        </w:rPr>
        <w:drawing>
          <wp:inline distT="0" distB="0" distL="0" distR="0" wp14:anchorId="2F48FE4F" wp14:editId="1AF13AD7">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77FDBF53" w14:textId="77777777" w:rsidR="00DC3EDD" w:rsidRPr="00B67D98" w:rsidRDefault="00DC3EDD" w:rsidP="00DC3EDD">
      <w:pPr>
        <w:pStyle w:val="Source"/>
      </w:pPr>
      <w:r w:rsidRPr="00B67D98">
        <w:t xml:space="preserve">Source: Own </w:t>
      </w:r>
      <w:r>
        <w:t xml:space="preserve">computations using </w:t>
      </w:r>
      <w:proofErr w:type="spellStart"/>
      <w:r>
        <w:t>Eora26</w:t>
      </w:r>
      <w:proofErr w:type="spellEnd"/>
      <w:r>
        <w:t xml:space="preserve"> database</w:t>
      </w:r>
    </w:p>
    <w:p w14:paraId="77FDBF54" w14:textId="77777777" w:rsidR="00DC3EDD" w:rsidRDefault="00DC3EDD" w:rsidP="00DC3EDD">
      <w:pPr>
        <w:pStyle w:val="BodyText"/>
      </w:pPr>
    </w:p>
    <w:p w14:paraId="77FDBF55" w14:textId="77777777" w:rsidR="00DC3EDD" w:rsidRDefault="00DC3EDD">
      <w:pPr>
        <w:rPr>
          <w:rFonts w:ascii="Arial" w:hAnsi="Arial" w:cs="Arial"/>
          <w:b/>
          <w:color w:val="006C67" w:themeColor="accent1"/>
          <w:sz w:val="24"/>
        </w:rPr>
      </w:pPr>
      <w:r>
        <w:rPr>
          <w:rFonts w:cs="Arial"/>
        </w:rPr>
        <w:br w:type="page"/>
      </w:r>
    </w:p>
    <w:p w14:paraId="77FDBF56" w14:textId="77777777" w:rsidR="00DC3EDD" w:rsidRDefault="00DC3EDD" w:rsidP="00DC3EDD">
      <w:pPr>
        <w:pStyle w:val="FigureHeading"/>
      </w:pPr>
      <w:bookmarkStart w:id="156" w:name="_Toc428435166"/>
      <w:r w:rsidRPr="007831E9">
        <w:rPr>
          <w:rFonts w:cs="Arial"/>
        </w:rPr>
        <w:t xml:space="preserve">Sectoral </w:t>
      </w:r>
      <w:proofErr w:type="spellStart"/>
      <w:r w:rsidRPr="007831E9">
        <w:rPr>
          <w:rFonts w:cs="Arial"/>
        </w:rPr>
        <w:t>FVA</w:t>
      </w:r>
      <w:proofErr w:type="spellEnd"/>
      <w:r w:rsidRPr="007831E9">
        <w:rPr>
          <w:rFonts w:cs="Arial"/>
        </w:rPr>
        <w:t xml:space="preserve"> as a share of total </w:t>
      </w:r>
      <w:proofErr w:type="spellStart"/>
      <w:r w:rsidRPr="007831E9">
        <w:rPr>
          <w:rFonts w:cs="Arial"/>
        </w:rPr>
        <w:t>FVA</w:t>
      </w:r>
      <w:proofErr w:type="spellEnd"/>
      <w:r w:rsidRPr="007831E9">
        <w:rPr>
          <w:rFonts w:cs="Arial"/>
        </w:rPr>
        <w:t>, 2000 and 2011</w:t>
      </w:r>
      <w:r>
        <w:t>, Tanzania</w:t>
      </w:r>
      <w:bookmarkEnd w:id="156"/>
    </w:p>
    <w:p w14:paraId="77FDBF57" w14:textId="77777777" w:rsidR="00DC3EDD" w:rsidRPr="00DC3EDD" w:rsidRDefault="00DC3EDD" w:rsidP="00DC3EDD">
      <w:pPr>
        <w:pStyle w:val="BodyText"/>
      </w:pPr>
      <w:r>
        <w:rPr>
          <w:noProof/>
          <w:lang w:eastAsia="en-GB"/>
        </w:rPr>
        <w:drawing>
          <wp:inline distT="0" distB="0" distL="0" distR="0" wp14:anchorId="77FDBFAF" wp14:editId="77FDBFB0">
            <wp:extent cx="4680966" cy="2799806"/>
            <wp:effectExtent l="0" t="0" r="5715" b="6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77FDBF58" w14:textId="77777777" w:rsidR="00DC3EDD" w:rsidRDefault="00DC3EDD" w:rsidP="00DC3EDD">
      <w:pPr>
        <w:pStyle w:val="BodyText"/>
      </w:pPr>
      <w:r>
        <w:rPr>
          <w:noProof/>
          <w:lang w:eastAsia="en-GB"/>
        </w:rPr>
        <w:drawing>
          <wp:inline distT="0" distB="0" distL="0" distR="0" wp14:anchorId="77FDBFB1" wp14:editId="77FDBFB2">
            <wp:extent cx="4684014" cy="2799806"/>
            <wp:effectExtent l="0" t="0" r="2540" b="63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77FDBF59" w14:textId="77777777" w:rsidR="00DC3EDD" w:rsidRPr="00B67D98" w:rsidRDefault="00DC3EDD" w:rsidP="00DC3EDD">
      <w:pPr>
        <w:pStyle w:val="Source"/>
      </w:pPr>
      <w:r w:rsidRPr="00B67D98">
        <w:t xml:space="preserve">Source: Own </w:t>
      </w:r>
      <w:r>
        <w:t xml:space="preserve">computations using </w:t>
      </w:r>
      <w:proofErr w:type="spellStart"/>
      <w:r>
        <w:t>Eora26</w:t>
      </w:r>
      <w:proofErr w:type="spellEnd"/>
      <w:r>
        <w:t xml:space="preserve"> database</w:t>
      </w:r>
    </w:p>
    <w:p w14:paraId="77FDBF5A" w14:textId="0B006AC5" w:rsidR="00D83D4C" w:rsidRDefault="00D83D4C">
      <w:r>
        <w:br w:type="page"/>
      </w:r>
    </w:p>
    <w:p w14:paraId="503D0E64" w14:textId="77777777" w:rsidR="00D83D4C" w:rsidRDefault="00D83D4C" w:rsidP="00D83D4C">
      <w:pPr>
        <w:pStyle w:val="Heading2"/>
      </w:pPr>
      <w:bookmarkStart w:id="157" w:name="_Toc428435167"/>
      <w:r>
        <w:t>Trade in services</w:t>
      </w:r>
      <w:bookmarkEnd w:id="157"/>
    </w:p>
    <w:p w14:paraId="2A0CC3CF" w14:textId="6F860FA7" w:rsidR="00DC3EDD" w:rsidRDefault="00D83D4C" w:rsidP="00D83D4C">
      <w:pPr>
        <w:pStyle w:val="FigureHeading"/>
      </w:pPr>
      <w:r>
        <w:t xml:space="preserve"> </w:t>
      </w:r>
      <w:bookmarkStart w:id="158" w:name="_Toc428435168"/>
      <w:r>
        <w:t>Exports of goods and services, Tanzania</w:t>
      </w:r>
      <w:bookmarkEnd w:id="158"/>
    </w:p>
    <w:p w14:paraId="67E5A209" w14:textId="5F258413" w:rsidR="00D83D4C" w:rsidRDefault="00D83D4C" w:rsidP="00D83D4C">
      <w:pPr>
        <w:pStyle w:val="BodyText"/>
        <w:spacing w:before="39" w:after="0" w:line="240" w:lineRule="auto"/>
        <w:jc w:val="left"/>
      </w:pPr>
      <w:r>
        <w:rPr>
          <w:noProof/>
          <w:lang w:eastAsia="en-GB"/>
        </w:rPr>
        <w:drawing>
          <wp:inline distT="0" distB="0" distL="0" distR="0" wp14:anchorId="1EC08384" wp14:editId="5A821187">
            <wp:extent cx="4572000" cy="2743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72428F74" w14:textId="77777777" w:rsidR="00D83D4C" w:rsidRDefault="00D83D4C" w:rsidP="00D83D4C">
      <w:pPr>
        <w:pStyle w:val="Source"/>
      </w:pPr>
      <w:r>
        <w:t>Source: Authors’ calculation using data from the World Bank’s World Development Indicators.</w:t>
      </w:r>
    </w:p>
    <w:p w14:paraId="6A33C550" w14:textId="7C42A6B1" w:rsidR="00D83D4C" w:rsidRDefault="00D83D4C" w:rsidP="00D83D4C">
      <w:pPr>
        <w:pStyle w:val="FigureHeading"/>
      </w:pPr>
      <w:bookmarkStart w:id="159" w:name="_Toc428435169"/>
      <w:r>
        <w:t>Sectoral shares of services exports, Tanzania</w:t>
      </w:r>
      <w:bookmarkEnd w:id="159"/>
    </w:p>
    <w:p w14:paraId="7404EE9B" w14:textId="7DC2E1F3" w:rsidR="00D83D4C" w:rsidRDefault="00D83D4C" w:rsidP="00D83D4C">
      <w:pPr>
        <w:pStyle w:val="BodyText"/>
        <w:spacing w:before="39" w:after="0" w:line="240" w:lineRule="auto"/>
        <w:jc w:val="left"/>
      </w:pPr>
      <w:r>
        <w:rPr>
          <w:noProof/>
          <w:lang w:eastAsia="en-GB"/>
        </w:rPr>
        <w:drawing>
          <wp:inline distT="0" distB="0" distL="0" distR="0" wp14:anchorId="07F3574A" wp14:editId="1D686390">
            <wp:extent cx="45720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58362BAA" w14:textId="77777777" w:rsidR="00D83D4C" w:rsidRDefault="00D83D4C" w:rsidP="00D83D4C">
      <w:pPr>
        <w:pStyle w:val="Source"/>
      </w:pPr>
      <w:r>
        <w:t>Source: Authors’ calculation using data from the World Bank’s World Development Indicators.</w:t>
      </w:r>
    </w:p>
    <w:p w14:paraId="04139189" w14:textId="77777777" w:rsidR="00D83D4C" w:rsidRPr="00D83D4C" w:rsidRDefault="00D83D4C" w:rsidP="00D83D4C">
      <w:pPr>
        <w:pStyle w:val="BodyText"/>
        <w:spacing w:before="39" w:after="0" w:line="240" w:lineRule="auto"/>
        <w:jc w:val="left"/>
      </w:pPr>
    </w:p>
    <w:p w14:paraId="77FDBF5B" w14:textId="77777777" w:rsidR="00DC3EDD" w:rsidRPr="00DC3EDD" w:rsidRDefault="00DC3EDD" w:rsidP="00DC3EDD">
      <w:pPr>
        <w:pStyle w:val="BodyText"/>
      </w:pPr>
    </w:p>
    <w:p w14:paraId="77FDBF5C" w14:textId="77777777" w:rsidR="00104401" w:rsidRDefault="00104401" w:rsidP="00104401">
      <w:r>
        <w:br w:type="page"/>
      </w:r>
    </w:p>
    <w:p w14:paraId="77FDBF5D" w14:textId="77777777" w:rsidR="00104401" w:rsidRDefault="00104401" w:rsidP="008325CB">
      <w:pPr>
        <w:pStyle w:val="Heading1"/>
      </w:pPr>
      <w:bookmarkStart w:id="160" w:name="_Toc408300390"/>
      <w:bookmarkStart w:id="161" w:name="_Toc428435170"/>
      <w:r>
        <w:t xml:space="preserve">Estimates of </w:t>
      </w:r>
      <w:r w:rsidRPr="009E6714">
        <w:t>total factor productivity</w:t>
      </w:r>
      <w:r>
        <w:t xml:space="preserve"> at firm level</w:t>
      </w:r>
      <w:bookmarkEnd w:id="160"/>
      <w:bookmarkEnd w:id="161"/>
    </w:p>
    <w:p w14:paraId="77FDBF5E" w14:textId="77777777" w:rsidR="00104401" w:rsidRDefault="00104401" w:rsidP="00104401">
      <w:pPr>
        <w:pStyle w:val="FigureHeading"/>
      </w:pPr>
      <w:bookmarkStart w:id="162" w:name="_Toc408300245"/>
      <w:bookmarkStart w:id="163" w:name="_Toc408300391"/>
      <w:bookmarkStart w:id="164" w:name="_Toc428435171"/>
      <w:r w:rsidRPr="00087CCE">
        <w:t>Dispersion in productivity across firms by sector</w:t>
      </w:r>
      <w:r>
        <w:t xml:space="preserve"> – </w:t>
      </w:r>
      <w:bookmarkEnd w:id="162"/>
      <w:bookmarkEnd w:id="163"/>
      <w:r>
        <w:t>Tanzania</w:t>
      </w:r>
      <w:bookmarkEnd w:id="164"/>
    </w:p>
    <w:p w14:paraId="77FDBF5F" w14:textId="77777777" w:rsidR="00104401" w:rsidRDefault="00104401" w:rsidP="00104401">
      <w:pPr>
        <w:rPr>
          <w:b/>
        </w:rPr>
      </w:pPr>
      <w:r>
        <w:rPr>
          <w:noProof/>
          <w:lang w:eastAsia="en-GB"/>
        </w:rPr>
        <w:drawing>
          <wp:inline distT="0" distB="0" distL="0" distR="0" wp14:anchorId="77FDBFB3" wp14:editId="77FDBFB4">
            <wp:extent cx="4718304" cy="3456105"/>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718113" cy="3455965"/>
                    </a:xfrm>
                    <a:prstGeom prst="rect">
                      <a:avLst/>
                    </a:prstGeom>
                    <a:noFill/>
                    <a:ln>
                      <a:noFill/>
                    </a:ln>
                  </pic:spPr>
                </pic:pic>
              </a:graphicData>
            </a:graphic>
          </wp:inline>
        </w:drawing>
      </w:r>
    </w:p>
    <w:p w14:paraId="77FDBF60" w14:textId="77777777" w:rsidR="00104401" w:rsidRDefault="00104401" w:rsidP="00104401">
      <w:pPr>
        <w:pStyle w:val="Source"/>
      </w:pPr>
      <w:r>
        <w:t>Source: Authors’ calculations using data from World Bank Enterprise Surveys (</w:t>
      </w:r>
      <w:hyperlink r:id="rId115" w:history="1">
        <w:r>
          <w:rPr>
            <w:rStyle w:val="Hyperlink"/>
          </w:rPr>
          <w:t>http://www.enterprisesurveys.org/</w:t>
        </w:r>
      </w:hyperlink>
      <w:r>
        <w:t>).</w:t>
      </w:r>
    </w:p>
    <w:p w14:paraId="77FDBF61" w14:textId="77777777" w:rsidR="008325CB" w:rsidRDefault="008325CB">
      <w:pPr>
        <w:rPr>
          <w:rFonts w:ascii="Arial" w:hAnsi="Arial"/>
          <w:b/>
          <w:color w:val="006C67" w:themeColor="accent1"/>
          <w:sz w:val="24"/>
        </w:rPr>
      </w:pPr>
      <w:bookmarkStart w:id="165" w:name="_Toc408300246"/>
      <w:bookmarkStart w:id="166" w:name="_Toc408300392"/>
      <w:r>
        <w:br w:type="page"/>
      </w:r>
    </w:p>
    <w:p w14:paraId="77FDBF62" w14:textId="77777777" w:rsidR="00104401" w:rsidRPr="00490E45" w:rsidRDefault="00104401" w:rsidP="00104401">
      <w:pPr>
        <w:pStyle w:val="FigureHeading"/>
      </w:pPr>
      <w:bookmarkStart w:id="167" w:name="_Toc428435172"/>
      <w:r>
        <w:t xml:space="preserve">Distribution </w:t>
      </w:r>
      <w:r w:rsidRPr="00087CCE">
        <w:t xml:space="preserve">in productivity </w:t>
      </w:r>
      <w:r>
        <w:t>in Tanzania – comparing kernel and normal distributions</w:t>
      </w:r>
      <w:bookmarkEnd w:id="165"/>
      <w:bookmarkEnd w:id="166"/>
      <w:bookmarkEnd w:id="167"/>
    </w:p>
    <w:p w14:paraId="77FDBF63" w14:textId="77777777" w:rsidR="00104401" w:rsidRDefault="00104401" w:rsidP="00104401">
      <w:pPr>
        <w:pStyle w:val="BodyText"/>
        <w:spacing w:before="39" w:after="0" w:line="240" w:lineRule="auto"/>
        <w:jc w:val="left"/>
      </w:pPr>
      <w:r>
        <w:rPr>
          <w:noProof/>
          <w:lang w:eastAsia="en-GB"/>
        </w:rPr>
        <w:drawing>
          <wp:inline distT="0" distB="0" distL="0" distR="0" wp14:anchorId="77FDBFB5" wp14:editId="77FDBFB6">
            <wp:extent cx="5113020" cy="37452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77FDBF64" w14:textId="77777777" w:rsidR="00104401" w:rsidRPr="00104401" w:rsidRDefault="00104401" w:rsidP="00146CF4">
      <w:pPr>
        <w:pStyle w:val="Source"/>
      </w:pPr>
      <w:r>
        <w:t>Source: Authors’ calculations using data from World Bank Enterprise Surveys (</w:t>
      </w:r>
      <w:hyperlink r:id="rId117" w:history="1">
        <w:r>
          <w:rPr>
            <w:rStyle w:val="Hyperlink"/>
          </w:rPr>
          <w:t>http://www.enterprisesurveys.org/</w:t>
        </w:r>
      </w:hyperlink>
      <w:r>
        <w:t>).</w:t>
      </w:r>
    </w:p>
    <w:sectPr w:rsidR="00104401" w:rsidRPr="00104401" w:rsidSect="001228CD">
      <w:pgSz w:w="11907" w:h="16839" w:code="9"/>
      <w:pgMar w:top="1469" w:right="2102" w:bottom="1368" w:left="965" w:header="706" w:footer="706"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FDBFBB" w14:textId="77777777" w:rsidR="00996F64" w:rsidRDefault="00996F64" w:rsidP="00664562">
      <w:r>
        <w:separator/>
      </w:r>
    </w:p>
  </w:endnote>
  <w:endnote w:type="continuationSeparator" w:id="0">
    <w:p w14:paraId="77FDBFBC" w14:textId="77777777" w:rsidR="00996F64" w:rsidRDefault="00996F64" w:rsidP="0066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DBFBE" w14:textId="77777777" w:rsidR="00996F64" w:rsidRDefault="00996F64">
    <w:pPr>
      <w:pStyle w:val="Footer"/>
    </w:pPr>
    <w:r>
      <w:fldChar w:fldCharType="begin"/>
    </w:r>
    <w:r>
      <w:instrText xml:space="preserve"> page </w:instrText>
    </w:r>
    <w:r>
      <w:fldChar w:fldCharType="separate"/>
    </w:r>
    <w:r w:rsidR="0046635F">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Blank"/>
      <w:tblpPr w:vertAnchor="page" w:horzAnchor="margin" w:tblpY="15594"/>
      <w:tblOverlap w:val="never"/>
      <w:tblW w:w="10206" w:type="dxa"/>
      <w:tblBorders>
        <w:top w:val="single" w:sz="4" w:space="0" w:color="auto"/>
        <w:bottom w:val="single" w:sz="4" w:space="0" w:color="auto"/>
      </w:tblBorders>
      <w:tblLook w:val="04A0" w:firstRow="1" w:lastRow="0" w:firstColumn="1" w:lastColumn="0" w:noHBand="0" w:noVBand="1"/>
    </w:tblPr>
    <w:tblGrid>
      <w:gridCol w:w="3800"/>
      <w:gridCol w:w="6406"/>
    </w:tblGrid>
    <w:tr w:rsidR="00996F64" w14:paraId="77FDBFD0" w14:textId="77777777" w:rsidTr="00401C72">
      <w:tc>
        <w:tcPr>
          <w:tcW w:w="3800" w:type="dxa"/>
        </w:tcPr>
        <w:p w14:paraId="77FDBFCE" w14:textId="77777777" w:rsidR="00996F64" w:rsidRDefault="00996F64" w:rsidP="00401C72">
          <w:pPr>
            <w:pStyle w:val="Strapline"/>
          </w:pPr>
          <w:r>
            <w:t>Shaping policy for development</w:t>
          </w:r>
        </w:p>
      </w:tc>
      <w:tc>
        <w:tcPr>
          <w:tcW w:w="6406" w:type="dxa"/>
        </w:tcPr>
        <w:p w14:paraId="77FDBFCF" w14:textId="77777777" w:rsidR="00996F64" w:rsidRPr="00346BDD" w:rsidRDefault="00996F64" w:rsidP="00401C72">
          <w:pPr>
            <w:pStyle w:val="Strapline"/>
            <w:jc w:val="right"/>
            <w:rPr>
              <w:b/>
            </w:rPr>
          </w:pPr>
          <w:r w:rsidRPr="00346BDD">
            <w:rPr>
              <w:b/>
            </w:rPr>
            <w:t>odi.org</w:t>
          </w:r>
        </w:p>
      </w:tc>
    </w:tr>
  </w:tbl>
  <w:p w14:paraId="77FDBFD1" w14:textId="77777777" w:rsidR="00996F64" w:rsidRDefault="00996F64">
    <w:pPr>
      <w:pStyle w:val="Footer"/>
    </w:pPr>
  </w:p>
  <w:p w14:paraId="77FDBFD2" w14:textId="77777777" w:rsidR="00996F64" w:rsidRDefault="00996F64">
    <w:pPr>
      <w:pStyle w:val="Footer"/>
    </w:pPr>
  </w:p>
  <w:p w14:paraId="77FDBFD3" w14:textId="77777777" w:rsidR="00996F64" w:rsidRDefault="00996F64">
    <w:pPr>
      <w:pStyle w:val="Footer"/>
    </w:pPr>
  </w:p>
  <w:p w14:paraId="77FDBFD4" w14:textId="77777777" w:rsidR="00996F64" w:rsidRDefault="00996F64">
    <w:pPr>
      <w:pStyle w:val="Footer"/>
    </w:pPr>
  </w:p>
  <w:p w14:paraId="77FDBFD5" w14:textId="77777777" w:rsidR="00996F64" w:rsidRDefault="00996F6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EastAsia" w:hAnsiTheme="minorHAnsi" w:cstheme="minorBidi"/>
        <w:sz w:val="22"/>
      </w:rPr>
      <w:id w:val="-75137070"/>
      <w:docPartObj>
        <w:docPartGallery w:val="Page Numbers (Bottom of Page)"/>
        <w:docPartUnique/>
      </w:docPartObj>
    </w:sdtPr>
    <w:sdtEndPr>
      <w:rPr>
        <w:rFonts w:asciiTheme="majorHAnsi" w:eastAsiaTheme="majorEastAsia" w:hAnsiTheme="majorHAnsi" w:cstheme="majorHAnsi"/>
        <w:noProof/>
        <w:sz w:val="18"/>
        <w:szCs w:val="18"/>
      </w:rPr>
    </w:sdtEndPr>
    <w:sdtContent>
      <w:p w14:paraId="77FDBFD7" w14:textId="77777777" w:rsidR="00996F64" w:rsidRPr="001228CD" w:rsidRDefault="00996F64" w:rsidP="001228CD">
        <w:pPr>
          <w:pStyle w:val="Footer"/>
          <w:ind w:right="0"/>
          <w:jc w:val="center"/>
          <w:rPr>
            <w:rFonts w:asciiTheme="majorHAnsi" w:eastAsiaTheme="majorEastAsia" w:hAnsiTheme="majorHAnsi" w:cstheme="majorHAnsi"/>
            <w:sz w:val="18"/>
            <w:szCs w:val="18"/>
          </w:rPr>
        </w:pPr>
        <w:r w:rsidRPr="001228CD">
          <w:rPr>
            <w:rFonts w:asciiTheme="majorHAnsi" w:eastAsiaTheme="minorEastAsia" w:hAnsiTheme="majorHAnsi" w:cstheme="majorHAnsi"/>
            <w:sz w:val="18"/>
            <w:szCs w:val="18"/>
          </w:rPr>
          <w:fldChar w:fldCharType="begin"/>
        </w:r>
        <w:r w:rsidRPr="001228CD">
          <w:rPr>
            <w:rFonts w:asciiTheme="majorHAnsi" w:hAnsiTheme="majorHAnsi" w:cstheme="majorHAnsi"/>
            <w:sz w:val="18"/>
            <w:szCs w:val="18"/>
          </w:rPr>
          <w:instrText xml:space="preserve"> PAGE   \* MERGEFORMAT </w:instrText>
        </w:r>
        <w:r w:rsidRPr="001228CD">
          <w:rPr>
            <w:rFonts w:asciiTheme="majorHAnsi" w:eastAsiaTheme="minorEastAsia" w:hAnsiTheme="majorHAnsi" w:cstheme="majorHAnsi"/>
            <w:sz w:val="18"/>
            <w:szCs w:val="18"/>
          </w:rPr>
          <w:fldChar w:fldCharType="separate"/>
        </w:r>
        <w:r w:rsidR="0046635F" w:rsidRPr="0046635F">
          <w:rPr>
            <w:rFonts w:asciiTheme="majorHAnsi" w:eastAsiaTheme="majorEastAsia" w:hAnsiTheme="majorHAnsi" w:cstheme="majorHAnsi"/>
            <w:noProof/>
            <w:sz w:val="18"/>
            <w:szCs w:val="18"/>
          </w:rPr>
          <w:t>4</w:t>
        </w:r>
        <w:r w:rsidRPr="001228CD">
          <w:rPr>
            <w:rFonts w:asciiTheme="majorHAnsi" w:eastAsiaTheme="majorEastAsia" w:hAnsiTheme="majorHAnsi" w:cstheme="majorHAnsi"/>
            <w:noProof/>
            <w:sz w:val="18"/>
            <w:szCs w:val="18"/>
          </w:rPr>
          <w:fldChar w:fldCharType="end"/>
        </w:r>
      </w:p>
    </w:sdtContent>
  </w:sdt>
  <w:p w14:paraId="77FDBFD8" w14:textId="77777777" w:rsidR="00996F64" w:rsidRDefault="00996F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tbl>
      <w:tblPr>
        <w:tblStyle w:val="Blank"/>
        <w:tblW w:w="10773" w:type="dxa"/>
        <w:tblBorders>
          <w:top w:val="single" w:sz="4" w:space="0" w:color="auto"/>
        </w:tblBorders>
        <w:tblLook w:val="04A0" w:firstRow="1" w:lastRow="0" w:firstColumn="1" w:lastColumn="0" w:noHBand="0" w:noVBand="1"/>
      </w:tblPr>
      <w:tblGrid>
        <w:gridCol w:w="10773"/>
      </w:tblGrid>
      <w:tr w:rsidR="00996F64" w14:paraId="77FDBFB8" w14:textId="77777777" w:rsidTr="00F676A1">
        <w:trPr>
          <w:trHeight w:hRule="exact" w:val="227"/>
        </w:trPr>
        <w:tc>
          <w:tcPr>
            <w:tcW w:w="9855" w:type="dxa"/>
          </w:tcPr>
          <w:p w14:paraId="77FDBFB7" w14:textId="77777777" w:rsidR="00996F64" w:rsidRDefault="00996F64" w:rsidP="0073462B">
            <w:pPr>
              <w:pStyle w:val="Footer"/>
            </w:pPr>
          </w:p>
        </w:tc>
      </w:tr>
    </w:tbl>
    <w:p w14:paraId="77FDBFB9" w14:textId="77777777" w:rsidR="00996F64" w:rsidRPr="0073462B" w:rsidRDefault="00996F64" w:rsidP="0073462B">
      <w:pPr>
        <w:pStyle w:val="Footer"/>
        <w:rPr>
          <w:sz w:val="2"/>
          <w:szCs w:val="2"/>
        </w:rPr>
      </w:pPr>
    </w:p>
  </w:footnote>
  <w:footnote w:type="continuationSeparator" w:id="0">
    <w:p w14:paraId="77FDBFBA" w14:textId="77777777" w:rsidR="00996F64" w:rsidRDefault="00996F64" w:rsidP="006645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DBFBD" w14:textId="77777777" w:rsidR="00996F64" w:rsidRDefault="00996F64">
    <w:pPr>
      <w:pStyle w:val="Header"/>
    </w:pPr>
    <w:r>
      <w:rPr>
        <w:noProof/>
        <w:lang w:eastAsia="en-GB"/>
      </w:rPr>
      <mc:AlternateContent>
        <mc:Choice Requires="wps">
          <w:drawing>
            <wp:anchor distT="0" distB="0" distL="114300" distR="114300" simplePos="0" relativeHeight="251659264" behindDoc="1" locked="0" layoutInCell="1" allowOverlap="1" wp14:anchorId="77FDBFD9" wp14:editId="77FDBFDA">
              <wp:simplePos x="0" y="0"/>
              <wp:positionH relativeFrom="margin">
                <wp:align>left</wp:align>
              </wp:positionH>
              <wp:positionV relativeFrom="page">
                <wp:posOffset>612140</wp:posOffset>
              </wp:positionV>
              <wp:extent cx="6407785" cy="0"/>
              <wp:effectExtent l="9525" t="12065" r="12065" b="6985"/>
              <wp:wrapNone/>
              <wp:docPr id="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0;margin-top:48.2pt;width:504.55pt;height:0;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ow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2O8KMB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85E64" w14:textId="40A004C6" w:rsidR="00996F64" w:rsidRDefault="00996F64" w:rsidP="00D83D4C">
    <w:pPr>
      <w:pStyle w:val="Header"/>
      <w:tabs>
        <w:tab w:val="clear" w:pos="4680"/>
        <w:tab w:val="right" w:pos="8820"/>
        <w:tab w:val="left" w:pos="9540"/>
      </w:tabs>
      <w:jc w:val="left"/>
    </w:pPr>
    <w:r>
      <w:rPr>
        <w:sz w:val="20"/>
        <w:szCs w:val="20"/>
      </w:rPr>
      <w:tab/>
      <w:t xml:space="preserve">Last updated: </w:t>
    </w:r>
    <w:r w:rsidR="00232104">
      <w:rPr>
        <w:sz w:val="20"/>
        <w:szCs w:val="20"/>
      </w:rPr>
      <w:t>27 August 2015</w:t>
    </w:r>
  </w:p>
  <w:p w14:paraId="77FDBFBF" w14:textId="270AD8F2" w:rsidR="00996F64" w:rsidRPr="00CA1C90" w:rsidRDefault="00996F64" w:rsidP="00401C72">
    <w:pPr>
      <w:pStyle w:val="Header"/>
      <w:rPr>
        <w:sz w:val="20"/>
        <w:szCs w:val="20"/>
      </w:rPr>
    </w:pPr>
  </w:p>
  <w:p w14:paraId="77FDBFC0" w14:textId="77777777" w:rsidR="00996F64" w:rsidRDefault="00996F64" w:rsidP="00401C72">
    <w:pPr>
      <w:pStyle w:val="Header"/>
    </w:pPr>
  </w:p>
  <w:p w14:paraId="77FDBFC1" w14:textId="77777777" w:rsidR="00996F64" w:rsidRDefault="00996F64" w:rsidP="00401C72">
    <w:pPr>
      <w:pStyle w:val="Header"/>
    </w:pPr>
  </w:p>
  <w:p w14:paraId="77FDBFC2" w14:textId="77777777" w:rsidR="00996F64" w:rsidRDefault="00996F64" w:rsidP="00401C72">
    <w:pPr>
      <w:pStyle w:val="Header"/>
    </w:pPr>
  </w:p>
  <w:p w14:paraId="77FDBFC3" w14:textId="77777777" w:rsidR="00996F64" w:rsidRDefault="00996F64" w:rsidP="00401C72">
    <w:pPr>
      <w:pStyle w:val="Header"/>
    </w:pPr>
  </w:p>
  <w:p w14:paraId="77FDBFC4" w14:textId="77777777" w:rsidR="00996F64" w:rsidRDefault="00996F64" w:rsidP="00401C72">
    <w:pPr>
      <w:pStyle w:val="Header"/>
    </w:pPr>
  </w:p>
  <w:p w14:paraId="77FDBFC5" w14:textId="77777777" w:rsidR="00996F64" w:rsidRDefault="00996F64" w:rsidP="00401C72">
    <w:pPr>
      <w:pStyle w:val="Header"/>
    </w:pPr>
  </w:p>
  <w:p w14:paraId="77FDBFC6" w14:textId="77777777" w:rsidR="00996F64" w:rsidRDefault="00996F64" w:rsidP="00401C72">
    <w:pPr>
      <w:pStyle w:val="Header"/>
    </w:pPr>
  </w:p>
  <w:p w14:paraId="77FDBFC7" w14:textId="77777777" w:rsidR="00996F64" w:rsidRDefault="00996F64" w:rsidP="00401C72">
    <w:pPr>
      <w:pStyle w:val="Header"/>
    </w:pPr>
  </w:p>
  <w:p w14:paraId="77FDBFC8" w14:textId="77777777" w:rsidR="00996F64" w:rsidRDefault="00996F64" w:rsidP="00401C72">
    <w:pPr>
      <w:pStyle w:val="Header"/>
    </w:pPr>
  </w:p>
  <w:p w14:paraId="77FDBFC9" w14:textId="77777777" w:rsidR="00996F64" w:rsidRDefault="00996F64" w:rsidP="00401C72">
    <w:pPr>
      <w:pStyle w:val="Header"/>
    </w:pPr>
  </w:p>
  <w:p w14:paraId="77FDBFCA" w14:textId="77777777" w:rsidR="00996F64" w:rsidRDefault="00996F64" w:rsidP="00401C72">
    <w:pPr>
      <w:pStyle w:val="Header"/>
    </w:pPr>
  </w:p>
  <w:p w14:paraId="77FDBFCB" w14:textId="77777777" w:rsidR="00996F64" w:rsidRDefault="00996F64" w:rsidP="00401C72">
    <w:pPr>
      <w:pStyle w:val="Header"/>
    </w:pPr>
  </w:p>
  <w:p w14:paraId="77FDBFCC" w14:textId="77777777" w:rsidR="00996F64" w:rsidRDefault="00996F64" w:rsidP="00401C72">
    <w:pPr>
      <w:pStyle w:val="Header"/>
    </w:pPr>
  </w:p>
  <w:p w14:paraId="77FDBFCD" w14:textId="77777777" w:rsidR="00996F64" w:rsidRDefault="00996F64" w:rsidP="00401C72">
    <w:pPr>
      <w:pStyle w:val="Header"/>
    </w:pPr>
    <w:r>
      <w:rPr>
        <w:noProof/>
        <w:lang w:eastAsia="en-GB"/>
      </w:rPr>
      <w:drawing>
        <wp:anchor distT="0" distB="0" distL="114300" distR="114300" simplePos="0" relativeHeight="251664384" behindDoc="1" locked="0" layoutInCell="1" allowOverlap="1" wp14:anchorId="77FDBFDB" wp14:editId="77FDBFDC">
          <wp:simplePos x="0" y="0"/>
          <wp:positionH relativeFrom="margin">
            <wp:align>left</wp:align>
          </wp:positionH>
          <wp:positionV relativeFrom="page">
            <wp:posOffset>935990</wp:posOffset>
          </wp:positionV>
          <wp:extent cx="1437480" cy="6116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rontpage.jpg"/>
                  <pic:cNvPicPr/>
                </pic:nvPicPr>
                <pic:blipFill>
                  <a:blip r:embed="rId1">
                    <a:extLst>
                      <a:ext uri="{28A0092B-C50C-407E-A947-70E740481C1C}">
                        <a14:useLocalDpi xmlns:a14="http://schemas.microsoft.com/office/drawing/2010/main" val="0"/>
                      </a:ext>
                    </a:extLst>
                  </a:blip>
                  <a:stretch>
                    <a:fillRect/>
                  </a:stretch>
                </pic:blipFill>
                <pic:spPr>
                  <a:xfrm>
                    <a:off x="0" y="0"/>
                    <a:ext cx="1437480" cy="611640"/>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1" locked="0" layoutInCell="1" allowOverlap="1" wp14:anchorId="77FDBFDD" wp14:editId="77FDBFDE">
              <wp:simplePos x="0" y="0"/>
              <wp:positionH relativeFrom="margin">
                <wp:align>left</wp:align>
              </wp:positionH>
              <wp:positionV relativeFrom="page">
                <wp:posOffset>612140</wp:posOffset>
              </wp:positionV>
              <wp:extent cx="6407785" cy="0"/>
              <wp:effectExtent l="9525" t="12065" r="12065" b="6985"/>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48.2pt;width:504.55pt;height:0;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RZqwCx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DBFD6" w14:textId="77777777" w:rsidR="00996F64" w:rsidRDefault="00996F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CF293F0"/>
    <w:lvl w:ilvl="0">
      <w:start w:val="1"/>
      <w:numFmt w:val="decimal"/>
      <w:lvlText w:val="%1."/>
      <w:lvlJc w:val="left"/>
      <w:pPr>
        <w:tabs>
          <w:tab w:val="num" w:pos="1492"/>
        </w:tabs>
        <w:ind w:left="1492" w:hanging="360"/>
      </w:pPr>
    </w:lvl>
  </w:abstractNum>
  <w:abstractNum w:abstractNumId="1">
    <w:nsid w:val="FFFFFF7D"/>
    <w:multiLevelType w:val="singleLevel"/>
    <w:tmpl w:val="909C308E"/>
    <w:lvl w:ilvl="0">
      <w:start w:val="1"/>
      <w:numFmt w:val="decimal"/>
      <w:lvlText w:val="%1."/>
      <w:lvlJc w:val="left"/>
      <w:pPr>
        <w:tabs>
          <w:tab w:val="num" w:pos="1209"/>
        </w:tabs>
        <w:ind w:left="1209" w:hanging="360"/>
      </w:pPr>
    </w:lvl>
  </w:abstractNum>
  <w:abstractNum w:abstractNumId="2">
    <w:nsid w:val="FFFFFF7E"/>
    <w:multiLevelType w:val="singleLevel"/>
    <w:tmpl w:val="40E0284E"/>
    <w:lvl w:ilvl="0">
      <w:start w:val="1"/>
      <w:numFmt w:val="decimal"/>
      <w:lvlText w:val="%1."/>
      <w:lvlJc w:val="left"/>
      <w:pPr>
        <w:tabs>
          <w:tab w:val="num" w:pos="926"/>
        </w:tabs>
        <w:ind w:left="926" w:hanging="360"/>
      </w:pPr>
    </w:lvl>
  </w:abstractNum>
  <w:abstractNum w:abstractNumId="3">
    <w:nsid w:val="FFFFFF7F"/>
    <w:multiLevelType w:val="singleLevel"/>
    <w:tmpl w:val="5D68DA2A"/>
    <w:lvl w:ilvl="0">
      <w:start w:val="1"/>
      <w:numFmt w:val="decimal"/>
      <w:lvlText w:val="%1."/>
      <w:lvlJc w:val="left"/>
      <w:pPr>
        <w:tabs>
          <w:tab w:val="num" w:pos="643"/>
        </w:tabs>
        <w:ind w:left="643" w:hanging="360"/>
      </w:pPr>
    </w:lvl>
  </w:abstractNum>
  <w:abstractNum w:abstractNumId="4">
    <w:nsid w:val="FFFFFF80"/>
    <w:multiLevelType w:val="singleLevel"/>
    <w:tmpl w:val="5156B00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06AD1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F4C1F8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060C5D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4522AC6"/>
    <w:lvl w:ilvl="0">
      <w:start w:val="1"/>
      <w:numFmt w:val="decimal"/>
      <w:lvlText w:val="%1."/>
      <w:lvlJc w:val="left"/>
      <w:pPr>
        <w:tabs>
          <w:tab w:val="num" w:pos="360"/>
        </w:tabs>
        <w:ind w:left="360" w:hanging="360"/>
      </w:pPr>
    </w:lvl>
  </w:abstractNum>
  <w:abstractNum w:abstractNumId="9">
    <w:nsid w:val="FFFFFF89"/>
    <w:multiLevelType w:val="singleLevel"/>
    <w:tmpl w:val="77D81A04"/>
    <w:lvl w:ilvl="0">
      <w:start w:val="1"/>
      <w:numFmt w:val="bullet"/>
      <w:lvlText w:val=""/>
      <w:lvlJc w:val="left"/>
      <w:pPr>
        <w:tabs>
          <w:tab w:val="num" w:pos="284"/>
        </w:tabs>
        <w:ind w:left="284" w:hanging="284"/>
      </w:pPr>
      <w:rPr>
        <w:rFonts w:ascii="Symbol" w:hAnsi="Symbol" w:hint="default"/>
      </w:rPr>
    </w:lvl>
  </w:abstractNum>
  <w:abstractNum w:abstractNumId="10">
    <w:nsid w:val="0CE55274"/>
    <w:multiLevelType w:val="multilevel"/>
    <w:tmpl w:val="1472CC76"/>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8" w:hanging="284"/>
      </w:pPr>
      <w:rPr>
        <w:rFonts w:ascii="Symbol" w:hAnsi="Symbol" w:hint="default"/>
        <w:color w:val="auto"/>
      </w:rPr>
    </w:lvl>
    <w:lvl w:ilvl="2">
      <w:start w:val="1"/>
      <w:numFmt w:val="bullet"/>
      <w:lvlText w:val=""/>
      <w:lvlJc w:val="left"/>
      <w:pPr>
        <w:tabs>
          <w:tab w:val="num" w:pos="851"/>
        </w:tabs>
        <w:ind w:left="852" w:hanging="284"/>
      </w:pPr>
      <w:rPr>
        <w:rFonts w:ascii="Symbol" w:hAnsi="Symbol"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bullet"/>
      <w:lvlText w:val=""/>
      <w:lvlJc w:val="left"/>
      <w:pPr>
        <w:tabs>
          <w:tab w:val="num" w:pos="1418"/>
        </w:tabs>
        <w:ind w:left="1420" w:hanging="284"/>
      </w:pPr>
      <w:rPr>
        <w:rFonts w:ascii="Symbol" w:hAnsi="Symbol"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nsid w:val="1173195F"/>
    <w:multiLevelType w:val="multilevel"/>
    <w:tmpl w:val="D63071A6"/>
    <w:styleLink w:val="ODINumberedList"/>
    <w:lvl w:ilvl="0">
      <w:start w:val="1"/>
      <w:numFmt w:val="decimal"/>
      <w:pStyle w:val="ListNumber"/>
      <w:lvlText w:val="%1."/>
      <w:lvlJc w:val="left"/>
      <w:pPr>
        <w:tabs>
          <w:tab w:val="num" w:pos="567"/>
        </w:tabs>
        <w:ind w:left="567" w:hanging="283"/>
      </w:pPr>
      <w:rPr>
        <w:rFonts w:ascii="Times New Roman" w:hAnsi="Times New Roman" w:hint="default"/>
        <w:b w:val="0"/>
        <w:i w:val="0"/>
        <w:color w:val="006C67" w:themeColor="accent1"/>
        <w:sz w:val="19"/>
      </w:rPr>
    </w:lvl>
    <w:lvl w:ilvl="1">
      <w:start w:val="1"/>
      <w:numFmt w:val="lowerLetter"/>
      <w:pStyle w:val="ListNumber2"/>
      <w:lvlText w:val="%2"/>
      <w:lvlJc w:val="left"/>
      <w:pPr>
        <w:tabs>
          <w:tab w:val="num" w:pos="851"/>
        </w:tabs>
        <w:ind w:left="851" w:hanging="284"/>
      </w:pPr>
      <w:rPr>
        <w:rFonts w:ascii="Times New Roman" w:hAnsi="Times New Roman" w:hint="default"/>
        <w:b w:val="0"/>
        <w:i w:val="0"/>
        <w:color w:val="006C67" w:themeColor="accent1"/>
        <w:sz w:val="19"/>
      </w:rPr>
    </w:lvl>
    <w:lvl w:ilvl="2">
      <w:start w:val="1"/>
      <w:numFmt w:val="lowerRoman"/>
      <w:pStyle w:val="ListNumber3"/>
      <w:lvlText w:val="%3"/>
      <w:lvlJc w:val="left"/>
      <w:pPr>
        <w:tabs>
          <w:tab w:val="num" w:pos="1134"/>
        </w:tabs>
        <w:ind w:left="1134" w:hanging="283"/>
      </w:pPr>
      <w:rPr>
        <w:rFonts w:ascii="Times New Roman" w:hAnsi="Times New Roman" w:hint="default"/>
        <w:b w:val="0"/>
        <w:i w:val="0"/>
        <w:color w:val="006C67" w:themeColor="accent1"/>
        <w:sz w:val="19"/>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969"/>
        </w:tabs>
        <w:ind w:left="3969"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3FF42B6"/>
    <w:multiLevelType w:val="multilevel"/>
    <w:tmpl w:val="E24659FC"/>
    <w:styleLink w:val="ODITableHeadings"/>
    <w:lvl w:ilvl="0">
      <w:start w:val="1"/>
      <w:numFmt w:val="decimal"/>
      <w:suff w:val="space"/>
      <w:lvlText w:val="Table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6D172D7"/>
    <w:multiLevelType w:val="multilevel"/>
    <w:tmpl w:val="8B162D7A"/>
    <w:numStyleLink w:val="ODIHeadings"/>
  </w:abstractNum>
  <w:abstractNum w:abstractNumId="14">
    <w:nsid w:val="23650996"/>
    <w:multiLevelType w:val="multilevel"/>
    <w:tmpl w:val="265C03F6"/>
    <w:styleLink w:val="ODICoverBullets"/>
    <w:lvl w:ilvl="0">
      <w:start w:val="1"/>
      <w:numFmt w:val="bullet"/>
      <w:lvlText w:val=""/>
      <w:lvlJc w:val="left"/>
      <w:pPr>
        <w:tabs>
          <w:tab w:val="num" w:pos="312"/>
        </w:tabs>
        <w:ind w:left="312" w:hanging="312"/>
      </w:pPr>
      <w:rPr>
        <w:rFonts w:ascii="Symbol" w:hAnsi="Symbol" w:hint="default"/>
        <w:color w:val="006C67"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92644C7"/>
    <w:multiLevelType w:val="multilevel"/>
    <w:tmpl w:val="D108DE00"/>
    <w:lvl w:ilvl="0">
      <w:start w:val="1"/>
      <w:numFmt w:val="decimal"/>
      <w:pStyle w:val="FigureHeading"/>
      <w:suff w:val="space"/>
      <w:lvlText w:val="Figure %1."/>
      <w:lvlJc w:val="left"/>
      <w:pPr>
        <w:ind w:left="0" w:firstLine="0"/>
      </w:pPr>
      <w:rPr>
        <w:rFonts w:ascii="Arial" w:hAnsi="Arial"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abstractNum w:abstractNumId="16">
    <w:nsid w:val="354B31C1"/>
    <w:multiLevelType w:val="multilevel"/>
    <w:tmpl w:val="F992D968"/>
    <w:styleLink w:val="ODIBullets"/>
    <w:lvl w:ilvl="0">
      <w:start w:val="1"/>
      <w:numFmt w:val="bullet"/>
      <w:pStyle w:val="ListBullet"/>
      <w:lvlText w:val=""/>
      <w:lvlJc w:val="left"/>
      <w:pPr>
        <w:tabs>
          <w:tab w:val="num" w:pos="567"/>
        </w:tabs>
        <w:ind w:left="567" w:hanging="283"/>
      </w:pPr>
      <w:rPr>
        <w:rFonts w:ascii="Symbol" w:hAnsi="Symbol" w:hint="default"/>
        <w:b w:val="0"/>
        <w:i w:val="0"/>
        <w:color w:val="006C67" w:themeColor="accent1"/>
        <w:sz w:val="24"/>
      </w:rPr>
    </w:lvl>
    <w:lvl w:ilvl="1">
      <w:start w:val="1"/>
      <w:numFmt w:val="bullet"/>
      <w:pStyle w:val="ListBullet2"/>
      <w:lvlText w:val=""/>
      <w:lvlJc w:val="left"/>
      <w:pPr>
        <w:tabs>
          <w:tab w:val="num" w:pos="851"/>
        </w:tabs>
        <w:ind w:left="851" w:hanging="284"/>
      </w:pPr>
      <w:rPr>
        <w:rFonts w:ascii="Symbol" w:hAnsi="Symbol" w:hint="default"/>
        <w:color w:val="006C67" w:themeColor="accent1"/>
        <w:sz w:val="24"/>
      </w:rPr>
    </w:lvl>
    <w:lvl w:ilvl="2">
      <w:start w:val="1"/>
      <w:numFmt w:val="bullet"/>
      <w:lvlText w:val=""/>
      <w:lvlJc w:val="left"/>
      <w:pPr>
        <w:tabs>
          <w:tab w:val="num" w:pos="851"/>
        </w:tabs>
        <w:ind w:left="852" w:hanging="284"/>
      </w:pPr>
      <w:rPr>
        <w:rFonts w:ascii="Symbol" w:hAnsi="Symbol"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bullet"/>
      <w:lvlText w:val=""/>
      <w:lvlJc w:val="left"/>
      <w:pPr>
        <w:tabs>
          <w:tab w:val="num" w:pos="1418"/>
        </w:tabs>
        <w:ind w:left="1420" w:hanging="284"/>
      </w:pPr>
      <w:rPr>
        <w:rFonts w:ascii="Symbol" w:hAnsi="Symbol"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nsid w:val="38BE0C20"/>
    <w:multiLevelType w:val="multilevel"/>
    <w:tmpl w:val="D63071A6"/>
    <w:numStyleLink w:val="ODINumberedList"/>
  </w:abstractNum>
  <w:abstractNum w:abstractNumId="18">
    <w:nsid w:val="476E099C"/>
    <w:multiLevelType w:val="multilevel"/>
    <w:tmpl w:val="ED1016CC"/>
    <w:styleLink w:val="ODIBoxBullet"/>
    <w:lvl w:ilvl="0">
      <w:start w:val="1"/>
      <w:numFmt w:val="bullet"/>
      <w:pStyle w:val="BoxBullet"/>
      <w:lvlText w:val=""/>
      <w:lvlJc w:val="left"/>
      <w:pPr>
        <w:tabs>
          <w:tab w:val="num" w:pos="567"/>
        </w:tabs>
        <w:ind w:left="567" w:hanging="283"/>
      </w:pPr>
      <w:rPr>
        <w:rFonts w:ascii="Symbol" w:hAnsi="Symbol" w:hint="default"/>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5D87577E"/>
    <w:multiLevelType w:val="multilevel"/>
    <w:tmpl w:val="B5307F9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47"/>
        </w:tabs>
        <w:ind w:left="1247" w:hanging="680"/>
      </w:pPr>
      <w:rPr>
        <w:rFonts w:hint="default"/>
      </w:rPr>
    </w:lvl>
    <w:lvl w:ilvl="2">
      <w:start w:val="1"/>
      <w:numFmt w:val="decimal"/>
      <w:lvlText w:val="%1.%2.%3"/>
      <w:lvlJc w:val="left"/>
      <w:pPr>
        <w:tabs>
          <w:tab w:val="num" w:pos="1985"/>
        </w:tabs>
        <w:ind w:left="1985" w:hanging="738"/>
      </w:pPr>
      <w:rPr>
        <w:rFonts w:hint="default"/>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969"/>
        </w:tabs>
        <w:ind w:left="3969"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669A6FAC"/>
    <w:multiLevelType w:val="multilevel"/>
    <w:tmpl w:val="0B225678"/>
    <w:lvl w:ilvl="0">
      <w:start w:val="1"/>
      <w:numFmt w:val="decimal"/>
      <w:pStyle w:val="TableHeading"/>
      <w:suff w:val="space"/>
      <w:lvlText w:val="Table %1."/>
      <w:lvlJc w:val="left"/>
      <w:pPr>
        <w:ind w:left="360" w:hanging="360"/>
      </w:pPr>
      <w:rPr>
        <w:rFonts w:ascii="Arial" w:hAnsi="Arial"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687F2D57"/>
    <w:multiLevelType w:val="multilevel"/>
    <w:tmpl w:val="D44C0DD8"/>
    <w:styleLink w:val="ODILastBullet"/>
    <w:lvl w:ilvl="0">
      <w:start w:val="1"/>
      <w:numFmt w:val="bullet"/>
      <w:pStyle w:val="LastBullet"/>
      <w:lvlText w:val=""/>
      <w:lvlJc w:val="left"/>
      <w:pPr>
        <w:tabs>
          <w:tab w:val="num" w:pos="567"/>
        </w:tabs>
        <w:ind w:left="567" w:hanging="283"/>
      </w:pPr>
      <w:rPr>
        <w:rFonts w:ascii="Symbol" w:hAnsi="Symbol" w:hint="default"/>
        <w:b w:val="0"/>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69FF1948"/>
    <w:multiLevelType w:val="multilevel"/>
    <w:tmpl w:val="CB3C53AE"/>
    <w:styleLink w:val="ODITableBullet"/>
    <w:lvl w:ilvl="0">
      <w:start w:val="1"/>
      <w:numFmt w:val="bullet"/>
      <w:pStyle w:val="TableBullet"/>
      <w:lvlText w:val=""/>
      <w:lvlJc w:val="left"/>
      <w:pPr>
        <w:tabs>
          <w:tab w:val="num" w:pos="284"/>
        </w:tabs>
        <w:ind w:left="284" w:hanging="284"/>
      </w:pPr>
      <w:rPr>
        <w:rFonts w:ascii="Symbol" w:hAnsi="Symbol" w:hint="default"/>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733F0260"/>
    <w:multiLevelType w:val="multilevel"/>
    <w:tmpl w:val="8B162D7A"/>
    <w:styleLink w:val="ODIHeadings"/>
    <w:lvl w:ilvl="0">
      <w:start w:val="1"/>
      <w:numFmt w:val="decimal"/>
      <w:suff w:val="space"/>
      <w:lvlText w:val="%1"/>
      <w:lvlJc w:val="left"/>
      <w:pPr>
        <w:ind w:left="0" w:firstLine="0"/>
      </w:pPr>
      <w:rPr>
        <w:rFonts w:asciiTheme="majorHAnsi" w:hAnsiTheme="majorHAnsi" w:hint="default"/>
        <w:b/>
        <w:i w:val="0"/>
        <w:color w:val="006C67" w:themeColor="accent1"/>
        <w:position w:val="0"/>
        <w:sz w:val="60"/>
      </w:rPr>
    </w:lvl>
    <w:lvl w:ilvl="1">
      <w:start w:val="1"/>
      <w:numFmt w:val="decimal"/>
      <w:suff w:val="space"/>
      <w:lvlText w:val="%1.%2"/>
      <w:lvlJc w:val="left"/>
      <w:pPr>
        <w:ind w:left="0" w:firstLine="0"/>
      </w:pPr>
      <w:rPr>
        <w:rFonts w:asciiTheme="majorHAnsi" w:hAnsiTheme="majorHAnsi" w:hint="default"/>
        <w:b/>
        <w:i w:val="0"/>
        <w:color w:val="006C67" w:themeColor="accent1"/>
        <w:sz w:val="24"/>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776247FF"/>
    <w:multiLevelType w:val="multilevel"/>
    <w:tmpl w:val="D24C66CE"/>
    <w:styleLink w:val="ODIBoxHeadings"/>
    <w:lvl w:ilvl="0">
      <w:start w:val="1"/>
      <w:numFmt w:val="decimal"/>
      <w:suff w:val="space"/>
      <w:lvlText w:val="Box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79C37570"/>
    <w:multiLevelType w:val="multilevel"/>
    <w:tmpl w:val="8B162D7A"/>
    <w:numStyleLink w:val="ODIHeadings"/>
  </w:abstractNum>
  <w:abstractNum w:abstractNumId="26">
    <w:nsid w:val="7A887715"/>
    <w:multiLevelType w:val="multilevel"/>
    <w:tmpl w:val="FF32A6EE"/>
    <w:styleLink w:val="ODIFigureHeadings"/>
    <w:lvl w:ilvl="0">
      <w:start w:val="1"/>
      <w:numFmt w:val="decimal"/>
      <w:suff w:val="space"/>
      <w:lvlText w:val="Figure %1:"/>
      <w:lvlJc w:val="left"/>
      <w:pPr>
        <w:ind w:left="4330" w:hanging="360"/>
      </w:pPr>
      <w:rPr>
        <w:rFonts w:ascii="Trebuchet MS" w:hAnsi="Trebuchet MS"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23"/>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26"/>
  </w:num>
  <w:num w:numId="18">
    <w:abstractNumId w:val="24"/>
  </w:num>
  <w:num w:numId="19">
    <w:abstractNumId w:val="16"/>
  </w:num>
  <w:num w:numId="20">
    <w:abstractNumId w:val="21"/>
  </w:num>
  <w:num w:numId="21">
    <w:abstractNumId w:val="22"/>
  </w:num>
  <w:num w:numId="22">
    <w:abstractNumId w:val="18"/>
  </w:num>
  <w:num w:numId="23">
    <w:abstractNumId w:val="11"/>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13"/>
  </w:num>
  <w:num w:numId="27">
    <w:abstractNumId w:val="14"/>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17"/>
  </w:num>
  <w:num w:numId="31">
    <w:abstractNumId w:val="17"/>
  </w:num>
  <w:num w:numId="32">
    <w:abstractNumId w:val="11"/>
  </w:num>
  <w:num w:numId="33">
    <w:abstractNumId w:val="20"/>
  </w:num>
  <w:num w:numId="34">
    <w:abstractNumId w:val="15"/>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6385" style="mso-position-horizontal:left;mso-position-horizontal-relative:margin;mso-position-vertical-relative:page">
      <v:stroke weight=".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8FAFD2B-63D8-4A82-B7BB-0545F37E319C}"/>
    <w:docVar w:name="dgnword-eventsink" w:val="74774872"/>
  </w:docVars>
  <w:rsids>
    <w:rsidRoot w:val="006029DA"/>
    <w:rsid w:val="00000850"/>
    <w:rsid w:val="00004BCC"/>
    <w:rsid w:val="0000652C"/>
    <w:rsid w:val="000076D8"/>
    <w:rsid w:val="00011EA8"/>
    <w:rsid w:val="00012753"/>
    <w:rsid w:val="00012BBD"/>
    <w:rsid w:val="0001514C"/>
    <w:rsid w:val="000260C6"/>
    <w:rsid w:val="00031CCD"/>
    <w:rsid w:val="0005222E"/>
    <w:rsid w:val="00053D3C"/>
    <w:rsid w:val="00062C4C"/>
    <w:rsid w:val="000637FF"/>
    <w:rsid w:val="0007293C"/>
    <w:rsid w:val="00082FAD"/>
    <w:rsid w:val="00092E42"/>
    <w:rsid w:val="000A2821"/>
    <w:rsid w:val="000A45B1"/>
    <w:rsid w:val="000A6828"/>
    <w:rsid w:val="000B6991"/>
    <w:rsid w:val="000C193D"/>
    <w:rsid w:val="000D1433"/>
    <w:rsid w:val="000D3120"/>
    <w:rsid w:val="000D6D0D"/>
    <w:rsid w:val="000D7881"/>
    <w:rsid w:val="000F6EF5"/>
    <w:rsid w:val="001032B7"/>
    <w:rsid w:val="00104401"/>
    <w:rsid w:val="0010754B"/>
    <w:rsid w:val="00120AF6"/>
    <w:rsid w:val="001228CD"/>
    <w:rsid w:val="00122DDC"/>
    <w:rsid w:val="00127793"/>
    <w:rsid w:val="00133231"/>
    <w:rsid w:val="00146CF4"/>
    <w:rsid w:val="00171B3C"/>
    <w:rsid w:val="00173EBE"/>
    <w:rsid w:val="00174E09"/>
    <w:rsid w:val="00183515"/>
    <w:rsid w:val="001879E3"/>
    <w:rsid w:val="001A761C"/>
    <w:rsid w:val="001B042F"/>
    <w:rsid w:val="001B4EE1"/>
    <w:rsid w:val="001D0784"/>
    <w:rsid w:val="001D36AE"/>
    <w:rsid w:val="001D49A0"/>
    <w:rsid w:val="001D49E8"/>
    <w:rsid w:val="001E234E"/>
    <w:rsid w:val="001E32EE"/>
    <w:rsid w:val="001E4A81"/>
    <w:rsid w:val="001F4E55"/>
    <w:rsid w:val="0021269B"/>
    <w:rsid w:val="00232104"/>
    <w:rsid w:val="00232565"/>
    <w:rsid w:val="002370C9"/>
    <w:rsid w:val="002463BE"/>
    <w:rsid w:val="002506FB"/>
    <w:rsid w:val="00253523"/>
    <w:rsid w:val="00255B93"/>
    <w:rsid w:val="00270D22"/>
    <w:rsid w:val="00272C14"/>
    <w:rsid w:val="002731D3"/>
    <w:rsid w:val="002751F9"/>
    <w:rsid w:val="002944B4"/>
    <w:rsid w:val="002B354B"/>
    <w:rsid w:val="002C3051"/>
    <w:rsid w:val="002C3212"/>
    <w:rsid w:val="002D227E"/>
    <w:rsid w:val="002D2734"/>
    <w:rsid w:val="002D3E1B"/>
    <w:rsid w:val="002D65F8"/>
    <w:rsid w:val="0030081A"/>
    <w:rsid w:val="00303E52"/>
    <w:rsid w:val="00305FA5"/>
    <w:rsid w:val="0030797E"/>
    <w:rsid w:val="00310652"/>
    <w:rsid w:val="003137F8"/>
    <w:rsid w:val="00332F91"/>
    <w:rsid w:val="00333E0C"/>
    <w:rsid w:val="00334B22"/>
    <w:rsid w:val="003353EE"/>
    <w:rsid w:val="00335AA0"/>
    <w:rsid w:val="0033758D"/>
    <w:rsid w:val="0034397C"/>
    <w:rsid w:val="00346BDD"/>
    <w:rsid w:val="00346D13"/>
    <w:rsid w:val="00347AA3"/>
    <w:rsid w:val="00371218"/>
    <w:rsid w:val="003912BC"/>
    <w:rsid w:val="00392938"/>
    <w:rsid w:val="00394688"/>
    <w:rsid w:val="00394BB8"/>
    <w:rsid w:val="003A6E4F"/>
    <w:rsid w:val="003C306C"/>
    <w:rsid w:val="003C4053"/>
    <w:rsid w:val="003D06DA"/>
    <w:rsid w:val="003E012B"/>
    <w:rsid w:val="003E1A4A"/>
    <w:rsid w:val="003E616C"/>
    <w:rsid w:val="003E79AF"/>
    <w:rsid w:val="003F5500"/>
    <w:rsid w:val="00400DDA"/>
    <w:rsid w:val="00401C72"/>
    <w:rsid w:val="00403ED6"/>
    <w:rsid w:val="00412E5E"/>
    <w:rsid w:val="00436F99"/>
    <w:rsid w:val="00440C46"/>
    <w:rsid w:val="00457F88"/>
    <w:rsid w:val="004610D8"/>
    <w:rsid w:val="00462DDC"/>
    <w:rsid w:val="0046635F"/>
    <w:rsid w:val="00470867"/>
    <w:rsid w:val="00472D81"/>
    <w:rsid w:val="00484325"/>
    <w:rsid w:val="00485EC0"/>
    <w:rsid w:val="00486495"/>
    <w:rsid w:val="00494281"/>
    <w:rsid w:val="004B0FE9"/>
    <w:rsid w:val="004B51DA"/>
    <w:rsid w:val="004C56B6"/>
    <w:rsid w:val="004E73F1"/>
    <w:rsid w:val="004F060B"/>
    <w:rsid w:val="00507122"/>
    <w:rsid w:val="00520318"/>
    <w:rsid w:val="005217FF"/>
    <w:rsid w:val="00524A8B"/>
    <w:rsid w:val="005304D0"/>
    <w:rsid w:val="00543D1D"/>
    <w:rsid w:val="00545BC5"/>
    <w:rsid w:val="00551EA2"/>
    <w:rsid w:val="00563320"/>
    <w:rsid w:val="0056441C"/>
    <w:rsid w:val="00564A7A"/>
    <w:rsid w:val="00564F0B"/>
    <w:rsid w:val="00567544"/>
    <w:rsid w:val="00575F70"/>
    <w:rsid w:val="00590C4A"/>
    <w:rsid w:val="005A1BA7"/>
    <w:rsid w:val="005A58F4"/>
    <w:rsid w:val="005B0344"/>
    <w:rsid w:val="005B4E8C"/>
    <w:rsid w:val="005C2CD5"/>
    <w:rsid w:val="005C6F94"/>
    <w:rsid w:val="005C75EB"/>
    <w:rsid w:val="005D2D85"/>
    <w:rsid w:val="005E037A"/>
    <w:rsid w:val="005F2BFA"/>
    <w:rsid w:val="005F4244"/>
    <w:rsid w:val="006029DA"/>
    <w:rsid w:val="00617000"/>
    <w:rsid w:val="00632C16"/>
    <w:rsid w:val="00640456"/>
    <w:rsid w:val="00644703"/>
    <w:rsid w:val="00646F4F"/>
    <w:rsid w:val="0065174D"/>
    <w:rsid w:val="006572EF"/>
    <w:rsid w:val="00657F96"/>
    <w:rsid w:val="00664562"/>
    <w:rsid w:val="00666E17"/>
    <w:rsid w:val="0067593F"/>
    <w:rsid w:val="0068259C"/>
    <w:rsid w:val="00684AF0"/>
    <w:rsid w:val="00684FE5"/>
    <w:rsid w:val="006875E9"/>
    <w:rsid w:val="00696ABC"/>
    <w:rsid w:val="006977AE"/>
    <w:rsid w:val="006B1675"/>
    <w:rsid w:val="006B2F9B"/>
    <w:rsid w:val="006B4CF4"/>
    <w:rsid w:val="006C1FA8"/>
    <w:rsid w:val="006C7729"/>
    <w:rsid w:val="006D0BDA"/>
    <w:rsid w:val="006E46CD"/>
    <w:rsid w:val="006F2898"/>
    <w:rsid w:val="006F684D"/>
    <w:rsid w:val="00705562"/>
    <w:rsid w:val="00712DB9"/>
    <w:rsid w:val="00714EDC"/>
    <w:rsid w:val="007177E3"/>
    <w:rsid w:val="0073462B"/>
    <w:rsid w:val="0075133B"/>
    <w:rsid w:val="007529EE"/>
    <w:rsid w:val="00757B0B"/>
    <w:rsid w:val="007645F6"/>
    <w:rsid w:val="0079184A"/>
    <w:rsid w:val="007A3E19"/>
    <w:rsid w:val="007A45AB"/>
    <w:rsid w:val="007B1A68"/>
    <w:rsid w:val="007B3D02"/>
    <w:rsid w:val="007B403C"/>
    <w:rsid w:val="007C0CF7"/>
    <w:rsid w:val="007D1DB2"/>
    <w:rsid w:val="007E19B2"/>
    <w:rsid w:val="007E30E8"/>
    <w:rsid w:val="007F3E73"/>
    <w:rsid w:val="007F6828"/>
    <w:rsid w:val="00800C4B"/>
    <w:rsid w:val="008010A2"/>
    <w:rsid w:val="00810480"/>
    <w:rsid w:val="0082000A"/>
    <w:rsid w:val="0082160C"/>
    <w:rsid w:val="008325CB"/>
    <w:rsid w:val="00835040"/>
    <w:rsid w:val="00836B03"/>
    <w:rsid w:val="0084519B"/>
    <w:rsid w:val="008649F8"/>
    <w:rsid w:val="00865754"/>
    <w:rsid w:val="0086796E"/>
    <w:rsid w:val="0088042D"/>
    <w:rsid w:val="0088574D"/>
    <w:rsid w:val="008A1ACA"/>
    <w:rsid w:val="008A430A"/>
    <w:rsid w:val="008B225E"/>
    <w:rsid w:val="008D4154"/>
    <w:rsid w:val="008E2FCE"/>
    <w:rsid w:val="008F0DE4"/>
    <w:rsid w:val="008F4CE5"/>
    <w:rsid w:val="00902A0F"/>
    <w:rsid w:val="00926356"/>
    <w:rsid w:val="00927476"/>
    <w:rsid w:val="00932113"/>
    <w:rsid w:val="00933493"/>
    <w:rsid w:val="0093607A"/>
    <w:rsid w:val="00941049"/>
    <w:rsid w:val="00946728"/>
    <w:rsid w:val="009620BC"/>
    <w:rsid w:val="00962BC0"/>
    <w:rsid w:val="00994F8F"/>
    <w:rsid w:val="00996663"/>
    <w:rsid w:val="00996F64"/>
    <w:rsid w:val="009A08FB"/>
    <w:rsid w:val="009A2FC4"/>
    <w:rsid w:val="009A47D7"/>
    <w:rsid w:val="009B1AF6"/>
    <w:rsid w:val="009C3C78"/>
    <w:rsid w:val="009D26F6"/>
    <w:rsid w:val="009D72A8"/>
    <w:rsid w:val="009E2276"/>
    <w:rsid w:val="009F1A46"/>
    <w:rsid w:val="009F3201"/>
    <w:rsid w:val="00A03592"/>
    <w:rsid w:val="00A251B5"/>
    <w:rsid w:val="00A364CB"/>
    <w:rsid w:val="00A375FF"/>
    <w:rsid w:val="00A44F79"/>
    <w:rsid w:val="00A55623"/>
    <w:rsid w:val="00A55E26"/>
    <w:rsid w:val="00A63EF0"/>
    <w:rsid w:val="00A76FB9"/>
    <w:rsid w:val="00A8569F"/>
    <w:rsid w:val="00A85F57"/>
    <w:rsid w:val="00A90359"/>
    <w:rsid w:val="00AD0B21"/>
    <w:rsid w:val="00AD51AB"/>
    <w:rsid w:val="00AD7A53"/>
    <w:rsid w:val="00AE002E"/>
    <w:rsid w:val="00AE4EA7"/>
    <w:rsid w:val="00AE5156"/>
    <w:rsid w:val="00AE567E"/>
    <w:rsid w:val="00AE752E"/>
    <w:rsid w:val="00B0147A"/>
    <w:rsid w:val="00B12AEC"/>
    <w:rsid w:val="00B1497C"/>
    <w:rsid w:val="00B36F67"/>
    <w:rsid w:val="00B40B3F"/>
    <w:rsid w:val="00B43E10"/>
    <w:rsid w:val="00B43EA2"/>
    <w:rsid w:val="00B44747"/>
    <w:rsid w:val="00B5437B"/>
    <w:rsid w:val="00B755ED"/>
    <w:rsid w:val="00B76800"/>
    <w:rsid w:val="00B76AAE"/>
    <w:rsid w:val="00B77BAD"/>
    <w:rsid w:val="00B808C2"/>
    <w:rsid w:val="00B81FB2"/>
    <w:rsid w:val="00B833F0"/>
    <w:rsid w:val="00B851CA"/>
    <w:rsid w:val="00B85EE6"/>
    <w:rsid w:val="00B945FE"/>
    <w:rsid w:val="00B96C41"/>
    <w:rsid w:val="00B96F8F"/>
    <w:rsid w:val="00B970EA"/>
    <w:rsid w:val="00BA441A"/>
    <w:rsid w:val="00BA5FA0"/>
    <w:rsid w:val="00BA639F"/>
    <w:rsid w:val="00BB2A9C"/>
    <w:rsid w:val="00BB5F06"/>
    <w:rsid w:val="00BB675E"/>
    <w:rsid w:val="00BC1A2F"/>
    <w:rsid w:val="00BC486C"/>
    <w:rsid w:val="00BD3901"/>
    <w:rsid w:val="00BE010C"/>
    <w:rsid w:val="00BF137D"/>
    <w:rsid w:val="00C001CF"/>
    <w:rsid w:val="00C00A3D"/>
    <w:rsid w:val="00C05475"/>
    <w:rsid w:val="00C12C19"/>
    <w:rsid w:val="00C141A3"/>
    <w:rsid w:val="00C16D5D"/>
    <w:rsid w:val="00C22116"/>
    <w:rsid w:val="00C2422C"/>
    <w:rsid w:val="00C325B7"/>
    <w:rsid w:val="00C34342"/>
    <w:rsid w:val="00C34B1C"/>
    <w:rsid w:val="00C34FB8"/>
    <w:rsid w:val="00C41384"/>
    <w:rsid w:val="00C41769"/>
    <w:rsid w:val="00C43551"/>
    <w:rsid w:val="00C44AEF"/>
    <w:rsid w:val="00C46CD7"/>
    <w:rsid w:val="00C51D05"/>
    <w:rsid w:val="00C52918"/>
    <w:rsid w:val="00C53D15"/>
    <w:rsid w:val="00C560EE"/>
    <w:rsid w:val="00C562F1"/>
    <w:rsid w:val="00C6750C"/>
    <w:rsid w:val="00C7167F"/>
    <w:rsid w:val="00C87F58"/>
    <w:rsid w:val="00C91C87"/>
    <w:rsid w:val="00CA1C90"/>
    <w:rsid w:val="00CA7558"/>
    <w:rsid w:val="00CB2389"/>
    <w:rsid w:val="00CB41DF"/>
    <w:rsid w:val="00CC2458"/>
    <w:rsid w:val="00CC2F0A"/>
    <w:rsid w:val="00CC7325"/>
    <w:rsid w:val="00CC7B99"/>
    <w:rsid w:val="00CD153A"/>
    <w:rsid w:val="00CD4953"/>
    <w:rsid w:val="00CD6E26"/>
    <w:rsid w:val="00CE4ED9"/>
    <w:rsid w:val="00D042AF"/>
    <w:rsid w:val="00D10D73"/>
    <w:rsid w:val="00D2707D"/>
    <w:rsid w:val="00D315D7"/>
    <w:rsid w:val="00D4065B"/>
    <w:rsid w:val="00D4548D"/>
    <w:rsid w:val="00D522AF"/>
    <w:rsid w:val="00D54624"/>
    <w:rsid w:val="00D63019"/>
    <w:rsid w:val="00D65A90"/>
    <w:rsid w:val="00D67539"/>
    <w:rsid w:val="00D7098B"/>
    <w:rsid w:val="00D80511"/>
    <w:rsid w:val="00D836B6"/>
    <w:rsid w:val="00D83D4C"/>
    <w:rsid w:val="00D851C0"/>
    <w:rsid w:val="00D9040C"/>
    <w:rsid w:val="00D94502"/>
    <w:rsid w:val="00DA00FD"/>
    <w:rsid w:val="00DA1B71"/>
    <w:rsid w:val="00DA39CA"/>
    <w:rsid w:val="00DA68ED"/>
    <w:rsid w:val="00DB5799"/>
    <w:rsid w:val="00DC1A9F"/>
    <w:rsid w:val="00DC3EDD"/>
    <w:rsid w:val="00DD4551"/>
    <w:rsid w:val="00DE6F6D"/>
    <w:rsid w:val="00DF040A"/>
    <w:rsid w:val="00DF4CE0"/>
    <w:rsid w:val="00DF5522"/>
    <w:rsid w:val="00E16AB5"/>
    <w:rsid w:val="00E16D2C"/>
    <w:rsid w:val="00E22BBB"/>
    <w:rsid w:val="00E27196"/>
    <w:rsid w:val="00E43561"/>
    <w:rsid w:val="00E44849"/>
    <w:rsid w:val="00E50793"/>
    <w:rsid w:val="00E628F5"/>
    <w:rsid w:val="00E65B70"/>
    <w:rsid w:val="00E71649"/>
    <w:rsid w:val="00E72539"/>
    <w:rsid w:val="00E74E32"/>
    <w:rsid w:val="00E76EF9"/>
    <w:rsid w:val="00E81E7D"/>
    <w:rsid w:val="00EA21D5"/>
    <w:rsid w:val="00EA756A"/>
    <w:rsid w:val="00EC049E"/>
    <w:rsid w:val="00EC45E7"/>
    <w:rsid w:val="00EC498B"/>
    <w:rsid w:val="00ED6C42"/>
    <w:rsid w:val="00EE326C"/>
    <w:rsid w:val="00EE341B"/>
    <w:rsid w:val="00EE45CF"/>
    <w:rsid w:val="00EE4860"/>
    <w:rsid w:val="00F05E89"/>
    <w:rsid w:val="00F060FB"/>
    <w:rsid w:val="00F07233"/>
    <w:rsid w:val="00F118A0"/>
    <w:rsid w:val="00F12B6E"/>
    <w:rsid w:val="00F1337E"/>
    <w:rsid w:val="00F134AC"/>
    <w:rsid w:val="00F16BDE"/>
    <w:rsid w:val="00F319A2"/>
    <w:rsid w:val="00F50092"/>
    <w:rsid w:val="00F515DA"/>
    <w:rsid w:val="00F5280A"/>
    <w:rsid w:val="00F60282"/>
    <w:rsid w:val="00F624DF"/>
    <w:rsid w:val="00F64B41"/>
    <w:rsid w:val="00F6653B"/>
    <w:rsid w:val="00F676A1"/>
    <w:rsid w:val="00F67AC6"/>
    <w:rsid w:val="00F76C68"/>
    <w:rsid w:val="00F844B7"/>
    <w:rsid w:val="00F94CB0"/>
    <w:rsid w:val="00F95547"/>
    <w:rsid w:val="00F975F4"/>
    <w:rsid w:val="00FB0BC4"/>
    <w:rsid w:val="00FB382F"/>
    <w:rsid w:val="00FC45D4"/>
    <w:rsid w:val="00FC470D"/>
    <w:rsid w:val="00FD1A3A"/>
    <w:rsid w:val="00FD1D37"/>
    <w:rsid w:val="00FD69CD"/>
    <w:rsid w:val="00FE1ED2"/>
    <w:rsid w:val="00FE6293"/>
    <w:rsid w:val="00FE650F"/>
    <w:rsid w:val="00FE7B68"/>
    <w:rsid w:val="00FF41BE"/>
    <w:rsid w:val="00FF755F"/>
    <w:rsid w:val="00FF7A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style="mso-position-horizontal:left;mso-position-horizontal-relative:margin;mso-position-vertical-relative:page">
      <v:stroke weight=".5pt"/>
    </o:shapedefaults>
    <o:shapelayout v:ext="edit">
      <o:idmap v:ext="edit" data="1"/>
    </o:shapelayout>
  </w:shapeDefaults>
  <w:decimalSymbol w:val="."/>
  <w:listSeparator w:val=","/>
  <w14:docId w14:val="77FDB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60282"/>
    <w:rPr>
      <w:rFonts w:ascii="Times New Roman" w:hAnsi="Times New Roman"/>
      <w:szCs w:val="22"/>
      <w:lang w:eastAsia="en-US"/>
    </w:rPr>
  </w:style>
  <w:style w:type="paragraph" w:styleId="Heading1">
    <w:name w:val="heading 1"/>
    <w:basedOn w:val="Normal"/>
    <w:next w:val="BodyText"/>
    <w:link w:val="Heading1Char"/>
    <w:uiPriority w:val="9"/>
    <w:qFormat/>
    <w:rsid w:val="006977AE"/>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146CF4"/>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D9040C"/>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6977AE"/>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3F5500"/>
    <w:pPr>
      <w:outlineLvl w:val="4"/>
    </w:pPr>
    <w:rPr>
      <w:b w:val="0"/>
      <w:i w:val="0"/>
    </w:rPr>
  </w:style>
  <w:style w:type="paragraph" w:styleId="Heading6">
    <w:name w:val="heading 6"/>
    <w:basedOn w:val="Normal"/>
    <w:next w:val="BodyText"/>
    <w:link w:val="Heading6Char"/>
    <w:uiPriority w:val="9"/>
    <w:semiHidden/>
    <w:qFormat/>
    <w:rsid w:val="00310652"/>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88042D"/>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F95547"/>
    <w:pPr>
      <w:spacing w:after="190" w:line="250" w:lineRule="atLeast"/>
      <w:jc w:val="both"/>
    </w:pPr>
  </w:style>
  <w:style w:type="character" w:customStyle="1" w:styleId="BodyTextChar">
    <w:name w:val="Body Text Char"/>
    <w:link w:val="BodyText"/>
    <w:rsid w:val="00F95547"/>
    <w:rPr>
      <w:rFonts w:asciiTheme="minorHAnsi" w:hAnsiTheme="minorHAnsi"/>
      <w:sz w:val="19"/>
      <w:szCs w:val="22"/>
      <w:lang w:eastAsia="en-US"/>
    </w:rPr>
  </w:style>
  <w:style w:type="character" w:customStyle="1" w:styleId="Heading1Char">
    <w:name w:val="Heading 1 Char"/>
    <w:link w:val="Heading1"/>
    <w:uiPriority w:val="9"/>
    <w:rsid w:val="006977AE"/>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146CF4"/>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D9040C"/>
    <w:rPr>
      <w:rFonts w:ascii="Arial" w:eastAsia="Times New Roman" w:hAnsi="Arial"/>
      <w:b/>
      <w:bCs/>
      <w:szCs w:val="26"/>
      <w:lang w:eastAsia="en-US"/>
    </w:rPr>
  </w:style>
  <w:style w:type="character" w:customStyle="1" w:styleId="Heading4Char">
    <w:name w:val="Heading 4 Char"/>
    <w:link w:val="Heading4"/>
    <w:uiPriority w:val="9"/>
    <w:rsid w:val="006977AE"/>
    <w:rPr>
      <w:rFonts w:ascii="Arial" w:eastAsia="Times New Roman" w:hAnsi="Arial"/>
      <w:b/>
      <w:i/>
      <w:iCs/>
      <w:sz w:val="18"/>
      <w:szCs w:val="26"/>
      <w:lang w:eastAsia="en-US"/>
    </w:rPr>
  </w:style>
  <w:style w:type="character" w:customStyle="1" w:styleId="Heading5Char">
    <w:name w:val="Heading 5 Char"/>
    <w:link w:val="Heading5"/>
    <w:uiPriority w:val="9"/>
    <w:semiHidden/>
    <w:rsid w:val="00EC498B"/>
    <w:rPr>
      <w:rFonts w:asciiTheme="majorHAnsi" w:eastAsia="Times New Roman" w:hAnsiTheme="majorHAnsi"/>
      <w:i/>
      <w:iCs/>
      <w:szCs w:val="26"/>
      <w:lang w:eastAsia="en-US"/>
    </w:rPr>
  </w:style>
  <w:style w:type="character" w:customStyle="1" w:styleId="Heading6Char">
    <w:name w:val="Heading 6 Char"/>
    <w:link w:val="Heading6"/>
    <w:uiPriority w:val="9"/>
    <w:semiHidden/>
    <w:rsid w:val="00757B0B"/>
    <w:rPr>
      <w:rFonts w:ascii="Verdana" w:eastAsia="Times New Roman" w:hAnsi="Verdana"/>
      <w:i/>
      <w:iCs/>
      <w:szCs w:val="22"/>
      <w:lang w:eastAsia="en-US"/>
    </w:rPr>
  </w:style>
  <w:style w:type="paragraph" w:styleId="ListNumber">
    <w:name w:val="List Number"/>
    <w:basedOn w:val="Normal"/>
    <w:uiPriority w:val="99"/>
    <w:unhideWhenUsed/>
    <w:qFormat/>
    <w:rsid w:val="00A85F57"/>
    <w:pPr>
      <w:numPr>
        <w:numId w:val="32"/>
      </w:numPr>
      <w:spacing w:line="250" w:lineRule="atLeast"/>
      <w:jc w:val="both"/>
    </w:pPr>
  </w:style>
  <w:style w:type="paragraph" w:styleId="ListNumber2">
    <w:name w:val="List Number 2"/>
    <w:basedOn w:val="ListNumber"/>
    <w:uiPriority w:val="99"/>
    <w:unhideWhenUsed/>
    <w:qFormat/>
    <w:rsid w:val="00A85F57"/>
    <w:pPr>
      <w:numPr>
        <w:ilvl w:val="1"/>
      </w:numPr>
    </w:pPr>
  </w:style>
  <w:style w:type="paragraph" w:styleId="ListNumber3">
    <w:name w:val="List Number 3"/>
    <w:basedOn w:val="ListNumber2"/>
    <w:uiPriority w:val="99"/>
    <w:unhideWhenUsed/>
    <w:qFormat/>
    <w:rsid w:val="00A85F57"/>
    <w:pPr>
      <w:numPr>
        <w:ilvl w:val="2"/>
      </w:numPr>
    </w:pPr>
  </w:style>
  <w:style w:type="paragraph" w:styleId="ListContinue">
    <w:name w:val="List Continue"/>
    <w:basedOn w:val="Normal"/>
    <w:uiPriority w:val="99"/>
    <w:unhideWhenUsed/>
    <w:qFormat/>
    <w:rsid w:val="00E16D2C"/>
    <w:pPr>
      <w:spacing w:line="250" w:lineRule="atLeast"/>
      <w:ind w:left="567" w:right="567"/>
      <w:jc w:val="both"/>
    </w:pPr>
  </w:style>
  <w:style w:type="paragraph" w:styleId="ListContinue2">
    <w:name w:val="List Continue 2"/>
    <w:basedOn w:val="Normal"/>
    <w:uiPriority w:val="99"/>
    <w:unhideWhenUsed/>
    <w:qFormat/>
    <w:rsid w:val="00E16D2C"/>
    <w:pPr>
      <w:spacing w:line="250" w:lineRule="atLeast"/>
      <w:ind w:left="851" w:right="567"/>
      <w:jc w:val="both"/>
    </w:pPr>
  </w:style>
  <w:style w:type="paragraph" w:styleId="ListContinue3">
    <w:name w:val="List Continue 3"/>
    <w:basedOn w:val="Normal"/>
    <w:uiPriority w:val="99"/>
    <w:unhideWhenUsed/>
    <w:qFormat/>
    <w:rsid w:val="00E16D2C"/>
    <w:pPr>
      <w:spacing w:line="250" w:lineRule="atLeast"/>
      <w:ind w:left="1134" w:right="567"/>
      <w:jc w:val="both"/>
    </w:pPr>
  </w:style>
  <w:style w:type="paragraph" w:styleId="ListBullet">
    <w:name w:val="List Bullet"/>
    <w:basedOn w:val="Normal"/>
    <w:uiPriority w:val="99"/>
    <w:unhideWhenUsed/>
    <w:qFormat/>
    <w:rsid w:val="00E16D2C"/>
    <w:pPr>
      <w:numPr>
        <w:numId w:val="19"/>
      </w:numPr>
      <w:spacing w:line="250" w:lineRule="atLeast"/>
      <w:ind w:left="568" w:right="567" w:hanging="284"/>
      <w:jc w:val="both"/>
    </w:pPr>
  </w:style>
  <w:style w:type="paragraph" w:styleId="ListBullet2">
    <w:name w:val="List Bullet 2"/>
    <w:basedOn w:val="ListBullet"/>
    <w:uiPriority w:val="99"/>
    <w:unhideWhenUsed/>
    <w:qFormat/>
    <w:rsid w:val="00E16D2C"/>
    <w:pPr>
      <w:numPr>
        <w:ilvl w:val="1"/>
      </w:numPr>
    </w:pPr>
  </w:style>
  <w:style w:type="character" w:customStyle="1" w:styleId="Heading7Char">
    <w:name w:val="Heading 7 Char"/>
    <w:link w:val="Heading7"/>
    <w:uiPriority w:val="9"/>
    <w:semiHidden/>
    <w:rsid w:val="0088042D"/>
    <w:rPr>
      <w:rFonts w:eastAsia="Times New Roman" w:cs="Times New Roman"/>
      <w:i/>
      <w:iCs/>
      <w:color w:val="404040"/>
    </w:rPr>
  </w:style>
  <w:style w:type="paragraph" w:styleId="Footer">
    <w:name w:val="footer"/>
    <w:basedOn w:val="Normal"/>
    <w:link w:val="FooterChar"/>
    <w:uiPriority w:val="99"/>
    <w:unhideWhenUsed/>
    <w:rsid w:val="00332F91"/>
    <w:pPr>
      <w:ind w:right="-2835"/>
      <w:jc w:val="right"/>
    </w:pPr>
    <w:rPr>
      <w:rFonts w:ascii="Arial" w:hAnsi="Arial"/>
      <w:sz w:val="15"/>
    </w:rPr>
  </w:style>
  <w:style w:type="character" w:customStyle="1" w:styleId="FooterChar">
    <w:name w:val="Footer Char"/>
    <w:link w:val="Footer"/>
    <w:uiPriority w:val="99"/>
    <w:rsid w:val="00332F91"/>
    <w:rPr>
      <w:rFonts w:ascii="Arial" w:hAnsi="Arial"/>
      <w:sz w:val="15"/>
      <w:szCs w:val="22"/>
      <w:lang w:eastAsia="en-US"/>
    </w:rPr>
  </w:style>
  <w:style w:type="paragraph" w:styleId="Header">
    <w:name w:val="header"/>
    <w:basedOn w:val="Normal"/>
    <w:link w:val="HeaderChar"/>
    <w:uiPriority w:val="99"/>
    <w:unhideWhenUsed/>
    <w:rsid w:val="00332F91"/>
    <w:pPr>
      <w:tabs>
        <w:tab w:val="center" w:pos="4680"/>
        <w:tab w:val="right" w:pos="9360"/>
      </w:tabs>
      <w:jc w:val="right"/>
    </w:pPr>
    <w:rPr>
      <w:rFonts w:ascii="Arial" w:hAnsi="Arial"/>
      <w:sz w:val="16"/>
    </w:rPr>
  </w:style>
  <w:style w:type="character" w:customStyle="1" w:styleId="HeaderChar">
    <w:name w:val="Header Char"/>
    <w:link w:val="Header"/>
    <w:uiPriority w:val="99"/>
    <w:rsid w:val="00332F91"/>
    <w:rPr>
      <w:rFonts w:ascii="Arial" w:hAnsi="Arial"/>
      <w:sz w:val="16"/>
      <w:szCs w:val="22"/>
      <w:lang w:eastAsia="en-US"/>
    </w:rPr>
  </w:style>
  <w:style w:type="character" w:styleId="PageNumber">
    <w:name w:val="page number"/>
    <w:uiPriority w:val="99"/>
    <w:semiHidden/>
    <w:unhideWhenUsed/>
    <w:rsid w:val="00F16BDE"/>
    <w:rPr>
      <w:rFonts w:ascii="Arial" w:hAnsi="Arial"/>
      <w:sz w:val="20"/>
    </w:rPr>
  </w:style>
  <w:style w:type="table" w:customStyle="1" w:styleId="Blank">
    <w:name w:val="Blank"/>
    <w:basedOn w:val="TableNormal"/>
    <w:uiPriority w:val="99"/>
    <w:rsid w:val="001A761C"/>
    <w:tblPr>
      <w:tblCellMar>
        <w:left w:w="0" w:type="dxa"/>
        <w:right w:w="0" w:type="dxa"/>
      </w:tblCellMar>
    </w:tblPr>
  </w:style>
  <w:style w:type="paragraph" w:styleId="BalloonText">
    <w:name w:val="Balloon Text"/>
    <w:basedOn w:val="Normal"/>
    <w:link w:val="BalloonTextChar"/>
    <w:uiPriority w:val="99"/>
    <w:semiHidden/>
    <w:unhideWhenUsed/>
    <w:rsid w:val="00664562"/>
    <w:rPr>
      <w:rFonts w:ascii="Tahoma" w:hAnsi="Tahoma" w:cs="Tahoma"/>
      <w:sz w:val="16"/>
      <w:szCs w:val="16"/>
    </w:rPr>
  </w:style>
  <w:style w:type="character" w:customStyle="1" w:styleId="BalloonTextChar">
    <w:name w:val="Balloon Text Char"/>
    <w:basedOn w:val="DefaultParagraphFont"/>
    <w:link w:val="BalloonText"/>
    <w:uiPriority w:val="99"/>
    <w:semiHidden/>
    <w:rsid w:val="00664562"/>
    <w:rPr>
      <w:rFonts w:ascii="Tahoma" w:hAnsi="Tahoma" w:cs="Tahoma"/>
      <w:sz w:val="16"/>
      <w:szCs w:val="16"/>
      <w:lang w:eastAsia="en-US"/>
    </w:rPr>
  </w:style>
  <w:style w:type="table" w:styleId="TableGrid">
    <w:name w:val="Table Grid"/>
    <w:basedOn w:val="TableNormal"/>
    <w:uiPriority w:val="59"/>
    <w:rsid w:val="00C32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6728"/>
    <w:rPr>
      <w:color w:val="0000FF"/>
      <w:u w:val="single"/>
    </w:rPr>
  </w:style>
  <w:style w:type="character" w:styleId="FollowedHyperlink">
    <w:name w:val="FollowedHyperlink"/>
    <w:basedOn w:val="DefaultParagraphFont"/>
    <w:uiPriority w:val="99"/>
    <w:semiHidden/>
    <w:unhideWhenUsed/>
    <w:rsid w:val="00946728"/>
    <w:rPr>
      <w:color w:val="800080"/>
      <w:u w:val="single"/>
    </w:rPr>
  </w:style>
  <w:style w:type="numbering" w:customStyle="1" w:styleId="ODIHeadings">
    <w:name w:val="ODI Headings"/>
    <w:basedOn w:val="NoList"/>
    <w:uiPriority w:val="99"/>
    <w:rsid w:val="001E32EE"/>
    <w:pPr>
      <w:numPr>
        <w:numId w:val="14"/>
      </w:numPr>
    </w:pPr>
  </w:style>
  <w:style w:type="paragraph" w:customStyle="1" w:styleId="Strapline">
    <w:name w:val="Strapline"/>
    <w:basedOn w:val="Normal"/>
    <w:rsid w:val="00332F91"/>
    <w:pPr>
      <w:spacing w:before="100" w:after="100"/>
    </w:pPr>
    <w:rPr>
      <w:rFonts w:ascii="Arial" w:hAnsi="Arial"/>
      <w:color w:val="006C67" w:themeColor="accent1"/>
      <w:sz w:val="24"/>
    </w:rPr>
  </w:style>
  <w:style w:type="paragraph" w:customStyle="1" w:styleId="TableHeading">
    <w:name w:val="Table Heading"/>
    <w:basedOn w:val="Normal"/>
    <w:next w:val="BodyText"/>
    <w:qFormat/>
    <w:rsid w:val="00CA1C90"/>
    <w:pPr>
      <w:numPr>
        <w:numId w:val="37"/>
      </w:numPr>
      <w:spacing w:before="250" w:after="40"/>
    </w:pPr>
    <w:rPr>
      <w:rFonts w:ascii="Arial" w:hAnsi="Arial"/>
      <w:b/>
      <w:color w:val="006C67" w:themeColor="accent1"/>
      <w:sz w:val="24"/>
    </w:rPr>
  </w:style>
  <w:style w:type="numbering" w:customStyle="1" w:styleId="ODITableHeadings">
    <w:name w:val="ODI Table Headings"/>
    <w:basedOn w:val="NoList"/>
    <w:uiPriority w:val="99"/>
    <w:rsid w:val="00457F88"/>
    <w:pPr>
      <w:numPr>
        <w:numId w:val="16"/>
      </w:numPr>
    </w:pPr>
  </w:style>
  <w:style w:type="paragraph" w:customStyle="1" w:styleId="FigureHeading">
    <w:name w:val="Figure Heading"/>
    <w:basedOn w:val="Normal"/>
    <w:next w:val="BodyText"/>
    <w:qFormat/>
    <w:rsid w:val="00CA1C90"/>
    <w:pPr>
      <w:numPr>
        <w:numId w:val="36"/>
      </w:numPr>
      <w:spacing w:before="250" w:after="40"/>
    </w:pPr>
    <w:rPr>
      <w:rFonts w:ascii="Arial" w:hAnsi="Arial"/>
      <w:b/>
      <w:color w:val="006C67" w:themeColor="accent1"/>
      <w:sz w:val="24"/>
    </w:rPr>
  </w:style>
  <w:style w:type="numbering" w:customStyle="1" w:styleId="ODIFigureHeadings">
    <w:name w:val="ODI Figure Headings"/>
    <w:basedOn w:val="NoList"/>
    <w:uiPriority w:val="99"/>
    <w:rsid w:val="00484325"/>
    <w:pPr>
      <w:numPr>
        <w:numId w:val="17"/>
      </w:numPr>
    </w:pPr>
  </w:style>
  <w:style w:type="paragraph" w:customStyle="1" w:styleId="BoxHeading">
    <w:name w:val="Box Heading"/>
    <w:basedOn w:val="Normal"/>
    <w:next w:val="BoxText"/>
    <w:qFormat/>
    <w:rsid w:val="00332F91"/>
    <w:pPr>
      <w:spacing w:after="113"/>
    </w:pPr>
    <w:rPr>
      <w:rFonts w:ascii="Arial" w:hAnsi="Arial"/>
      <w:b/>
      <w:color w:val="006C67" w:themeColor="accent1"/>
      <w:sz w:val="22"/>
    </w:rPr>
  </w:style>
  <w:style w:type="numbering" w:customStyle="1" w:styleId="ODIBoxHeadings">
    <w:name w:val="ODI Box Headings"/>
    <w:basedOn w:val="NoList"/>
    <w:uiPriority w:val="99"/>
    <w:rsid w:val="000D3120"/>
    <w:pPr>
      <w:numPr>
        <w:numId w:val="18"/>
      </w:numPr>
    </w:pPr>
  </w:style>
  <w:style w:type="paragraph" w:customStyle="1" w:styleId="Abbreviation">
    <w:name w:val="Abbreviation"/>
    <w:basedOn w:val="Normal"/>
    <w:qFormat/>
    <w:rsid w:val="00332F91"/>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BF137D"/>
    <w:rPr>
      <w:sz w:val="16"/>
      <w:szCs w:val="20"/>
    </w:rPr>
  </w:style>
  <w:style w:type="character" w:customStyle="1" w:styleId="FootnoteTextChar">
    <w:name w:val="Footnote Text Char"/>
    <w:basedOn w:val="DefaultParagraphFont"/>
    <w:link w:val="FootnoteText"/>
    <w:uiPriority w:val="99"/>
    <w:rsid w:val="00BF137D"/>
    <w:rPr>
      <w:rFonts w:ascii="Verdana" w:hAnsi="Verdana"/>
      <w:sz w:val="16"/>
      <w:lang w:eastAsia="en-US"/>
    </w:rPr>
  </w:style>
  <w:style w:type="character" w:styleId="FootnoteReference">
    <w:name w:val="footnote reference"/>
    <w:basedOn w:val="DefaultParagraphFont"/>
    <w:uiPriority w:val="99"/>
    <w:qFormat/>
    <w:rsid w:val="00D042AF"/>
    <w:rPr>
      <w:rFonts w:asciiTheme="minorHAnsi" w:hAnsiTheme="minorHAnsi"/>
      <w:sz w:val="19"/>
      <w:vertAlign w:val="superscript"/>
    </w:rPr>
  </w:style>
  <w:style w:type="numbering" w:customStyle="1" w:styleId="ODIBullets">
    <w:name w:val="ODI Bullets"/>
    <w:basedOn w:val="NoList"/>
    <w:uiPriority w:val="99"/>
    <w:rsid w:val="00757B0B"/>
    <w:pPr>
      <w:numPr>
        <w:numId w:val="19"/>
      </w:numPr>
    </w:pPr>
  </w:style>
  <w:style w:type="paragraph" w:customStyle="1" w:styleId="LastBullet">
    <w:name w:val="Last Bullet"/>
    <w:basedOn w:val="ListBullet"/>
    <w:next w:val="BodyText"/>
    <w:qFormat/>
    <w:rsid w:val="00E16D2C"/>
    <w:pPr>
      <w:numPr>
        <w:numId w:val="20"/>
      </w:numPr>
      <w:spacing w:after="190"/>
      <w:ind w:left="568" w:hanging="284"/>
    </w:pPr>
  </w:style>
  <w:style w:type="numbering" w:customStyle="1" w:styleId="ODILastBullet">
    <w:name w:val="ODI Last Bullet"/>
    <w:basedOn w:val="ODIBullets"/>
    <w:uiPriority w:val="99"/>
    <w:rsid w:val="0082160C"/>
    <w:pPr>
      <w:numPr>
        <w:numId w:val="20"/>
      </w:numPr>
    </w:pPr>
  </w:style>
  <w:style w:type="table" w:customStyle="1" w:styleId="ODITable">
    <w:name w:val="ODI Table"/>
    <w:basedOn w:val="TableNormal"/>
    <w:uiPriority w:val="99"/>
    <w:rsid w:val="002944B4"/>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332F91"/>
    <w:pPr>
      <w:spacing w:line="220" w:lineRule="atLeast"/>
    </w:pPr>
    <w:rPr>
      <w:rFonts w:ascii="Arial" w:hAnsi="Arial"/>
      <w:sz w:val="17"/>
    </w:rPr>
  </w:style>
  <w:style w:type="paragraph" w:customStyle="1" w:styleId="ColumnHeading">
    <w:name w:val="Column Heading"/>
    <w:basedOn w:val="Normal"/>
    <w:next w:val="TableText"/>
    <w:qFormat/>
    <w:rsid w:val="00332F91"/>
    <w:rPr>
      <w:rFonts w:ascii="Arial" w:hAnsi="Arial"/>
      <w:b/>
      <w:sz w:val="17"/>
    </w:rPr>
  </w:style>
  <w:style w:type="paragraph" w:customStyle="1" w:styleId="TableBullet">
    <w:name w:val="Table Bullet"/>
    <w:basedOn w:val="TableText"/>
    <w:qFormat/>
    <w:rsid w:val="00332F91"/>
    <w:pPr>
      <w:numPr>
        <w:numId w:val="21"/>
      </w:numPr>
    </w:pPr>
  </w:style>
  <w:style w:type="numbering" w:customStyle="1" w:styleId="ODITableBullet">
    <w:name w:val="ODI Table Bullet"/>
    <w:basedOn w:val="NoList"/>
    <w:uiPriority w:val="99"/>
    <w:rsid w:val="00BC1A2F"/>
    <w:pPr>
      <w:numPr>
        <w:numId w:val="21"/>
      </w:numPr>
    </w:pPr>
  </w:style>
  <w:style w:type="paragraph" w:customStyle="1" w:styleId="Source">
    <w:name w:val="Source"/>
    <w:basedOn w:val="Normal"/>
    <w:qFormat/>
    <w:rsid w:val="00FC45D4"/>
    <w:pPr>
      <w:spacing w:before="39" w:after="250"/>
    </w:pPr>
    <w:rPr>
      <w:rFonts w:ascii="Arial" w:hAnsi="Arial"/>
      <w:i/>
      <w:sz w:val="16"/>
    </w:rPr>
  </w:style>
  <w:style w:type="paragraph" w:customStyle="1" w:styleId="BoxText">
    <w:name w:val="Box Text"/>
    <w:basedOn w:val="Normal"/>
    <w:qFormat/>
    <w:rsid w:val="00332F91"/>
    <w:pPr>
      <w:spacing w:after="135"/>
      <w:jc w:val="both"/>
    </w:pPr>
    <w:rPr>
      <w:rFonts w:ascii="Arial" w:hAnsi="Arial"/>
      <w:sz w:val="18"/>
    </w:rPr>
  </w:style>
  <w:style w:type="table" w:customStyle="1" w:styleId="ODIBox">
    <w:name w:val="ODI Box"/>
    <w:basedOn w:val="TableNormal"/>
    <w:uiPriority w:val="99"/>
    <w:rsid w:val="00CB41DF"/>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0D6D0D"/>
    <w:pPr>
      <w:numPr>
        <w:numId w:val="22"/>
      </w:numPr>
      <w:spacing w:after="0"/>
      <w:ind w:left="568" w:right="284" w:hanging="284"/>
    </w:pPr>
  </w:style>
  <w:style w:type="numbering" w:customStyle="1" w:styleId="ODIBoxBullet">
    <w:name w:val="ODI Box Bullet"/>
    <w:basedOn w:val="NoList"/>
    <w:uiPriority w:val="99"/>
    <w:rsid w:val="00705562"/>
    <w:pPr>
      <w:numPr>
        <w:numId w:val="22"/>
      </w:numPr>
    </w:pPr>
  </w:style>
  <w:style w:type="numbering" w:customStyle="1" w:styleId="ODINumberedList">
    <w:name w:val="ODI Numbered List"/>
    <w:basedOn w:val="NoList"/>
    <w:uiPriority w:val="99"/>
    <w:rsid w:val="00A85F57"/>
    <w:pPr>
      <w:numPr>
        <w:numId w:val="23"/>
      </w:numPr>
    </w:pPr>
  </w:style>
  <w:style w:type="numbering" w:customStyle="1" w:styleId="ODICoverBullets">
    <w:name w:val="ODI Cover Bullets"/>
    <w:basedOn w:val="NoList"/>
    <w:uiPriority w:val="99"/>
    <w:rsid w:val="004B51DA"/>
    <w:pPr>
      <w:numPr>
        <w:numId w:val="27"/>
      </w:numPr>
    </w:pPr>
  </w:style>
  <w:style w:type="paragraph" w:styleId="Quote">
    <w:name w:val="Quote"/>
    <w:basedOn w:val="Normal"/>
    <w:next w:val="Normal"/>
    <w:link w:val="QuoteChar"/>
    <w:uiPriority w:val="29"/>
    <w:rsid w:val="00D042AF"/>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D042AF"/>
    <w:rPr>
      <w:rFonts w:asciiTheme="minorHAnsi" w:hAnsiTheme="minorHAnsi"/>
      <w:i/>
      <w:iCs/>
      <w:sz w:val="19"/>
      <w:szCs w:val="22"/>
      <w:lang w:eastAsia="en-US"/>
    </w:rPr>
  </w:style>
  <w:style w:type="paragraph" w:customStyle="1" w:styleId="BodyTextNoSpacing">
    <w:name w:val="Body Text No Spacing"/>
    <w:basedOn w:val="BodyText"/>
    <w:qFormat/>
    <w:rsid w:val="0021269B"/>
    <w:pPr>
      <w:spacing w:after="0"/>
    </w:pPr>
  </w:style>
  <w:style w:type="paragraph" w:customStyle="1" w:styleId="SourceNoSpace">
    <w:name w:val="Source No Space"/>
    <w:basedOn w:val="Source"/>
    <w:next w:val="Normal"/>
    <w:qFormat/>
    <w:rsid w:val="005F4244"/>
    <w:pPr>
      <w:spacing w:after="0"/>
    </w:pPr>
  </w:style>
  <w:style w:type="paragraph" w:customStyle="1" w:styleId="AbbreviationDescription">
    <w:name w:val="Abbreviation Description"/>
    <w:basedOn w:val="Normal"/>
    <w:qFormat/>
    <w:rsid w:val="00C05475"/>
    <w:pPr>
      <w:spacing w:line="480" w:lineRule="exact"/>
    </w:pPr>
  </w:style>
  <w:style w:type="paragraph" w:styleId="Caption">
    <w:name w:val="caption"/>
    <w:basedOn w:val="Normal"/>
    <w:next w:val="Normal"/>
    <w:uiPriority w:val="35"/>
    <w:qFormat/>
    <w:rsid w:val="00127793"/>
    <w:pPr>
      <w:spacing w:after="40"/>
    </w:pPr>
    <w:rPr>
      <w:rFonts w:ascii="Arial" w:hAnsi="Arial"/>
      <w:b/>
      <w:iCs/>
      <w:color w:val="006C67" w:themeColor="accent1"/>
      <w:sz w:val="24"/>
      <w:szCs w:val="18"/>
    </w:rPr>
  </w:style>
  <w:style w:type="paragraph" w:customStyle="1" w:styleId="font5">
    <w:name w:val="font5"/>
    <w:basedOn w:val="Normal"/>
    <w:rsid w:val="00B76800"/>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B76800"/>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B76800"/>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B76800"/>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B76800"/>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B768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B768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B768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B7680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B76800"/>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B76800"/>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B76800"/>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B768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B768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B76800"/>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B76800"/>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B76800"/>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B76800"/>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B76800"/>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B76800"/>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B76800"/>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B76800"/>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B7680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B7680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B7680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B76800"/>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B76800"/>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B76800"/>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B7680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B76800"/>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B76800"/>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B76800"/>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B76800"/>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B76800"/>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B7680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B7680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B76800"/>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B7680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B7680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B7680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B7680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B7680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B7680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B7680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B7680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B7680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B7680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B76800"/>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B76800"/>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B7680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B7680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B7680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B7680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6F2898"/>
    <w:rPr>
      <w:sz w:val="16"/>
      <w:szCs w:val="16"/>
    </w:rPr>
  </w:style>
  <w:style w:type="paragraph" w:styleId="CommentText">
    <w:name w:val="annotation text"/>
    <w:basedOn w:val="Normal"/>
    <w:link w:val="CommentTextChar"/>
    <w:uiPriority w:val="99"/>
    <w:semiHidden/>
    <w:unhideWhenUsed/>
    <w:rsid w:val="006F2898"/>
    <w:rPr>
      <w:szCs w:val="20"/>
    </w:rPr>
  </w:style>
  <w:style w:type="character" w:customStyle="1" w:styleId="CommentTextChar">
    <w:name w:val="Comment Text Char"/>
    <w:basedOn w:val="DefaultParagraphFont"/>
    <w:link w:val="CommentText"/>
    <w:uiPriority w:val="99"/>
    <w:semiHidden/>
    <w:rsid w:val="006F2898"/>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6F2898"/>
    <w:rPr>
      <w:b/>
      <w:bCs/>
    </w:rPr>
  </w:style>
  <w:style w:type="character" w:customStyle="1" w:styleId="CommentSubjectChar">
    <w:name w:val="Comment Subject Char"/>
    <w:basedOn w:val="CommentTextChar"/>
    <w:link w:val="CommentSubject"/>
    <w:uiPriority w:val="99"/>
    <w:semiHidden/>
    <w:rsid w:val="006F2898"/>
    <w:rPr>
      <w:rFonts w:ascii="Times New Roman" w:hAnsi="Times New Roman"/>
      <w:b/>
      <w:bCs/>
      <w:lang w:eastAsia="en-US"/>
    </w:rPr>
  </w:style>
  <w:style w:type="paragraph" w:styleId="TableofFigures">
    <w:name w:val="table of figures"/>
    <w:basedOn w:val="Normal"/>
    <w:next w:val="Normal"/>
    <w:uiPriority w:val="99"/>
    <w:unhideWhenUsed/>
    <w:rsid w:val="00C41769"/>
    <w:pPr>
      <w:spacing w:after="60"/>
    </w:pPr>
    <w:rPr>
      <w:rFonts w:ascii="Arial" w:hAnsi="Arial"/>
    </w:rPr>
  </w:style>
  <w:style w:type="paragraph" w:styleId="TOC2">
    <w:name w:val="toc 2"/>
    <w:basedOn w:val="Normal"/>
    <w:next w:val="Normal"/>
    <w:autoRedefine/>
    <w:uiPriority w:val="39"/>
    <w:unhideWhenUsed/>
    <w:rsid w:val="00146CF4"/>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146CF4"/>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232104"/>
    <w:pPr>
      <w:tabs>
        <w:tab w:val="right" w:pos="8830"/>
        <w:tab w:val="left" w:pos="9900"/>
      </w:tabs>
      <w:spacing w:after="40"/>
      <w:ind w:right="360"/>
    </w:pPr>
    <w:rPr>
      <w:rFonts w:ascii="Arial" w:hAnsi="Arial"/>
    </w:rPr>
  </w:style>
  <w:style w:type="paragraph" w:customStyle="1" w:styleId="Bt">
    <w:name w:val="Bt"/>
    <w:basedOn w:val="FigureHeading"/>
    <w:rsid w:val="001B042F"/>
    <w:pPr>
      <w:numPr>
        <w:numId w:val="0"/>
      </w:numPr>
    </w:pPr>
    <w:rPr>
      <w:noProof/>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60282"/>
    <w:rPr>
      <w:rFonts w:ascii="Times New Roman" w:hAnsi="Times New Roman"/>
      <w:szCs w:val="22"/>
      <w:lang w:eastAsia="en-US"/>
    </w:rPr>
  </w:style>
  <w:style w:type="paragraph" w:styleId="Heading1">
    <w:name w:val="heading 1"/>
    <w:basedOn w:val="Normal"/>
    <w:next w:val="BodyText"/>
    <w:link w:val="Heading1Char"/>
    <w:uiPriority w:val="9"/>
    <w:qFormat/>
    <w:rsid w:val="006977AE"/>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146CF4"/>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D9040C"/>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6977AE"/>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3F5500"/>
    <w:pPr>
      <w:outlineLvl w:val="4"/>
    </w:pPr>
    <w:rPr>
      <w:b w:val="0"/>
      <w:i w:val="0"/>
    </w:rPr>
  </w:style>
  <w:style w:type="paragraph" w:styleId="Heading6">
    <w:name w:val="heading 6"/>
    <w:basedOn w:val="Normal"/>
    <w:next w:val="BodyText"/>
    <w:link w:val="Heading6Char"/>
    <w:uiPriority w:val="9"/>
    <w:semiHidden/>
    <w:qFormat/>
    <w:rsid w:val="00310652"/>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88042D"/>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F95547"/>
    <w:pPr>
      <w:spacing w:after="190" w:line="250" w:lineRule="atLeast"/>
      <w:jc w:val="both"/>
    </w:pPr>
  </w:style>
  <w:style w:type="character" w:customStyle="1" w:styleId="BodyTextChar">
    <w:name w:val="Body Text Char"/>
    <w:link w:val="BodyText"/>
    <w:rsid w:val="00F95547"/>
    <w:rPr>
      <w:rFonts w:asciiTheme="minorHAnsi" w:hAnsiTheme="minorHAnsi"/>
      <w:sz w:val="19"/>
      <w:szCs w:val="22"/>
      <w:lang w:eastAsia="en-US"/>
    </w:rPr>
  </w:style>
  <w:style w:type="character" w:customStyle="1" w:styleId="Heading1Char">
    <w:name w:val="Heading 1 Char"/>
    <w:link w:val="Heading1"/>
    <w:uiPriority w:val="9"/>
    <w:rsid w:val="006977AE"/>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146CF4"/>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D9040C"/>
    <w:rPr>
      <w:rFonts w:ascii="Arial" w:eastAsia="Times New Roman" w:hAnsi="Arial"/>
      <w:b/>
      <w:bCs/>
      <w:szCs w:val="26"/>
      <w:lang w:eastAsia="en-US"/>
    </w:rPr>
  </w:style>
  <w:style w:type="character" w:customStyle="1" w:styleId="Heading4Char">
    <w:name w:val="Heading 4 Char"/>
    <w:link w:val="Heading4"/>
    <w:uiPriority w:val="9"/>
    <w:rsid w:val="006977AE"/>
    <w:rPr>
      <w:rFonts w:ascii="Arial" w:eastAsia="Times New Roman" w:hAnsi="Arial"/>
      <w:b/>
      <w:i/>
      <w:iCs/>
      <w:sz w:val="18"/>
      <w:szCs w:val="26"/>
      <w:lang w:eastAsia="en-US"/>
    </w:rPr>
  </w:style>
  <w:style w:type="character" w:customStyle="1" w:styleId="Heading5Char">
    <w:name w:val="Heading 5 Char"/>
    <w:link w:val="Heading5"/>
    <w:uiPriority w:val="9"/>
    <w:semiHidden/>
    <w:rsid w:val="00EC498B"/>
    <w:rPr>
      <w:rFonts w:asciiTheme="majorHAnsi" w:eastAsia="Times New Roman" w:hAnsiTheme="majorHAnsi"/>
      <w:i/>
      <w:iCs/>
      <w:szCs w:val="26"/>
      <w:lang w:eastAsia="en-US"/>
    </w:rPr>
  </w:style>
  <w:style w:type="character" w:customStyle="1" w:styleId="Heading6Char">
    <w:name w:val="Heading 6 Char"/>
    <w:link w:val="Heading6"/>
    <w:uiPriority w:val="9"/>
    <w:semiHidden/>
    <w:rsid w:val="00757B0B"/>
    <w:rPr>
      <w:rFonts w:ascii="Verdana" w:eastAsia="Times New Roman" w:hAnsi="Verdana"/>
      <w:i/>
      <w:iCs/>
      <w:szCs w:val="22"/>
      <w:lang w:eastAsia="en-US"/>
    </w:rPr>
  </w:style>
  <w:style w:type="paragraph" w:styleId="ListNumber">
    <w:name w:val="List Number"/>
    <w:basedOn w:val="Normal"/>
    <w:uiPriority w:val="99"/>
    <w:unhideWhenUsed/>
    <w:qFormat/>
    <w:rsid w:val="00A85F57"/>
    <w:pPr>
      <w:numPr>
        <w:numId w:val="32"/>
      </w:numPr>
      <w:spacing w:line="250" w:lineRule="atLeast"/>
      <w:jc w:val="both"/>
    </w:pPr>
  </w:style>
  <w:style w:type="paragraph" w:styleId="ListNumber2">
    <w:name w:val="List Number 2"/>
    <w:basedOn w:val="ListNumber"/>
    <w:uiPriority w:val="99"/>
    <w:unhideWhenUsed/>
    <w:qFormat/>
    <w:rsid w:val="00A85F57"/>
    <w:pPr>
      <w:numPr>
        <w:ilvl w:val="1"/>
      </w:numPr>
    </w:pPr>
  </w:style>
  <w:style w:type="paragraph" w:styleId="ListNumber3">
    <w:name w:val="List Number 3"/>
    <w:basedOn w:val="ListNumber2"/>
    <w:uiPriority w:val="99"/>
    <w:unhideWhenUsed/>
    <w:qFormat/>
    <w:rsid w:val="00A85F57"/>
    <w:pPr>
      <w:numPr>
        <w:ilvl w:val="2"/>
      </w:numPr>
    </w:pPr>
  </w:style>
  <w:style w:type="paragraph" w:styleId="ListContinue">
    <w:name w:val="List Continue"/>
    <w:basedOn w:val="Normal"/>
    <w:uiPriority w:val="99"/>
    <w:unhideWhenUsed/>
    <w:qFormat/>
    <w:rsid w:val="00E16D2C"/>
    <w:pPr>
      <w:spacing w:line="250" w:lineRule="atLeast"/>
      <w:ind w:left="567" w:right="567"/>
      <w:jc w:val="both"/>
    </w:pPr>
  </w:style>
  <w:style w:type="paragraph" w:styleId="ListContinue2">
    <w:name w:val="List Continue 2"/>
    <w:basedOn w:val="Normal"/>
    <w:uiPriority w:val="99"/>
    <w:unhideWhenUsed/>
    <w:qFormat/>
    <w:rsid w:val="00E16D2C"/>
    <w:pPr>
      <w:spacing w:line="250" w:lineRule="atLeast"/>
      <w:ind w:left="851" w:right="567"/>
      <w:jc w:val="both"/>
    </w:pPr>
  </w:style>
  <w:style w:type="paragraph" w:styleId="ListContinue3">
    <w:name w:val="List Continue 3"/>
    <w:basedOn w:val="Normal"/>
    <w:uiPriority w:val="99"/>
    <w:unhideWhenUsed/>
    <w:qFormat/>
    <w:rsid w:val="00E16D2C"/>
    <w:pPr>
      <w:spacing w:line="250" w:lineRule="atLeast"/>
      <w:ind w:left="1134" w:right="567"/>
      <w:jc w:val="both"/>
    </w:pPr>
  </w:style>
  <w:style w:type="paragraph" w:styleId="ListBullet">
    <w:name w:val="List Bullet"/>
    <w:basedOn w:val="Normal"/>
    <w:uiPriority w:val="99"/>
    <w:unhideWhenUsed/>
    <w:qFormat/>
    <w:rsid w:val="00E16D2C"/>
    <w:pPr>
      <w:numPr>
        <w:numId w:val="19"/>
      </w:numPr>
      <w:spacing w:line="250" w:lineRule="atLeast"/>
      <w:ind w:left="568" w:right="567" w:hanging="284"/>
      <w:jc w:val="both"/>
    </w:pPr>
  </w:style>
  <w:style w:type="paragraph" w:styleId="ListBullet2">
    <w:name w:val="List Bullet 2"/>
    <w:basedOn w:val="ListBullet"/>
    <w:uiPriority w:val="99"/>
    <w:unhideWhenUsed/>
    <w:qFormat/>
    <w:rsid w:val="00E16D2C"/>
    <w:pPr>
      <w:numPr>
        <w:ilvl w:val="1"/>
      </w:numPr>
    </w:pPr>
  </w:style>
  <w:style w:type="character" w:customStyle="1" w:styleId="Heading7Char">
    <w:name w:val="Heading 7 Char"/>
    <w:link w:val="Heading7"/>
    <w:uiPriority w:val="9"/>
    <w:semiHidden/>
    <w:rsid w:val="0088042D"/>
    <w:rPr>
      <w:rFonts w:eastAsia="Times New Roman" w:cs="Times New Roman"/>
      <w:i/>
      <w:iCs/>
      <w:color w:val="404040"/>
    </w:rPr>
  </w:style>
  <w:style w:type="paragraph" w:styleId="Footer">
    <w:name w:val="footer"/>
    <w:basedOn w:val="Normal"/>
    <w:link w:val="FooterChar"/>
    <w:uiPriority w:val="99"/>
    <w:unhideWhenUsed/>
    <w:rsid w:val="00332F91"/>
    <w:pPr>
      <w:ind w:right="-2835"/>
      <w:jc w:val="right"/>
    </w:pPr>
    <w:rPr>
      <w:rFonts w:ascii="Arial" w:hAnsi="Arial"/>
      <w:sz w:val="15"/>
    </w:rPr>
  </w:style>
  <w:style w:type="character" w:customStyle="1" w:styleId="FooterChar">
    <w:name w:val="Footer Char"/>
    <w:link w:val="Footer"/>
    <w:uiPriority w:val="99"/>
    <w:rsid w:val="00332F91"/>
    <w:rPr>
      <w:rFonts w:ascii="Arial" w:hAnsi="Arial"/>
      <w:sz w:val="15"/>
      <w:szCs w:val="22"/>
      <w:lang w:eastAsia="en-US"/>
    </w:rPr>
  </w:style>
  <w:style w:type="paragraph" w:styleId="Header">
    <w:name w:val="header"/>
    <w:basedOn w:val="Normal"/>
    <w:link w:val="HeaderChar"/>
    <w:uiPriority w:val="99"/>
    <w:unhideWhenUsed/>
    <w:rsid w:val="00332F91"/>
    <w:pPr>
      <w:tabs>
        <w:tab w:val="center" w:pos="4680"/>
        <w:tab w:val="right" w:pos="9360"/>
      </w:tabs>
      <w:jc w:val="right"/>
    </w:pPr>
    <w:rPr>
      <w:rFonts w:ascii="Arial" w:hAnsi="Arial"/>
      <w:sz w:val="16"/>
    </w:rPr>
  </w:style>
  <w:style w:type="character" w:customStyle="1" w:styleId="HeaderChar">
    <w:name w:val="Header Char"/>
    <w:link w:val="Header"/>
    <w:uiPriority w:val="99"/>
    <w:rsid w:val="00332F91"/>
    <w:rPr>
      <w:rFonts w:ascii="Arial" w:hAnsi="Arial"/>
      <w:sz w:val="16"/>
      <w:szCs w:val="22"/>
      <w:lang w:eastAsia="en-US"/>
    </w:rPr>
  </w:style>
  <w:style w:type="character" w:styleId="PageNumber">
    <w:name w:val="page number"/>
    <w:uiPriority w:val="99"/>
    <w:semiHidden/>
    <w:unhideWhenUsed/>
    <w:rsid w:val="00F16BDE"/>
    <w:rPr>
      <w:rFonts w:ascii="Arial" w:hAnsi="Arial"/>
      <w:sz w:val="20"/>
    </w:rPr>
  </w:style>
  <w:style w:type="table" w:customStyle="1" w:styleId="Blank">
    <w:name w:val="Blank"/>
    <w:basedOn w:val="TableNormal"/>
    <w:uiPriority w:val="99"/>
    <w:rsid w:val="001A761C"/>
    <w:tblPr>
      <w:tblCellMar>
        <w:left w:w="0" w:type="dxa"/>
        <w:right w:w="0" w:type="dxa"/>
      </w:tblCellMar>
    </w:tblPr>
  </w:style>
  <w:style w:type="paragraph" w:styleId="BalloonText">
    <w:name w:val="Balloon Text"/>
    <w:basedOn w:val="Normal"/>
    <w:link w:val="BalloonTextChar"/>
    <w:uiPriority w:val="99"/>
    <w:semiHidden/>
    <w:unhideWhenUsed/>
    <w:rsid w:val="00664562"/>
    <w:rPr>
      <w:rFonts w:ascii="Tahoma" w:hAnsi="Tahoma" w:cs="Tahoma"/>
      <w:sz w:val="16"/>
      <w:szCs w:val="16"/>
    </w:rPr>
  </w:style>
  <w:style w:type="character" w:customStyle="1" w:styleId="BalloonTextChar">
    <w:name w:val="Balloon Text Char"/>
    <w:basedOn w:val="DefaultParagraphFont"/>
    <w:link w:val="BalloonText"/>
    <w:uiPriority w:val="99"/>
    <w:semiHidden/>
    <w:rsid w:val="00664562"/>
    <w:rPr>
      <w:rFonts w:ascii="Tahoma" w:hAnsi="Tahoma" w:cs="Tahoma"/>
      <w:sz w:val="16"/>
      <w:szCs w:val="16"/>
      <w:lang w:eastAsia="en-US"/>
    </w:rPr>
  </w:style>
  <w:style w:type="table" w:styleId="TableGrid">
    <w:name w:val="Table Grid"/>
    <w:basedOn w:val="TableNormal"/>
    <w:uiPriority w:val="59"/>
    <w:rsid w:val="00C32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6728"/>
    <w:rPr>
      <w:color w:val="0000FF"/>
      <w:u w:val="single"/>
    </w:rPr>
  </w:style>
  <w:style w:type="character" w:styleId="FollowedHyperlink">
    <w:name w:val="FollowedHyperlink"/>
    <w:basedOn w:val="DefaultParagraphFont"/>
    <w:uiPriority w:val="99"/>
    <w:semiHidden/>
    <w:unhideWhenUsed/>
    <w:rsid w:val="00946728"/>
    <w:rPr>
      <w:color w:val="800080"/>
      <w:u w:val="single"/>
    </w:rPr>
  </w:style>
  <w:style w:type="numbering" w:customStyle="1" w:styleId="ODIHeadings">
    <w:name w:val="ODI Headings"/>
    <w:basedOn w:val="NoList"/>
    <w:uiPriority w:val="99"/>
    <w:rsid w:val="001E32EE"/>
    <w:pPr>
      <w:numPr>
        <w:numId w:val="14"/>
      </w:numPr>
    </w:pPr>
  </w:style>
  <w:style w:type="paragraph" w:customStyle="1" w:styleId="Strapline">
    <w:name w:val="Strapline"/>
    <w:basedOn w:val="Normal"/>
    <w:rsid w:val="00332F91"/>
    <w:pPr>
      <w:spacing w:before="100" w:after="100"/>
    </w:pPr>
    <w:rPr>
      <w:rFonts w:ascii="Arial" w:hAnsi="Arial"/>
      <w:color w:val="006C67" w:themeColor="accent1"/>
      <w:sz w:val="24"/>
    </w:rPr>
  </w:style>
  <w:style w:type="paragraph" w:customStyle="1" w:styleId="TableHeading">
    <w:name w:val="Table Heading"/>
    <w:basedOn w:val="Normal"/>
    <w:next w:val="BodyText"/>
    <w:qFormat/>
    <w:rsid w:val="00CA1C90"/>
    <w:pPr>
      <w:numPr>
        <w:numId w:val="37"/>
      </w:numPr>
      <w:spacing w:before="250" w:after="40"/>
    </w:pPr>
    <w:rPr>
      <w:rFonts w:ascii="Arial" w:hAnsi="Arial"/>
      <w:b/>
      <w:color w:val="006C67" w:themeColor="accent1"/>
      <w:sz w:val="24"/>
    </w:rPr>
  </w:style>
  <w:style w:type="numbering" w:customStyle="1" w:styleId="ODITableHeadings">
    <w:name w:val="ODI Table Headings"/>
    <w:basedOn w:val="NoList"/>
    <w:uiPriority w:val="99"/>
    <w:rsid w:val="00457F88"/>
    <w:pPr>
      <w:numPr>
        <w:numId w:val="16"/>
      </w:numPr>
    </w:pPr>
  </w:style>
  <w:style w:type="paragraph" w:customStyle="1" w:styleId="FigureHeading">
    <w:name w:val="Figure Heading"/>
    <w:basedOn w:val="Normal"/>
    <w:next w:val="BodyText"/>
    <w:qFormat/>
    <w:rsid w:val="00CA1C90"/>
    <w:pPr>
      <w:numPr>
        <w:numId w:val="36"/>
      </w:numPr>
      <w:spacing w:before="250" w:after="40"/>
    </w:pPr>
    <w:rPr>
      <w:rFonts w:ascii="Arial" w:hAnsi="Arial"/>
      <w:b/>
      <w:color w:val="006C67" w:themeColor="accent1"/>
      <w:sz w:val="24"/>
    </w:rPr>
  </w:style>
  <w:style w:type="numbering" w:customStyle="1" w:styleId="ODIFigureHeadings">
    <w:name w:val="ODI Figure Headings"/>
    <w:basedOn w:val="NoList"/>
    <w:uiPriority w:val="99"/>
    <w:rsid w:val="00484325"/>
    <w:pPr>
      <w:numPr>
        <w:numId w:val="17"/>
      </w:numPr>
    </w:pPr>
  </w:style>
  <w:style w:type="paragraph" w:customStyle="1" w:styleId="BoxHeading">
    <w:name w:val="Box Heading"/>
    <w:basedOn w:val="Normal"/>
    <w:next w:val="BoxText"/>
    <w:qFormat/>
    <w:rsid w:val="00332F91"/>
    <w:pPr>
      <w:spacing w:after="113"/>
    </w:pPr>
    <w:rPr>
      <w:rFonts w:ascii="Arial" w:hAnsi="Arial"/>
      <w:b/>
      <w:color w:val="006C67" w:themeColor="accent1"/>
      <w:sz w:val="22"/>
    </w:rPr>
  </w:style>
  <w:style w:type="numbering" w:customStyle="1" w:styleId="ODIBoxHeadings">
    <w:name w:val="ODI Box Headings"/>
    <w:basedOn w:val="NoList"/>
    <w:uiPriority w:val="99"/>
    <w:rsid w:val="000D3120"/>
    <w:pPr>
      <w:numPr>
        <w:numId w:val="18"/>
      </w:numPr>
    </w:pPr>
  </w:style>
  <w:style w:type="paragraph" w:customStyle="1" w:styleId="Abbreviation">
    <w:name w:val="Abbreviation"/>
    <w:basedOn w:val="Normal"/>
    <w:qFormat/>
    <w:rsid w:val="00332F91"/>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BF137D"/>
    <w:rPr>
      <w:sz w:val="16"/>
      <w:szCs w:val="20"/>
    </w:rPr>
  </w:style>
  <w:style w:type="character" w:customStyle="1" w:styleId="FootnoteTextChar">
    <w:name w:val="Footnote Text Char"/>
    <w:basedOn w:val="DefaultParagraphFont"/>
    <w:link w:val="FootnoteText"/>
    <w:uiPriority w:val="99"/>
    <w:rsid w:val="00BF137D"/>
    <w:rPr>
      <w:rFonts w:ascii="Verdana" w:hAnsi="Verdana"/>
      <w:sz w:val="16"/>
      <w:lang w:eastAsia="en-US"/>
    </w:rPr>
  </w:style>
  <w:style w:type="character" w:styleId="FootnoteReference">
    <w:name w:val="footnote reference"/>
    <w:basedOn w:val="DefaultParagraphFont"/>
    <w:uiPriority w:val="99"/>
    <w:qFormat/>
    <w:rsid w:val="00D042AF"/>
    <w:rPr>
      <w:rFonts w:asciiTheme="minorHAnsi" w:hAnsiTheme="minorHAnsi"/>
      <w:sz w:val="19"/>
      <w:vertAlign w:val="superscript"/>
    </w:rPr>
  </w:style>
  <w:style w:type="numbering" w:customStyle="1" w:styleId="ODIBullets">
    <w:name w:val="ODI Bullets"/>
    <w:basedOn w:val="NoList"/>
    <w:uiPriority w:val="99"/>
    <w:rsid w:val="00757B0B"/>
    <w:pPr>
      <w:numPr>
        <w:numId w:val="19"/>
      </w:numPr>
    </w:pPr>
  </w:style>
  <w:style w:type="paragraph" w:customStyle="1" w:styleId="LastBullet">
    <w:name w:val="Last Bullet"/>
    <w:basedOn w:val="ListBullet"/>
    <w:next w:val="BodyText"/>
    <w:qFormat/>
    <w:rsid w:val="00E16D2C"/>
    <w:pPr>
      <w:numPr>
        <w:numId w:val="20"/>
      </w:numPr>
      <w:spacing w:after="190"/>
      <w:ind w:left="568" w:hanging="284"/>
    </w:pPr>
  </w:style>
  <w:style w:type="numbering" w:customStyle="1" w:styleId="ODILastBullet">
    <w:name w:val="ODI Last Bullet"/>
    <w:basedOn w:val="ODIBullets"/>
    <w:uiPriority w:val="99"/>
    <w:rsid w:val="0082160C"/>
    <w:pPr>
      <w:numPr>
        <w:numId w:val="20"/>
      </w:numPr>
    </w:pPr>
  </w:style>
  <w:style w:type="table" w:customStyle="1" w:styleId="ODITable">
    <w:name w:val="ODI Table"/>
    <w:basedOn w:val="TableNormal"/>
    <w:uiPriority w:val="99"/>
    <w:rsid w:val="002944B4"/>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332F91"/>
    <w:pPr>
      <w:spacing w:line="220" w:lineRule="atLeast"/>
    </w:pPr>
    <w:rPr>
      <w:rFonts w:ascii="Arial" w:hAnsi="Arial"/>
      <w:sz w:val="17"/>
    </w:rPr>
  </w:style>
  <w:style w:type="paragraph" w:customStyle="1" w:styleId="ColumnHeading">
    <w:name w:val="Column Heading"/>
    <w:basedOn w:val="Normal"/>
    <w:next w:val="TableText"/>
    <w:qFormat/>
    <w:rsid w:val="00332F91"/>
    <w:rPr>
      <w:rFonts w:ascii="Arial" w:hAnsi="Arial"/>
      <w:b/>
      <w:sz w:val="17"/>
    </w:rPr>
  </w:style>
  <w:style w:type="paragraph" w:customStyle="1" w:styleId="TableBullet">
    <w:name w:val="Table Bullet"/>
    <w:basedOn w:val="TableText"/>
    <w:qFormat/>
    <w:rsid w:val="00332F91"/>
    <w:pPr>
      <w:numPr>
        <w:numId w:val="21"/>
      </w:numPr>
    </w:pPr>
  </w:style>
  <w:style w:type="numbering" w:customStyle="1" w:styleId="ODITableBullet">
    <w:name w:val="ODI Table Bullet"/>
    <w:basedOn w:val="NoList"/>
    <w:uiPriority w:val="99"/>
    <w:rsid w:val="00BC1A2F"/>
    <w:pPr>
      <w:numPr>
        <w:numId w:val="21"/>
      </w:numPr>
    </w:pPr>
  </w:style>
  <w:style w:type="paragraph" w:customStyle="1" w:styleId="Source">
    <w:name w:val="Source"/>
    <w:basedOn w:val="Normal"/>
    <w:qFormat/>
    <w:rsid w:val="00FC45D4"/>
    <w:pPr>
      <w:spacing w:before="39" w:after="250"/>
    </w:pPr>
    <w:rPr>
      <w:rFonts w:ascii="Arial" w:hAnsi="Arial"/>
      <w:i/>
      <w:sz w:val="16"/>
    </w:rPr>
  </w:style>
  <w:style w:type="paragraph" w:customStyle="1" w:styleId="BoxText">
    <w:name w:val="Box Text"/>
    <w:basedOn w:val="Normal"/>
    <w:qFormat/>
    <w:rsid w:val="00332F91"/>
    <w:pPr>
      <w:spacing w:after="135"/>
      <w:jc w:val="both"/>
    </w:pPr>
    <w:rPr>
      <w:rFonts w:ascii="Arial" w:hAnsi="Arial"/>
      <w:sz w:val="18"/>
    </w:rPr>
  </w:style>
  <w:style w:type="table" w:customStyle="1" w:styleId="ODIBox">
    <w:name w:val="ODI Box"/>
    <w:basedOn w:val="TableNormal"/>
    <w:uiPriority w:val="99"/>
    <w:rsid w:val="00CB41DF"/>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0D6D0D"/>
    <w:pPr>
      <w:numPr>
        <w:numId w:val="22"/>
      </w:numPr>
      <w:spacing w:after="0"/>
      <w:ind w:left="568" w:right="284" w:hanging="284"/>
    </w:pPr>
  </w:style>
  <w:style w:type="numbering" w:customStyle="1" w:styleId="ODIBoxBullet">
    <w:name w:val="ODI Box Bullet"/>
    <w:basedOn w:val="NoList"/>
    <w:uiPriority w:val="99"/>
    <w:rsid w:val="00705562"/>
    <w:pPr>
      <w:numPr>
        <w:numId w:val="22"/>
      </w:numPr>
    </w:pPr>
  </w:style>
  <w:style w:type="numbering" w:customStyle="1" w:styleId="ODINumberedList">
    <w:name w:val="ODI Numbered List"/>
    <w:basedOn w:val="NoList"/>
    <w:uiPriority w:val="99"/>
    <w:rsid w:val="00A85F57"/>
    <w:pPr>
      <w:numPr>
        <w:numId w:val="23"/>
      </w:numPr>
    </w:pPr>
  </w:style>
  <w:style w:type="numbering" w:customStyle="1" w:styleId="ODICoverBullets">
    <w:name w:val="ODI Cover Bullets"/>
    <w:basedOn w:val="NoList"/>
    <w:uiPriority w:val="99"/>
    <w:rsid w:val="004B51DA"/>
    <w:pPr>
      <w:numPr>
        <w:numId w:val="27"/>
      </w:numPr>
    </w:pPr>
  </w:style>
  <w:style w:type="paragraph" w:styleId="Quote">
    <w:name w:val="Quote"/>
    <w:basedOn w:val="Normal"/>
    <w:next w:val="Normal"/>
    <w:link w:val="QuoteChar"/>
    <w:uiPriority w:val="29"/>
    <w:rsid w:val="00D042AF"/>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D042AF"/>
    <w:rPr>
      <w:rFonts w:asciiTheme="minorHAnsi" w:hAnsiTheme="minorHAnsi"/>
      <w:i/>
      <w:iCs/>
      <w:sz w:val="19"/>
      <w:szCs w:val="22"/>
      <w:lang w:eastAsia="en-US"/>
    </w:rPr>
  </w:style>
  <w:style w:type="paragraph" w:customStyle="1" w:styleId="BodyTextNoSpacing">
    <w:name w:val="Body Text No Spacing"/>
    <w:basedOn w:val="BodyText"/>
    <w:qFormat/>
    <w:rsid w:val="0021269B"/>
    <w:pPr>
      <w:spacing w:after="0"/>
    </w:pPr>
  </w:style>
  <w:style w:type="paragraph" w:customStyle="1" w:styleId="SourceNoSpace">
    <w:name w:val="Source No Space"/>
    <w:basedOn w:val="Source"/>
    <w:next w:val="Normal"/>
    <w:qFormat/>
    <w:rsid w:val="005F4244"/>
    <w:pPr>
      <w:spacing w:after="0"/>
    </w:pPr>
  </w:style>
  <w:style w:type="paragraph" w:customStyle="1" w:styleId="AbbreviationDescription">
    <w:name w:val="Abbreviation Description"/>
    <w:basedOn w:val="Normal"/>
    <w:qFormat/>
    <w:rsid w:val="00C05475"/>
    <w:pPr>
      <w:spacing w:line="480" w:lineRule="exact"/>
    </w:pPr>
  </w:style>
  <w:style w:type="paragraph" w:styleId="Caption">
    <w:name w:val="caption"/>
    <w:basedOn w:val="Normal"/>
    <w:next w:val="Normal"/>
    <w:uiPriority w:val="35"/>
    <w:qFormat/>
    <w:rsid w:val="00127793"/>
    <w:pPr>
      <w:spacing w:after="40"/>
    </w:pPr>
    <w:rPr>
      <w:rFonts w:ascii="Arial" w:hAnsi="Arial"/>
      <w:b/>
      <w:iCs/>
      <w:color w:val="006C67" w:themeColor="accent1"/>
      <w:sz w:val="24"/>
      <w:szCs w:val="18"/>
    </w:rPr>
  </w:style>
  <w:style w:type="paragraph" w:customStyle="1" w:styleId="font5">
    <w:name w:val="font5"/>
    <w:basedOn w:val="Normal"/>
    <w:rsid w:val="00B76800"/>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B76800"/>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B76800"/>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B76800"/>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B76800"/>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B768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B768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B768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B7680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B76800"/>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B76800"/>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B76800"/>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B768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B768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B76800"/>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B76800"/>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B76800"/>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B76800"/>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B76800"/>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B76800"/>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B76800"/>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B76800"/>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B7680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B7680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B7680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B76800"/>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B76800"/>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B76800"/>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B7680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B76800"/>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B76800"/>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B76800"/>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B76800"/>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B76800"/>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B7680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B7680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B76800"/>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B7680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B7680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B7680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B7680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B7680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B7680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B7680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B7680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B7680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B7680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B76800"/>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B76800"/>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B7680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B7680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B7680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B7680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6F2898"/>
    <w:rPr>
      <w:sz w:val="16"/>
      <w:szCs w:val="16"/>
    </w:rPr>
  </w:style>
  <w:style w:type="paragraph" w:styleId="CommentText">
    <w:name w:val="annotation text"/>
    <w:basedOn w:val="Normal"/>
    <w:link w:val="CommentTextChar"/>
    <w:uiPriority w:val="99"/>
    <w:semiHidden/>
    <w:unhideWhenUsed/>
    <w:rsid w:val="006F2898"/>
    <w:rPr>
      <w:szCs w:val="20"/>
    </w:rPr>
  </w:style>
  <w:style w:type="character" w:customStyle="1" w:styleId="CommentTextChar">
    <w:name w:val="Comment Text Char"/>
    <w:basedOn w:val="DefaultParagraphFont"/>
    <w:link w:val="CommentText"/>
    <w:uiPriority w:val="99"/>
    <w:semiHidden/>
    <w:rsid w:val="006F2898"/>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6F2898"/>
    <w:rPr>
      <w:b/>
      <w:bCs/>
    </w:rPr>
  </w:style>
  <w:style w:type="character" w:customStyle="1" w:styleId="CommentSubjectChar">
    <w:name w:val="Comment Subject Char"/>
    <w:basedOn w:val="CommentTextChar"/>
    <w:link w:val="CommentSubject"/>
    <w:uiPriority w:val="99"/>
    <w:semiHidden/>
    <w:rsid w:val="006F2898"/>
    <w:rPr>
      <w:rFonts w:ascii="Times New Roman" w:hAnsi="Times New Roman"/>
      <w:b/>
      <w:bCs/>
      <w:lang w:eastAsia="en-US"/>
    </w:rPr>
  </w:style>
  <w:style w:type="paragraph" w:styleId="TableofFigures">
    <w:name w:val="table of figures"/>
    <w:basedOn w:val="Normal"/>
    <w:next w:val="Normal"/>
    <w:uiPriority w:val="99"/>
    <w:unhideWhenUsed/>
    <w:rsid w:val="00C41769"/>
    <w:pPr>
      <w:spacing w:after="60"/>
    </w:pPr>
    <w:rPr>
      <w:rFonts w:ascii="Arial" w:hAnsi="Arial"/>
    </w:rPr>
  </w:style>
  <w:style w:type="paragraph" w:styleId="TOC2">
    <w:name w:val="toc 2"/>
    <w:basedOn w:val="Normal"/>
    <w:next w:val="Normal"/>
    <w:autoRedefine/>
    <w:uiPriority w:val="39"/>
    <w:unhideWhenUsed/>
    <w:rsid w:val="00146CF4"/>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146CF4"/>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232104"/>
    <w:pPr>
      <w:tabs>
        <w:tab w:val="right" w:pos="8830"/>
        <w:tab w:val="left" w:pos="9900"/>
      </w:tabs>
      <w:spacing w:after="40"/>
      <w:ind w:right="360"/>
    </w:pPr>
    <w:rPr>
      <w:rFonts w:ascii="Arial" w:hAnsi="Arial"/>
    </w:rPr>
  </w:style>
  <w:style w:type="paragraph" w:customStyle="1" w:styleId="Bt">
    <w:name w:val="Bt"/>
    <w:basedOn w:val="FigureHeading"/>
    <w:rsid w:val="001B042F"/>
    <w:pPr>
      <w:numPr>
        <w:numId w:val="0"/>
      </w:numPr>
    </w:pPr>
    <w:rPr>
      <w:noProo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890740">
      <w:bodyDiv w:val="1"/>
      <w:marLeft w:val="0"/>
      <w:marRight w:val="0"/>
      <w:marTop w:val="0"/>
      <w:marBottom w:val="0"/>
      <w:divBdr>
        <w:top w:val="none" w:sz="0" w:space="0" w:color="auto"/>
        <w:left w:val="none" w:sz="0" w:space="0" w:color="auto"/>
        <w:bottom w:val="none" w:sz="0" w:space="0" w:color="auto"/>
        <w:right w:val="none" w:sz="0" w:space="0" w:color="auto"/>
      </w:divBdr>
    </w:div>
    <w:div w:id="433131940">
      <w:bodyDiv w:val="1"/>
      <w:marLeft w:val="0"/>
      <w:marRight w:val="0"/>
      <w:marTop w:val="0"/>
      <w:marBottom w:val="0"/>
      <w:divBdr>
        <w:top w:val="none" w:sz="0" w:space="0" w:color="auto"/>
        <w:left w:val="none" w:sz="0" w:space="0" w:color="auto"/>
        <w:bottom w:val="none" w:sz="0" w:space="0" w:color="auto"/>
        <w:right w:val="none" w:sz="0" w:space="0" w:color="auto"/>
      </w:divBdr>
    </w:div>
    <w:div w:id="622929018">
      <w:bodyDiv w:val="1"/>
      <w:marLeft w:val="0"/>
      <w:marRight w:val="0"/>
      <w:marTop w:val="0"/>
      <w:marBottom w:val="0"/>
      <w:divBdr>
        <w:top w:val="none" w:sz="0" w:space="0" w:color="auto"/>
        <w:left w:val="none" w:sz="0" w:space="0" w:color="auto"/>
        <w:bottom w:val="none" w:sz="0" w:space="0" w:color="auto"/>
        <w:right w:val="none" w:sz="0" w:space="0" w:color="auto"/>
      </w:divBdr>
    </w:div>
    <w:div w:id="648023173">
      <w:bodyDiv w:val="1"/>
      <w:marLeft w:val="0"/>
      <w:marRight w:val="0"/>
      <w:marTop w:val="0"/>
      <w:marBottom w:val="0"/>
      <w:divBdr>
        <w:top w:val="none" w:sz="0" w:space="0" w:color="auto"/>
        <w:left w:val="none" w:sz="0" w:space="0" w:color="auto"/>
        <w:bottom w:val="none" w:sz="0" w:space="0" w:color="auto"/>
        <w:right w:val="none" w:sz="0" w:space="0" w:color="auto"/>
      </w:divBdr>
    </w:div>
    <w:div w:id="709459051">
      <w:bodyDiv w:val="1"/>
      <w:marLeft w:val="0"/>
      <w:marRight w:val="0"/>
      <w:marTop w:val="0"/>
      <w:marBottom w:val="0"/>
      <w:divBdr>
        <w:top w:val="none" w:sz="0" w:space="0" w:color="auto"/>
        <w:left w:val="none" w:sz="0" w:space="0" w:color="auto"/>
        <w:bottom w:val="none" w:sz="0" w:space="0" w:color="auto"/>
        <w:right w:val="none" w:sz="0" w:space="0" w:color="auto"/>
      </w:divBdr>
    </w:div>
    <w:div w:id="766922809">
      <w:bodyDiv w:val="1"/>
      <w:marLeft w:val="0"/>
      <w:marRight w:val="0"/>
      <w:marTop w:val="0"/>
      <w:marBottom w:val="0"/>
      <w:divBdr>
        <w:top w:val="none" w:sz="0" w:space="0" w:color="auto"/>
        <w:left w:val="none" w:sz="0" w:space="0" w:color="auto"/>
        <w:bottom w:val="none" w:sz="0" w:space="0" w:color="auto"/>
        <w:right w:val="none" w:sz="0" w:space="0" w:color="auto"/>
      </w:divBdr>
    </w:div>
    <w:div w:id="775908151">
      <w:bodyDiv w:val="1"/>
      <w:marLeft w:val="0"/>
      <w:marRight w:val="0"/>
      <w:marTop w:val="0"/>
      <w:marBottom w:val="0"/>
      <w:divBdr>
        <w:top w:val="none" w:sz="0" w:space="0" w:color="auto"/>
        <w:left w:val="none" w:sz="0" w:space="0" w:color="auto"/>
        <w:bottom w:val="none" w:sz="0" w:space="0" w:color="auto"/>
        <w:right w:val="none" w:sz="0" w:space="0" w:color="auto"/>
      </w:divBdr>
    </w:div>
    <w:div w:id="869297928">
      <w:bodyDiv w:val="1"/>
      <w:marLeft w:val="0"/>
      <w:marRight w:val="0"/>
      <w:marTop w:val="0"/>
      <w:marBottom w:val="0"/>
      <w:divBdr>
        <w:top w:val="none" w:sz="0" w:space="0" w:color="auto"/>
        <w:left w:val="none" w:sz="0" w:space="0" w:color="auto"/>
        <w:bottom w:val="none" w:sz="0" w:space="0" w:color="auto"/>
        <w:right w:val="none" w:sz="0" w:space="0" w:color="auto"/>
      </w:divBdr>
    </w:div>
    <w:div w:id="888952596">
      <w:bodyDiv w:val="1"/>
      <w:marLeft w:val="0"/>
      <w:marRight w:val="0"/>
      <w:marTop w:val="0"/>
      <w:marBottom w:val="0"/>
      <w:divBdr>
        <w:top w:val="none" w:sz="0" w:space="0" w:color="auto"/>
        <w:left w:val="none" w:sz="0" w:space="0" w:color="auto"/>
        <w:bottom w:val="none" w:sz="0" w:space="0" w:color="auto"/>
        <w:right w:val="none" w:sz="0" w:space="0" w:color="auto"/>
      </w:divBdr>
    </w:div>
    <w:div w:id="896891979">
      <w:bodyDiv w:val="1"/>
      <w:marLeft w:val="0"/>
      <w:marRight w:val="0"/>
      <w:marTop w:val="0"/>
      <w:marBottom w:val="0"/>
      <w:divBdr>
        <w:top w:val="none" w:sz="0" w:space="0" w:color="auto"/>
        <w:left w:val="none" w:sz="0" w:space="0" w:color="auto"/>
        <w:bottom w:val="none" w:sz="0" w:space="0" w:color="auto"/>
        <w:right w:val="none" w:sz="0" w:space="0" w:color="auto"/>
      </w:divBdr>
    </w:div>
    <w:div w:id="904872058">
      <w:bodyDiv w:val="1"/>
      <w:marLeft w:val="0"/>
      <w:marRight w:val="0"/>
      <w:marTop w:val="0"/>
      <w:marBottom w:val="0"/>
      <w:divBdr>
        <w:top w:val="none" w:sz="0" w:space="0" w:color="auto"/>
        <w:left w:val="none" w:sz="0" w:space="0" w:color="auto"/>
        <w:bottom w:val="none" w:sz="0" w:space="0" w:color="auto"/>
        <w:right w:val="none" w:sz="0" w:space="0" w:color="auto"/>
      </w:divBdr>
    </w:div>
    <w:div w:id="1118793062">
      <w:bodyDiv w:val="1"/>
      <w:marLeft w:val="0"/>
      <w:marRight w:val="0"/>
      <w:marTop w:val="0"/>
      <w:marBottom w:val="0"/>
      <w:divBdr>
        <w:top w:val="none" w:sz="0" w:space="0" w:color="auto"/>
        <w:left w:val="none" w:sz="0" w:space="0" w:color="auto"/>
        <w:bottom w:val="none" w:sz="0" w:space="0" w:color="auto"/>
        <w:right w:val="none" w:sz="0" w:space="0" w:color="auto"/>
      </w:divBdr>
    </w:div>
    <w:div w:id="1248462728">
      <w:bodyDiv w:val="1"/>
      <w:marLeft w:val="0"/>
      <w:marRight w:val="0"/>
      <w:marTop w:val="0"/>
      <w:marBottom w:val="0"/>
      <w:divBdr>
        <w:top w:val="none" w:sz="0" w:space="0" w:color="auto"/>
        <w:left w:val="none" w:sz="0" w:space="0" w:color="auto"/>
        <w:bottom w:val="none" w:sz="0" w:space="0" w:color="auto"/>
        <w:right w:val="none" w:sz="0" w:space="0" w:color="auto"/>
      </w:divBdr>
    </w:div>
    <w:div w:id="1379474672">
      <w:bodyDiv w:val="1"/>
      <w:marLeft w:val="0"/>
      <w:marRight w:val="0"/>
      <w:marTop w:val="0"/>
      <w:marBottom w:val="0"/>
      <w:divBdr>
        <w:top w:val="none" w:sz="0" w:space="0" w:color="auto"/>
        <w:left w:val="none" w:sz="0" w:space="0" w:color="auto"/>
        <w:bottom w:val="none" w:sz="0" w:space="0" w:color="auto"/>
        <w:right w:val="none" w:sz="0" w:space="0" w:color="auto"/>
      </w:divBdr>
    </w:div>
    <w:div w:id="1404912464">
      <w:bodyDiv w:val="1"/>
      <w:marLeft w:val="0"/>
      <w:marRight w:val="0"/>
      <w:marTop w:val="0"/>
      <w:marBottom w:val="0"/>
      <w:divBdr>
        <w:top w:val="none" w:sz="0" w:space="0" w:color="auto"/>
        <w:left w:val="none" w:sz="0" w:space="0" w:color="auto"/>
        <w:bottom w:val="none" w:sz="0" w:space="0" w:color="auto"/>
        <w:right w:val="none" w:sz="0" w:space="0" w:color="auto"/>
      </w:divBdr>
    </w:div>
    <w:div w:id="1407066267">
      <w:bodyDiv w:val="1"/>
      <w:marLeft w:val="0"/>
      <w:marRight w:val="0"/>
      <w:marTop w:val="0"/>
      <w:marBottom w:val="0"/>
      <w:divBdr>
        <w:top w:val="none" w:sz="0" w:space="0" w:color="auto"/>
        <w:left w:val="none" w:sz="0" w:space="0" w:color="auto"/>
        <w:bottom w:val="none" w:sz="0" w:space="0" w:color="auto"/>
        <w:right w:val="none" w:sz="0" w:space="0" w:color="auto"/>
      </w:divBdr>
    </w:div>
    <w:div w:id="1477380984">
      <w:bodyDiv w:val="1"/>
      <w:marLeft w:val="0"/>
      <w:marRight w:val="0"/>
      <w:marTop w:val="0"/>
      <w:marBottom w:val="0"/>
      <w:divBdr>
        <w:top w:val="none" w:sz="0" w:space="0" w:color="auto"/>
        <w:left w:val="none" w:sz="0" w:space="0" w:color="auto"/>
        <w:bottom w:val="none" w:sz="0" w:space="0" w:color="auto"/>
        <w:right w:val="none" w:sz="0" w:space="0" w:color="auto"/>
      </w:divBdr>
    </w:div>
    <w:div w:id="1509364610">
      <w:bodyDiv w:val="1"/>
      <w:marLeft w:val="0"/>
      <w:marRight w:val="0"/>
      <w:marTop w:val="0"/>
      <w:marBottom w:val="0"/>
      <w:divBdr>
        <w:top w:val="none" w:sz="0" w:space="0" w:color="auto"/>
        <w:left w:val="none" w:sz="0" w:space="0" w:color="auto"/>
        <w:bottom w:val="none" w:sz="0" w:space="0" w:color="auto"/>
        <w:right w:val="none" w:sz="0" w:space="0" w:color="auto"/>
      </w:divBdr>
    </w:div>
    <w:div w:id="1509833989">
      <w:bodyDiv w:val="1"/>
      <w:marLeft w:val="0"/>
      <w:marRight w:val="0"/>
      <w:marTop w:val="0"/>
      <w:marBottom w:val="0"/>
      <w:divBdr>
        <w:top w:val="none" w:sz="0" w:space="0" w:color="auto"/>
        <w:left w:val="none" w:sz="0" w:space="0" w:color="auto"/>
        <w:bottom w:val="none" w:sz="0" w:space="0" w:color="auto"/>
        <w:right w:val="none" w:sz="0" w:space="0" w:color="auto"/>
      </w:divBdr>
    </w:div>
    <w:div w:id="1539777931">
      <w:bodyDiv w:val="1"/>
      <w:marLeft w:val="0"/>
      <w:marRight w:val="0"/>
      <w:marTop w:val="0"/>
      <w:marBottom w:val="0"/>
      <w:divBdr>
        <w:top w:val="none" w:sz="0" w:space="0" w:color="auto"/>
        <w:left w:val="none" w:sz="0" w:space="0" w:color="auto"/>
        <w:bottom w:val="none" w:sz="0" w:space="0" w:color="auto"/>
        <w:right w:val="none" w:sz="0" w:space="0" w:color="auto"/>
      </w:divBdr>
    </w:div>
    <w:div w:id="1543052654">
      <w:bodyDiv w:val="1"/>
      <w:marLeft w:val="0"/>
      <w:marRight w:val="0"/>
      <w:marTop w:val="0"/>
      <w:marBottom w:val="0"/>
      <w:divBdr>
        <w:top w:val="none" w:sz="0" w:space="0" w:color="auto"/>
        <w:left w:val="none" w:sz="0" w:space="0" w:color="auto"/>
        <w:bottom w:val="none" w:sz="0" w:space="0" w:color="auto"/>
        <w:right w:val="none" w:sz="0" w:space="0" w:color="auto"/>
      </w:divBdr>
    </w:div>
    <w:div w:id="1581597855">
      <w:bodyDiv w:val="1"/>
      <w:marLeft w:val="0"/>
      <w:marRight w:val="0"/>
      <w:marTop w:val="0"/>
      <w:marBottom w:val="0"/>
      <w:divBdr>
        <w:top w:val="none" w:sz="0" w:space="0" w:color="auto"/>
        <w:left w:val="none" w:sz="0" w:space="0" w:color="auto"/>
        <w:bottom w:val="none" w:sz="0" w:space="0" w:color="auto"/>
        <w:right w:val="none" w:sz="0" w:space="0" w:color="auto"/>
      </w:divBdr>
    </w:div>
    <w:div w:id="1662082883">
      <w:bodyDiv w:val="1"/>
      <w:marLeft w:val="0"/>
      <w:marRight w:val="0"/>
      <w:marTop w:val="0"/>
      <w:marBottom w:val="0"/>
      <w:divBdr>
        <w:top w:val="none" w:sz="0" w:space="0" w:color="auto"/>
        <w:left w:val="none" w:sz="0" w:space="0" w:color="auto"/>
        <w:bottom w:val="none" w:sz="0" w:space="0" w:color="auto"/>
        <w:right w:val="none" w:sz="0" w:space="0" w:color="auto"/>
      </w:divBdr>
    </w:div>
    <w:div w:id="1733691685">
      <w:bodyDiv w:val="1"/>
      <w:marLeft w:val="0"/>
      <w:marRight w:val="0"/>
      <w:marTop w:val="0"/>
      <w:marBottom w:val="0"/>
      <w:divBdr>
        <w:top w:val="none" w:sz="0" w:space="0" w:color="auto"/>
        <w:left w:val="none" w:sz="0" w:space="0" w:color="auto"/>
        <w:bottom w:val="none" w:sz="0" w:space="0" w:color="auto"/>
        <w:right w:val="none" w:sz="0" w:space="0" w:color="auto"/>
      </w:divBdr>
    </w:div>
    <w:div w:id="1763336983">
      <w:bodyDiv w:val="1"/>
      <w:marLeft w:val="0"/>
      <w:marRight w:val="0"/>
      <w:marTop w:val="0"/>
      <w:marBottom w:val="0"/>
      <w:divBdr>
        <w:top w:val="none" w:sz="0" w:space="0" w:color="auto"/>
        <w:left w:val="none" w:sz="0" w:space="0" w:color="auto"/>
        <w:bottom w:val="none" w:sz="0" w:space="0" w:color="auto"/>
        <w:right w:val="none" w:sz="0" w:space="0" w:color="auto"/>
      </w:divBdr>
    </w:div>
    <w:div w:id="1772118391">
      <w:bodyDiv w:val="1"/>
      <w:marLeft w:val="0"/>
      <w:marRight w:val="0"/>
      <w:marTop w:val="0"/>
      <w:marBottom w:val="0"/>
      <w:divBdr>
        <w:top w:val="none" w:sz="0" w:space="0" w:color="auto"/>
        <w:left w:val="none" w:sz="0" w:space="0" w:color="auto"/>
        <w:bottom w:val="none" w:sz="0" w:space="0" w:color="auto"/>
        <w:right w:val="none" w:sz="0" w:space="0" w:color="auto"/>
      </w:divBdr>
    </w:div>
    <w:div w:id="2016612202">
      <w:bodyDiv w:val="1"/>
      <w:marLeft w:val="0"/>
      <w:marRight w:val="0"/>
      <w:marTop w:val="0"/>
      <w:marBottom w:val="0"/>
      <w:divBdr>
        <w:top w:val="none" w:sz="0" w:space="0" w:color="auto"/>
        <w:left w:val="none" w:sz="0" w:space="0" w:color="auto"/>
        <w:bottom w:val="none" w:sz="0" w:space="0" w:color="auto"/>
        <w:right w:val="none" w:sz="0" w:space="0" w:color="auto"/>
      </w:divBdr>
    </w:div>
    <w:div w:id="2026125693">
      <w:bodyDiv w:val="1"/>
      <w:marLeft w:val="0"/>
      <w:marRight w:val="0"/>
      <w:marTop w:val="0"/>
      <w:marBottom w:val="0"/>
      <w:divBdr>
        <w:top w:val="none" w:sz="0" w:space="0" w:color="auto"/>
        <w:left w:val="none" w:sz="0" w:space="0" w:color="auto"/>
        <w:bottom w:val="none" w:sz="0" w:space="0" w:color="auto"/>
        <w:right w:val="none" w:sz="0" w:space="0" w:color="auto"/>
      </w:divBdr>
    </w:div>
    <w:div w:id="2033728584">
      <w:bodyDiv w:val="1"/>
      <w:marLeft w:val="0"/>
      <w:marRight w:val="0"/>
      <w:marTop w:val="0"/>
      <w:marBottom w:val="0"/>
      <w:divBdr>
        <w:top w:val="none" w:sz="0" w:space="0" w:color="auto"/>
        <w:left w:val="none" w:sz="0" w:space="0" w:color="auto"/>
        <w:bottom w:val="none" w:sz="0" w:space="0" w:color="auto"/>
        <w:right w:val="none" w:sz="0" w:space="0" w:color="auto"/>
      </w:divBdr>
    </w:div>
    <w:div w:id="2040280892">
      <w:bodyDiv w:val="1"/>
      <w:marLeft w:val="0"/>
      <w:marRight w:val="0"/>
      <w:marTop w:val="0"/>
      <w:marBottom w:val="0"/>
      <w:divBdr>
        <w:top w:val="none" w:sz="0" w:space="0" w:color="auto"/>
        <w:left w:val="none" w:sz="0" w:space="0" w:color="auto"/>
        <w:bottom w:val="none" w:sz="0" w:space="0" w:color="auto"/>
        <w:right w:val="none" w:sz="0" w:space="0" w:color="auto"/>
      </w:divBdr>
    </w:div>
    <w:div w:id="2045053198">
      <w:bodyDiv w:val="1"/>
      <w:marLeft w:val="0"/>
      <w:marRight w:val="0"/>
      <w:marTop w:val="0"/>
      <w:marBottom w:val="0"/>
      <w:divBdr>
        <w:top w:val="none" w:sz="0" w:space="0" w:color="auto"/>
        <w:left w:val="none" w:sz="0" w:space="0" w:color="auto"/>
        <w:bottom w:val="none" w:sz="0" w:space="0" w:color="auto"/>
        <w:right w:val="none" w:sz="0" w:space="0" w:color="auto"/>
      </w:divBdr>
    </w:div>
    <w:div w:id="212398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117" Type="http://schemas.openxmlformats.org/officeDocument/2006/relationships/hyperlink" Target="http://www.enterprisesurveys.org/" TargetMode="External"/><Relationship Id="rId21" Type="http://schemas.openxmlformats.org/officeDocument/2006/relationships/hyperlink" Target="http://www.ilo.org/global/research/global-reports/weso/2015/lang--en/index.htm" TargetMode="External"/><Relationship Id="rId42" Type="http://schemas.openxmlformats.org/officeDocument/2006/relationships/chart" Target="charts/chart12.xml"/><Relationship Id="rId47" Type="http://schemas.openxmlformats.org/officeDocument/2006/relationships/image" Target="media/image2.png"/><Relationship Id="rId63" Type="http://schemas.openxmlformats.org/officeDocument/2006/relationships/chart" Target="charts/chart24.xml"/><Relationship Id="rId68" Type="http://schemas.openxmlformats.org/officeDocument/2006/relationships/image" Target="media/image12.png"/><Relationship Id="rId84" Type="http://schemas.openxmlformats.org/officeDocument/2006/relationships/hyperlink" Target="http://www.atlas.cid.harvard.edu" TargetMode="External"/><Relationship Id="rId89" Type="http://schemas.openxmlformats.org/officeDocument/2006/relationships/chart" Target="charts/chart34.xml"/><Relationship Id="rId112" Type="http://schemas.openxmlformats.org/officeDocument/2006/relationships/chart" Target="charts/chart50.xml"/><Relationship Id="rId16" Type="http://schemas.openxmlformats.org/officeDocument/2006/relationships/footer" Target="footer2.xml"/><Relationship Id="rId107" Type="http://schemas.openxmlformats.org/officeDocument/2006/relationships/chart" Target="charts/chart45.xml"/><Relationship Id="rId11" Type="http://schemas.openxmlformats.org/officeDocument/2006/relationships/footnotes" Target="footnotes.xml"/><Relationship Id="rId24" Type="http://schemas.openxmlformats.org/officeDocument/2006/relationships/chart" Target="charts/chart1.xml"/><Relationship Id="rId32" Type="http://schemas.openxmlformats.org/officeDocument/2006/relationships/hyperlink" Target="https://data.un.org/search.aspx?q=gross+value+added+datamart%5bsnaama%5d" TargetMode="External"/><Relationship Id="rId37" Type="http://schemas.openxmlformats.org/officeDocument/2006/relationships/hyperlink" Target="https://data.un.org/search.aspx?q=gross+value+added+datamart%5bsnaama%5d" TargetMode="External"/><Relationship Id="rId40" Type="http://schemas.openxmlformats.org/officeDocument/2006/relationships/chart" Target="charts/chart11.xml"/><Relationship Id="rId45" Type="http://schemas.openxmlformats.org/officeDocument/2006/relationships/chart" Target="charts/chart13.xml"/><Relationship Id="rId53" Type="http://schemas.openxmlformats.org/officeDocument/2006/relationships/chart" Target="charts/chart18.xml"/><Relationship Id="rId58" Type="http://schemas.openxmlformats.org/officeDocument/2006/relationships/chart" Target="charts/chart19.xml"/><Relationship Id="rId66" Type="http://schemas.openxmlformats.org/officeDocument/2006/relationships/image" Target="media/image10.png"/><Relationship Id="rId74" Type="http://schemas.openxmlformats.org/officeDocument/2006/relationships/image" Target="media/image15.png"/><Relationship Id="rId79" Type="http://schemas.openxmlformats.org/officeDocument/2006/relationships/chart" Target="charts/chart29.xml"/><Relationship Id="rId87" Type="http://schemas.openxmlformats.org/officeDocument/2006/relationships/chart" Target="charts/chart32.xml"/><Relationship Id="rId102" Type="http://schemas.openxmlformats.org/officeDocument/2006/relationships/chart" Target="charts/chart40.xml"/><Relationship Id="rId110" Type="http://schemas.openxmlformats.org/officeDocument/2006/relationships/chart" Target="charts/chart48.xml"/><Relationship Id="rId115" Type="http://schemas.openxmlformats.org/officeDocument/2006/relationships/hyperlink" Target="http://www.enterprisesurveys.org/" TargetMode="External"/><Relationship Id="rId5" Type="http://schemas.openxmlformats.org/officeDocument/2006/relationships/customXml" Target="../customXml/item4.xml"/><Relationship Id="rId61" Type="http://schemas.openxmlformats.org/officeDocument/2006/relationships/chart" Target="charts/chart22.xml"/><Relationship Id="rId82" Type="http://schemas.openxmlformats.org/officeDocument/2006/relationships/image" Target="media/image16.png"/><Relationship Id="rId90" Type="http://schemas.openxmlformats.org/officeDocument/2006/relationships/image" Target="media/image20.png"/><Relationship Id="rId95" Type="http://schemas.openxmlformats.org/officeDocument/2006/relationships/chart" Target="charts/chart35.xml"/><Relationship Id="rId19" Type="http://schemas.openxmlformats.org/officeDocument/2006/relationships/hyperlink" Target="http://www.rug.nl/research/ggdc/data/africa-sector-database" TargetMode="Externa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hyperlink" Target="http://www.rug.nl/research/ggdc/data/africa-sector-database" TargetMode="External"/><Relationship Id="rId30" Type="http://schemas.openxmlformats.org/officeDocument/2006/relationships/chart" Target="charts/chart6.xml"/><Relationship Id="rId35" Type="http://schemas.openxmlformats.org/officeDocument/2006/relationships/hyperlink" Target="http://www.rug.nl/research/ggdc/data/africa-sector-database" TargetMode="External"/><Relationship Id="rId43" Type="http://schemas.openxmlformats.org/officeDocument/2006/relationships/hyperlink" Target="https://data.un.org/search.aspx?q=gross+value+added+datamart%5bsnaama%5d" TargetMode="External"/><Relationship Id="rId48" Type="http://schemas.openxmlformats.org/officeDocument/2006/relationships/image" Target="media/image3.png"/><Relationship Id="rId56" Type="http://schemas.openxmlformats.org/officeDocument/2006/relationships/image" Target="media/image6.png"/><Relationship Id="rId64" Type="http://schemas.openxmlformats.org/officeDocument/2006/relationships/image" Target="media/image8.png"/><Relationship Id="rId69" Type="http://schemas.openxmlformats.org/officeDocument/2006/relationships/image" Target="media/image13.png"/><Relationship Id="rId77" Type="http://schemas.openxmlformats.org/officeDocument/2006/relationships/hyperlink" Target="http://www.nber.org/papers/w20077" TargetMode="External"/><Relationship Id="rId100" Type="http://schemas.openxmlformats.org/officeDocument/2006/relationships/chart" Target="charts/chart38.xml"/><Relationship Id="rId105" Type="http://schemas.openxmlformats.org/officeDocument/2006/relationships/chart" Target="charts/chart43.xml"/><Relationship Id="rId113" Type="http://schemas.openxmlformats.org/officeDocument/2006/relationships/chart" Target="charts/chart51.xml"/><Relationship Id="rId118"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chart" Target="charts/chart16.xml"/><Relationship Id="rId72" Type="http://schemas.openxmlformats.org/officeDocument/2006/relationships/chart" Target="charts/chart26.xml"/><Relationship Id="rId80" Type="http://schemas.openxmlformats.org/officeDocument/2006/relationships/chart" Target="charts/chart30.xml"/><Relationship Id="rId85" Type="http://schemas.openxmlformats.org/officeDocument/2006/relationships/image" Target="media/image18.png"/><Relationship Id="rId93" Type="http://schemas.openxmlformats.org/officeDocument/2006/relationships/image" Target="media/image22.png"/><Relationship Id="rId98" Type="http://schemas.openxmlformats.org/officeDocument/2006/relationships/hyperlink" Target="http://www.imf.org/external/np/res/dfidimf/diversification.htm" TargetMode="Externa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yperlink" Target="http://www.rug.nl/research/ggdc/data/africa-sector-database" TargetMode="External"/><Relationship Id="rId25" Type="http://schemas.openxmlformats.org/officeDocument/2006/relationships/chart" Target="charts/chart2.xml"/><Relationship Id="rId33" Type="http://schemas.openxmlformats.org/officeDocument/2006/relationships/hyperlink" Target="http://www.ilo.org/global/research/global-reports/weso/2015/lang--en/index.htm" TargetMode="External"/><Relationship Id="rId38" Type="http://schemas.openxmlformats.org/officeDocument/2006/relationships/hyperlink" Target="http://www.ilo.org/global/research/global-reports/weso/2015/lang--en/index.htm" TargetMode="External"/><Relationship Id="rId46" Type="http://schemas.openxmlformats.org/officeDocument/2006/relationships/chart" Target="charts/chart14.xml"/><Relationship Id="rId59" Type="http://schemas.openxmlformats.org/officeDocument/2006/relationships/chart" Target="charts/chart20.xml"/><Relationship Id="rId67" Type="http://schemas.openxmlformats.org/officeDocument/2006/relationships/image" Target="media/image11.png"/><Relationship Id="rId103" Type="http://schemas.openxmlformats.org/officeDocument/2006/relationships/chart" Target="charts/chart41.xml"/><Relationship Id="rId108" Type="http://schemas.openxmlformats.org/officeDocument/2006/relationships/chart" Target="charts/chart46.xml"/><Relationship Id="rId116" Type="http://schemas.openxmlformats.org/officeDocument/2006/relationships/image" Target="media/image25.emf"/><Relationship Id="rId20" Type="http://schemas.openxmlformats.org/officeDocument/2006/relationships/hyperlink" Target="https://data.un.org/search.aspx?q=gross+value+added+datamart%5bsnaama%5d" TargetMode="External"/><Relationship Id="rId41" Type="http://schemas.openxmlformats.org/officeDocument/2006/relationships/hyperlink" Target="http://www.rug.nl/research/ggdc/data/africa-sector-database" TargetMode="External"/><Relationship Id="rId54" Type="http://schemas.openxmlformats.org/officeDocument/2006/relationships/image" Target="media/image4.png"/><Relationship Id="rId62" Type="http://schemas.openxmlformats.org/officeDocument/2006/relationships/chart" Target="charts/chart23.xml"/><Relationship Id="rId70" Type="http://schemas.openxmlformats.org/officeDocument/2006/relationships/hyperlink" Target="http://www.rug.nl/research/ggdc/data/africa-sector-database" TargetMode="External"/><Relationship Id="rId75" Type="http://schemas.openxmlformats.org/officeDocument/2006/relationships/hyperlink" Target="http://www.ilo.org/global/research/global-reports/weso/2015/lang--en/index.htm" TargetMode="External"/><Relationship Id="rId83" Type="http://schemas.openxmlformats.org/officeDocument/2006/relationships/image" Target="media/image17.png"/><Relationship Id="rId88" Type="http://schemas.openxmlformats.org/officeDocument/2006/relationships/chart" Target="charts/chart33.xml"/><Relationship Id="rId91" Type="http://schemas.openxmlformats.org/officeDocument/2006/relationships/image" Target="media/image21.png"/><Relationship Id="rId96" Type="http://schemas.openxmlformats.org/officeDocument/2006/relationships/hyperlink" Target="http://www.imf.org/external/np/res/dfidimf/diversification.htm" TargetMode="External"/><Relationship Id="rId111" Type="http://schemas.openxmlformats.org/officeDocument/2006/relationships/chart" Target="charts/chart49.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chart" Target="charts/chart4.xml"/><Relationship Id="rId36" Type="http://schemas.openxmlformats.org/officeDocument/2006/relationships/chart" Target="charts/chart9.xml"/><Relationship Id="rId49" Type="http://schemas.openxmlformats.org/officeDocument/2006/relationships/hyperlink" Target="http://www.ilo.org/global/research/global-reports/global-employment-trends/2014/WCMS_234879/lang--en/index.htm" TargetMode="External"/><Relationship Id="rId57" Type="http://schemas.openxmlformats.org/officeDocument/2006/relationships/image" Target="media/image7.png"/><Relationship Id="rId106" Type="http://schemas.openxmlformats.org/officeDocument/2006/relationships/chart" Target="charts/chart44.xml"/><Relationship Id="rId114" Type="http://schemas.openxmlformats.org/officeDocument/2006/relationships/image" Target="media/image24.emf"/><Relationship Id="rId119"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chart" Target="charts/chart7.xml"/><Relationship Id="rId44" Type="http://schemas.openxmlformats.org/officeDocument/2006/relationships/hyperlink" Target="http://www.ilo.org/global/research/global-reports/weso/2015/lang--en/index.htm" TargetMode="External"/><Relationship Id="rId52" Type="http://schemas.openxmlformats.org/officeDocument/2006/relationships/chart" Target="charts/chart17.xml"/><Relationship Id="rId60" Type="http://schemas.openxmlformats.org/officeDocument/2006/relationships/chart" Target="charts/chart21.xml"/><Relationship Id="rId65" Type="http://schemas.openxmlformats.org/officeDocument/2006/relationships/image" Target="media/image9.png"/><Relationship Id="rId73" Type="http://schemas.openxmlformats.org/officeDocument/2006/relationships/image" Target="media/image14.png"/><Relationship Id="rId78" Type="http://schemas.openxmlformats.org/officeDocument/2006/relationships/chart" Target="charts/chart28.xml"/><Relationship Id="rId81" Type="http://schemas.openxmlformats.org/officeDocument/2006/relationships/chart" Target="charts/chart31.xml"/><Relationship Id="rId86" Type="http://schemas.openxmlformats.org/officeDocument/2006/relationships/image" Target="media/image19.png"/><Relationship Id="rId94" Type="http://schemas.openxmlformats.org/officeDocument/2006/relationships/image" Target="media/image23.png"/><Relationship Id="rId99" Type="http://schemas.openxmlformats.org/officeDocument/2006/relationships/chart" Target="charts/chart37.xml"/><Relationship Id="rId101" Type="http://schemas.openxmlformats.org/officeDocument/2006/relationships/chart" Target="charts/chart39.xm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data.un.org/search.aspx?q=gross+value+added+datamart%5bsnaama%5d" TargetMode="External"/><Relationship Id="rId39" Type="http://schemas.openxmlformats.org/officeDocument/2006/relationships/chart" Target="charts/chart10.xml"/><Relationship Id="rId109" Type="http://schemas.openxmlformats.org/officeDocument/2006/relationships/chart" Target="charts/chart47.xml"/><Relationship Id="rId34" Type="http://schemas.openxmlformats.org/officeDocument/2006/relationships/chart" Target="charts/chart8.xml"/><Relationship Id="rId50" Type="http://schemas.openxmlformats.org/officeDocument/2006/relationships/chart" Target="charts/chart15.xml"/><Relationship Id="rId55" Type="http://schemas.openxmlformats.org/officeDocument/2006/relationships/image" Target="media/image5.png"/><Relationship Id="rId76" Type="http://schemas.openxmlformats.org/officeDocument/2006/relationships/chart" Target="charts/chart27.xml"/><Relationship Id="rId97" Type="http://schemas.openxmlformats.org/officeDocument/2006/relationships/chart" Target="charts/chart36.xml"/><Relationship Id="rId104" Type="http://schemas.openxmlformats.org/officeDocument/2006/relationships/chart" Target="charts/chart42.xml"/><Relationship Id="rId7" Type="http://schemas.openxmlformats.org/officeDocument/2006/relationships/styles" Target="styles.xml"/><Relationship Id="rId71" Type="http://schemas.openxmlformats.org/officeDocument/2006/relationships/chart" Target="charts/chart25.xml"/><Relationship Id="rId92" Type="http://schemas.openxmlformats.org/officeDocument/2006/relationships/hyperlink" Target="http://www.atlas.cid.harvard.edu" TargetMode="External"/><Relationship Id="rId2" Type="http://schemas.openxmlformats.org/officeDocument/2006/relationships/customXml" Target="../customXml/item1.xml"/><Relationship Id="rId29" Type="http://schemas.openxmlformats.org/officeDocument/2006/relationships/chart" Target="charts/chart5.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jkennan\Documents\1%20ODI\000%20DW%20DFID%20SET\JK%20SET%20productivity%20master.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Economic%20structures%20TFP%20and%20wages%20excels/Tanzania%20-%20non-trad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kennan\Documents\1%20ODI\000%20DW%20DFID%20SET\JK%20SET%20productivity%20master.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Tanzania%20labour%20productivity%20V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Tanzania%20-%20economic%20structure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Tanzania%20-%20economic%20structure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Tanzania%20-%20economic%20structure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Tanzania%20-%20economic%20structure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Tanzania%20-%20economic%20structure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Tanzania%20-%20economic%20structure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Tanzania%20-%20economic%20structur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kennan\Documents\1%20ODI\000%20DW%20DFID%20SET\JK%20SET%20productivity%20master.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Tanzania%20-%20economic%20structure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Tanzania%20-%20economic%20structure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Tanzania%20-%20economic%20structure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Tanzania%20-%20economic%20structure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Tanzania%20-%20economic%20structure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Tanzania%20labour%20productivity%20V3.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Tanzania%20labour%20productivity%20V3.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Tanzania%20-%20economic%20structure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Tanzania%20-%20Trade.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jkennan\Documents\1%20ODI\000%20DW%20DFID%20SET\Country%20trade%20data\Tanzani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kennan\Documents\1%20ODI\000%20DW%20DFID%20SET\JK%20SET%20productivity%20master.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jkennan\Documents\1%20ODI\000%20DW%20DFID%20SET\Country%20trade%20data\Tanzania.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Tanzania%20-%20Trade.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jkennan\Documents\1%20ODI\000%20DW%20DFID%20SET\Country%20trade%20data\Tanzania.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jkennan\Documents\1%20ODI\000%20DW%20DFID%20SET\Country%20trade%20data\Tanzania.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Tanzania%20-%20Trade.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Tanzania.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Tanzania.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jkennan\Documents\1%20ODI\000%20DW%20DFID%20SET\Country%20trade%20data\Tanzania.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jkennan\Documents\1%20ODI\000%20DW%20DFID%20SET\Country%20trade%20data\Tanzania.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20(P-Z).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Tanzania%20labour%20productivity%20V3.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Tanzania%20-%20Trade.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20(P-Z).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20(P-Z).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Tanzania%20-%20Trade.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20(P-Z).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20(P-Z).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20(P-Z).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Tanzania%20-%20Trade.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20(P-Z).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20(P-Z).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Tanzania%20labour%20productivity%20V3.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jkennan\Documents\1%20ODI\0182900F%20DW%20DFID%20SET\Indicator%20files%20-%20May%202015\Exports%20of%20goods%20and%20services.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jkennan\Documents\1%20ODI\0182900F%20DW%20DFID%20SET\Indicator%20files%20-%20May%202015\Services%20exports%20by%20sector%20(%2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Tanzania%20labour%20productivity%20V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Tanzania%20labour%20productivity%20V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Economic%20structures%20TFP%20and%20wages%20excels/Tanzania%20-%20non-trad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Tanzania%20labour%20productivity%20V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1990-2000</a:t>
            </a:r>
          </a:p>
        </c:rich>
      </c:tx>
      <c:overlay val="0"/>
    </c:title>
    <c:autoTitleDeleted val="0"/>
    <c:plotArea>
      <c:layout/>
      <c:bubbleChart>
        <c:varyColors val="0"/>
        <c:ser>
          <c:idx val="0"/>
          <c:order val="0"/>
          <c:tx>
            <c:strRef>
              <c:f>Tanzania!$AA$48</c:f>
              <c:strCache>
                <c:ptCount val="1"/>
                <c:pt idx="0">
                  <c:v>Agriculture</c:v>
                </c:pt>
              </c:strCache>
            </c:strRef>
          </c:tx>
          <c:spPr>
            <a:solidFill>
              <a:srgbClr val="0000FF"/>
            </a:solidFill>
          </c:spPr>
          <c:invertIfNegative val="0"/>
          <c:xVal>
            <c:numRef>
              <c:f>Tanzania!$AB$48</c:f>
              <c:numCache>
                <c:formatCode>0.0</c:formatCode>
                <c:ptCount val="1"/>
                <c:pt idx="0">
                  <c:v>-2.5820918363780407</c:v>
                </c:pt>
              </c:numCache>
            </c:numRef>
          </c:xVal>
          <c:yVal>
            <c:numRef>
              <c:f>Tanzania!$AC$48</c:f>
              <c:numCache>
                <c:formatCode>0.0</c:formatCode>
                <c:ptCount val="1"/>
                <c:pt idx="0">
                  <c:v>0.4593796485372304</c:v>
                </c:pt>
              </c:numCache>
            </c:numRef>
          </c:yVal>
          <c:bubbleSize>
            <c:numRef>
              <c:f>Tanzania!$AE$48</c:f>
              <c:numCache>
                <c:formatCode>#,##0</c:formatCode>
                <c:ptCount val="1"/>
                <c:pt idx="0">
                  <c:v>11284.537585368389</c:v>
                </c:pt>
              </c:numCache>
            </c:numRef>
          </c:bubbleSize>
          <c:bubble3D val="1"/>
        </c:ser>
        <c:ser>
          <c:idx val="1"/>
          <c:order val="1"/>
          <c:tx>
            <c:strRef>
              <c:f>Tanzania!$AA$49</c:f>
              <c:strCache>
                <c:ptCount val="1"/>
                <c:pt idx="0">
                  <c:v>Mining</c:v>
                </c:pt>
              </c:strCache>
            </c:strRef>
          </c:tx>
          <c:spPr>
            <a:solidFill>
              <a:srgbClr val="FF0000"/>
            </a:solidFill>
            <a:ln w="25400">
              <a:noFill/>
            </a:ln>
          </c:spPr>
          <c:invertIfNegative val="0"/>
          <c:xVal>
            <c:numRef>
              <c:f>Tanzania!$AB$49</c:f>
              <c:numCache>
                <c:formatCode>0.0</c:formatCode>
                <c:ptCount val="1"/>
                <c:pt idx="0">
                  <c:v>6.3581799534050965E-2</c:v>
                </c:pt>
              </c:numCache>
            </c:numRef>
          </c:xVal>
          <c:yVal>
            <c:numRef>
              <c:f>Tanzania!$AC$49</c:f>
              <c:numCache>
                <c:formatCode>0.0</c:formatCode>
                <c:ptCount val="1"/>
                <c:pt idx="0">
                  <c:v>4.4882555958134613</c:v>
                </c:pt>
              </c:numCache>
            </c:numRef>
          </c:yVal>
          <c:bubbleSize>
            <c:numRef>
              <c:f>Tanzania!$AE$49</c:f>
              <c:numCache>
                <c:formatCode>#,##0</c:formatCode>
                <c:ptCount val="1"/>
                <c:pt idx="0">
                  <c:v>68.033613001122205</c:v>
                </c:pt>
              </c:numCache>
            </c:numRef>
          </c:bubbleSize>
          <c:bubble3D val="1"/>
        </c:ser>
        <c:ser>
          <c:idx val="2"/>
          <c:order val="2"/>
          <c:tx>
            <c:strRef>
              <c:f>Tanzania!$AA$50</c:f>
              <c:strCache>
                <c:ptCount val="1"/>
                <c:pt idx="0">
                  <c:v>Manufacturing</c:v>
                </c:pt>
              </c:strCache>
            </c:strRef>
          </c:tx>
          <c:spPr>
            <a:solidFill>
              <a:srgbClr val="00B050"/>
            </a:solidFill>
            <a:ln w="25400">
              <a:noFill/>
            </a:ln>
          </c:spPr>
          <c:invertIfNegative val="0"/>
          <c:xVal>
            <c:numRef>
              <c:f>Tanzania!$AB$50</c:f>
              <c:numCache>
                <c:formatCode>0.0</c:formatCode>
                <c:ptCount val="1"/>
                <c:pt idx="0">
                  <c:v>0.30172045577734119</c:v>
                </c:pt>
              </c:numCache>
            </c:numRef>
          </c:xVal>
          <c:yVal>
            <c:numRef>
              <c:f>Tanzania!$AC$50</c:f>
              <c:numCache>
                <c:formatCode>0.0</c:formatCode>
                <c:ptCount val="1"/>
                <c:pt idx="0">
                  <c:v>5.3262369010016615</c:v>
                </c:pt>
              </c:numCache>
            </c:numRef>
          </c:yVal>
          <c:bubbleSize>
            <c:numRef>
              <c:f>Tanzania!$AE$50</c:f>
              <c:numCache>
                <c:formatCode>#,##0</c:formatCode>
                <c:ptCount val="1"/>
                <c:pt idx="0">
                  <c:v>226.66394774164561</c:v>
                </c:pt>
              </c:numCache>
            </c:numRef>
          </c:bubbleSize>
          <c:bubble3D val="1"/>
        </c:ser>
        <c:ser>
          <c:idx val="3"/>
          <c:order val="3"/>
          <c:tx>
            <c:strRef>
              <c:f>Tanzania!$AA$51</c:f>
              <c:strCache>
                <c:ptCount val="1"/>
                <c:pt idx="0">
                  <c:v>Utilities</c:v>
                </c:pt>
              </c:strCache>
            </c:strRef>
          </c:tx>
          <c:spPr>
            <a:solidFill>
              <a:srgbClr val="FFFF00"/>
            </a:solidFill>
            <a:ln w="25400">
              <a:noFill/>
            </a:ln>
          </c:spPr>
          <c:invertIfNegative val="0"/>
          <c:xVal>
            <c:numRef>
              <c:f>Tanzania!$AB$51</c:f>
              <c:numCache>
                <c:formatCode>0.0</c:formatCode>
                <c:ptCount val="1"/>
                <c:pt idx="0">
                  <c:v>0.15440511291281106</c:v>
                </c:pt>
              </c:numCache>
            </c:numRef>
          </c:xVal>
          <c:yVal>
            <c:numRef>
              <c:f>Tanzania!$AC$51</c:f>
              <c:numCache>
                <c:formatCode>0.0</c:formatCode>
                <c:ptCount val="1"/>
                <c:pt idx="0">
                  <c:v>10.754447119492516</c:v>
                </c:pt>
              </c:numCache>
            </c:numRef>
          </c:yVal>
          <c:bubbleSize>
            <c:numRef>
              <c:f>Tanzania!$AE$51</c:f>
              <c:numCache>
                <c:formatCode>#,##0</c:formatCode>
                <c:ptCount val="1"/>
                <c:pt idx="0">
                  <c:v>32.512272527183121</c:v>
                </c:pt>
              </c:numCache>
            </c:numRef>
          </c:bubbleSize>
          <c:bubble3D val="1"/>
        </c:ser>
        <c:ser>
          <c:idx val="4"/>
          <c:order val="4"/>
          <c:tx>
            <c:strRef>
              <c:f>Tanzania!$AA$52</c:f>
              <c:strCache>
                <c:ptCount val="1"/>
                <c:pt idx="0">
                  <c:v>Construction</c:v>
                </c:pt>
              </c:strCache>
            </c:strRef>
          </c:tx>
          <c:spPr>
            <a:solidFill>
              <a:srgbClr val="6600FF"/>
            </a:solidFill>
            <a:ln w="25400">
              <a:noFill/>
            </a:ln>
          </c:spPr>
          <c:invertIfNegative val="0"/>
          <c:xVal>
            <c:numRef>
              <c:f>Tanzania!$AB$52</c:f>
              <c:numCache>
                <c:formatCode>0.0</c:formatCode>
                <c:ptCount val="1"/>
                <c:pt idx="0">
                  <c:v>5.7067901686128852E-2</c:v>
                </c:pt>
              </c:numCache>
            </c:numRef>
          </c:xVal>
          <c:yVal>
            <c:numRef>
              <c:f>Tanzania!$AC$52</c:f>
              <c:numCache>
                <c:formatCode>0.0</c:formatCode>
                <c:ptCount val="1"/>
                <c:pt idx="0">
                  <c:v>9.3033786099793616</c:v>
                </c:pt>
              </c:numCache>
            </c:numRef>
          </c:yVal>
          <c:bubbleSize>
            <c:numRef>
              <c:f>Tanzania!$AE$52</c:f>
              <c:numCache>
                <c:formatCode>#,##0</c:formatCode>
                <c:ptCount val="1"/>
                <c:pt idx="0">
                  <c:v>110.73656878687012</c:v>
                </c:pt>
              </c:numCache>
            </c:numRef>
          </c:bubbleSize>
          <c:bubble3D val="1"/>
        </c:ser>
        <c:ser>
          <c:idx val="5"/>
          <c:order val="5"/>
          <c:tx>
            <c:strRef>
              <c:f>Tanzania!$AA$53</c:f>
              <c:strCache>
                <c:ptCount val="1"/>
                <c:pt idx="0">
                  <c:v>Trade services</c:v>
                </c:pt>
              </c:strCache>
            </c:strRef>
          </c:tx>
          <c:spPr>
            <a:solidFill>
              <a:srgbClr val="66FFFF"/>
            </a:solidFill>
            <a:ln w="25400">
              <a:noFill/>
            </a:ln>
          </c:spPr>
          <c:invertIfNegative val="0"/>
          <c:xVal>
            <c:numRef>
              <c:f>Tanzania!$AB$53</c:f>
              <c:numCache>
                <c:formatCode>0.0</c:formatCode>
                <c:ptCount val="1"/>
                <c:pt idx="0">
                  <c:v>1.3456807093095007</c:v>
                </c:pt>
              </c:numCache>
            </c:numRef>
          </c:xVal>
          <c:yVal>
            <c:numRef>
              <c:f>Tanzania!$AC$53</c:f>
              <c:numCache>
                <c:formatCode>0.0</c:formatCode>
                <c:ptCount val="1"/>
                <c:pt idx="0">
                  <c:v>2.3697477730671084</c:v>
                </c:pt>
              </c:numCache>
            </c:numRef>
          </c:yVal>
          <c:bubbleSize>
            <c:numRef>
              <c:f>Tanzania!$AE$53</c:f>
              <c:numCache>
                <c:formatCode>#,##0</c:formatCode>
                <c:ptCount val="1"/>
                <c:pt idx="0">
                  <c:v>913.14285295903244</c:v>
                </c:pt>
              </c:numCache>
            </c:numRef>
          </c:bubbleSize>
          <c:bubble3D val="1"/>
        </c:ser>
        <c:ser>
          <c:idx val="6"/>
          <c:order val="6"/>
          <c:tx>
            <c:strRef>
              <c:f>Tanzania!$AA$54</c:f>
              <c:strCache>
                <c:ptCount val="1"/>
                <c:pt idx="0">
                  <c:v>Transport services</c:v>
                </c:pt>
              </c:strCache>
            </c:strRef>
          </c:tx>
          <c:spPr>
            <a:solidFill>
              <a:srgbClr val="FF00FF"/>
            </a:solidFill>
            <a:ln w="25400">
              <a:noFill/>
            </a:ln>
          </c:spPr>
          <c:invertIfNegative val="0"/>
          <c:xVal>
            <c:numRef>
              <c:f>Tanzania!$AB$54</c:f>
              <c:numCache>
                <c:formatCode>0.0</c:formatCode>
                <c:ptCount val="1"/>
                <c:pt idx="0">
                  <c:v>-3.8855738836889975E-2</c:v>
                </c:pt>
              </c:numCache>
            </c:numRef>
          </c:xVal>
          <c:yVal>
            <c:numRef>
              <c:f>Tanzania!$AC$54</c:f>
              <c:numCache>
                <c:formatCode>0.0</c:formatCode>
                <c:ptCount val="1"/>
                <c:pt idx="0">
                  <c:v>9.2279342042553036</c:v>
                </c:pt>
              </c:numCache>
            </c:numRef>
          </c:yVal>
          <c:bubbleSize>
            <c:numRef>
              <c:f>Tanzania!$AE$54</c:f>
              <c:numCache>
                <c:formatCode>#,##0</c:formatCode>
                <c:ptCount val="1"/>
                <c:pt idx="0">
                  <c:v>103.34673652044442</c:v>
                </c:pt>
              </c:numCache>
            </c:numRef>
          </c:bubbleSize>
          <c:bubble3D val="1"/>
        </c:ser>
        <c:ser>
          <c:idx val="7"/>
          <c:order val="7"/>
          <c:tx>
            <c:strRef>
              <c:f>Tanzania!$AA$55</c:f>
              <c:strCache>
                <c:ptCount val="1"/>
                <c:pt idx="0">
                  <c:v>Business services</c:v>
                </c:pt>
              </c:strCache>
            </c:strRef>
          </c:tx>
          <c:spPr>
            <a:solidFill>
              <a:srgbClr val="99FF66"/>
            </a:solidFill>
            <a:ln w="25400">
              <a:noFill/>
            </a:ln>
          </c:spPr>
          <c:invertIfNegative val="0"/>
          <c:xVal>
            <c:numRef>
              <c:f>Tanzania!$AB$55</c:f>
              <c:numCache>
                <c:formatCode>0.0</c:formatCode>
                <c:ptCount val="1"/>
                <c:pt idx="0">
                  <c:v>-4.789052758833573E-2</c:v>
                </c:pt>
              </c:numCache>
            </c:numRef>
          </c:xVal>
          <c:yVal>
            <c:numRef>
              <c:f>Tanzania!$AC$55</c:f>
              <c:numCache>
                <c:formatCode>0.0</c:formatCode>
                <c:ptCount val="1"/>
                <c:pt idx="0">
                  <c:v>22.873593801695176</c:v>
                </c:pt>
              </c:numCache>
            </c:numRef>
          </c:yVal>
          <c:bubbleSize>
            <c:numRef>
              <c:f>Tanzania!$AE$55</c:f>
              <c:numCache>
                <c:formatCode>#,##0</c:formatCode>
                <c:ptCount val="1"/>
                <c:pt idx="0">
                  <c:v>27.250217170191156</c:v>
                </c:pt>
              </c:numCache>
            </c:numRef>
          </c:bubbleSize>
          <c:bubble3D val="1"/>
        </c:ser>
        <c:ser>
          <c:idx val="8"/>
          <c:order val="8"/>
          <c:tx>
            <c:strRef>
              <c:f>Tanzania!$AA$56</c:f>
              <c:strCache>
                <c:ptCount val="1"/>
                <c:pt idx="0">
                  <c:v>Govt services</c:v>
                </c:pt>
              </c:strCache>
            </c:strRef>
          </c:tx>
          <c:spPr>
            <a:solidFill>
              <a:srgbClr val="984807"/>
            </a:solidFill>
            <a:ln w="25400">
              <a:noFill/>
            </a:ln>
          </c:spPr>
          <c:invertIfNegative val="0"/>
          <c:xVal>
            <c:numRef>
              <c:f>Tanzania!$AB$56</c:f>
              <c:numCache>
                <c:formatCode>0.0</c:formatCode>
                <c:ptCount val="1"/>
                <c:pt idx="0">
                  <c:v>0.1695648075917271</c:v>
                </c:pt>
              </c:numCache>
            </c:numRef>
          </c:xVal>
          <c:yVal>
            <c:numRef>
              <c:f>Tanzania!$AC$56</c:f>
              <c:numCache>
                <c:formatCode>0.0</c:formatCode>
                <c:ptCount val="1"/>
                <c:pt idx="0">
                  <c:v>3.3074564542207479</c:v>
                </c:pt>
              </c:numCache>
            </c:numRef>
          </c:yVal>
          <c:bubbleSize>
            <c:numRef>
              <c:f>Tanzania!$AE$56</c:f>
              <c:numCache>
                <c:formatCode>#,##0</c:formatCode>
                <c:ptCount val="1"/>
                <c:pt idx="0">
                  <c:v>473.34702701559934</c:v>
                </c:pt>
              </c:numCache>
            </c:numRef>
          </c:bubbleSize>
          <c:bubble3D val="1"/>
        </c:ser>
        <c:ser>
          <c:idx val="9"/>
          <c:order val="9"/>
          <c:tx>
            <c:strRef>
              <c:f>Tanzania!$AA$57</c:f>
              <c:strCache>
                <c:ptCount val="1"/>
                <c:pt idx="0">
                  <c:v>Personal services</c:v>
                </c:pt>
              </c:strCache>
            </c:strRef>
          </c:tx>
          <c:spPr>
            <a:solidFill>
              <a:srgbClr val="9999FF"/>
            </a:solidFill>
            <a:ln w="25400">
              <a:noFill/>
            </a:ln>
          </c:spPr>
          <c:invertIfNegative val="0"/>
          <c:xVal>
            <c:numRef>
              <c:f>Tanzania!$AB$57</c:f>
              <c:numCache>
                <c:formatCode>0.0</c:formatCode>
                <c:ptCount val="1"/>
                <c:pt idx="0">
                  <c:v>0.57681731599172914</c:v>
                </c:pt>
              </c:numCache>
            </c:numRef>
          </c:xVal>
          <c:yVal>
            <c:numRef>
              <c:f>Tanzania!$AC$57</c:f>
              <c:numCache>
                <c:formatCode>0.0</c:formatCode>
                <c:ptCount val="1"/>
                <c:pt idx="0">
                  <c:v>0.48124592068613642</c:v>
                </c:pt>
              </c:numCache>
            </c:numRef>
          </c:yVal>
          <c:bubbleSize>
            <c:numRef>
              <c:f>Tanzania!$AE$57</c:f>
              <c:numCache>
                <c:formatCode>#,##0</c:formatCode>
                <c:ptCount val="1"/>
                <c:pt idx="0">
                  <c:v>276.21982676639709</c:v>
                </c:pt>
              </c:numCache>
            </c:numRef>
          </c:bubbleSize>
          <c:bubble3D val="1"/>
        </c:ser>
        <c:dLbls>
          <c:showLegendKey val="0"/>
          <c:showVal val="0"/>
          <c:showCatName val="0"/>
          <c:showSerName val="0"/>
          <c:showPercent val="0"/>
          <c:showBubbleSize val="0"/>
        </c:dLbls>
        <c:bubbleScale val="100"/>
        <c:showNegBubbles val="0"/>
        <c:axId val="88471424"/>
        <c:axId val="89858048"/>
      </c:bubbleChart>
      <c:valAx>
        <c:axId val="88471424"/>
        <c:scaling>
          <c:orientation val="minMax"/>
        </c:scaling>
        <c:delete val="0"/>
        <c:axPos val="b"/>
        <c:title>
          <c:tx>
            <c:rich>
              <a:bodyPr/>
              <a:lstStyle/>
              <a:p>
                <a:pPr>
                  <a:defRPr sz="800" b="0"/>
                </a:pPr>
                <a:r>
                  <a:rPr lang="en-US" sz="800" b="0"/>
                  <a:t>Percentage point change in share of persons engaged, 1990-2000</a:t>
                </a:r>
              </a:p>
            </c:rich>
          </c:tx>
          <c:overlay val="0"/>
        </c:title>
        <c:numFmt formatCode="0.0" sourceLinked="1"/>
        <c:majorTickMark val="out"/>
        <c:minorTickMark val="none"/>
        <c:tickLblPos val="low"/>
        <c:crossAx val="89858048"/>
        <c:crosses val="autoZero"/>
        <c:crossBetween val="midCat"/>
      </c:valAx>
      <c:valAx>
        <c:axId val="89858048"/>
        <c:scaling>
          <c:orientation val="minMax"/>
        </c:scaling>
        <c:delete val="0"/>
        <c:axPos val="l"/>
        <c:majorGridlines/>
        <c:title>
          <c:tx>
            <c:rich>
              <a:bodyPr rot="-5400000" vert="horz"/>
              <a:lstStyle/>
              <a:p>
                <a:pPr>
                  <a:defRPr sz="800" b="0"/>
                </a:pPr>
                <a:r>
                  <a:rPr lang="en-US" sz="800" b="0"/>
                  <a:t>Relative productivity level, 2000</a:t>
                </a:r>
              </a:p>
            </c:rich>
          </c:tx>
          <c:overlay val="0"/>
        </c:title>
        <c:numFmt formatCode="0.0" sourceLinked="1"/>
        <c:majorTickMark val="out"/>
        <c:minorTickMark val="none"/>
        <c:tickLblPos val="low"/>
        <c:crossAx val="88471424"/>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'Productivity gaps'!$I$5</c:f>
              <c:strCache>
                <c:ptCount val="1"/>
                <c:pt idx="0">
                  <c:v>Other non market services</c:v>
                </c:pt>
              </c:strCache>
            </c:strRef>
          </c:tx>
          <c:spPr>
            <a:solidFill>
              <a:schemeClr val="accent1"/>
            </a:solidFill>
          </c:spPr>
          <c:cat>
            <c:numRef>
              <c:f>'Productivity gaps'!$H$6:$H$24</c:f>
              <c:numCache>
                <c:formatCode>0.00</c:formatCode>
                <c:ptCount val="19"/>
                <c:pt idx="0">
                  <c:v>0</c:v>
                </c:pt>
                <c:pt idx="1">
                  <c:v>0</c:v>
                </c:pt>
                <c:pt idx="2">
                  <c:v>1.103913689527158</c:v>
                </c:pt>
                <c:pt idx="3">
                  <c:v>2.2078273790543159</c:v>
                </c:pt>
                <c:pt idx="4">
                  <c:v>2.2078273790543159</c:v>
                </c:pt>
                <c:pt idx="5">
                  <c:v>38.917883658219097</c:v>
                </c:pt>
                <c:pt idx="6">
                  <c:v>75.627939937383871</c:v>
                </c:pt>
                <c:pt idx="7">
                  <c:v>75.627939937383871</c:v>
                </c:pt>
                <c:pt idx="8">
                  <c:v>78.726985983012398</c:v>
                </c:pt>
                <c:pt idx="9">
                  <c:v>81.826032028640924</c:v>
                </c:pt>
                <c:pt idx="10">
                  <c:v>81.826032028640924</c:v>
                </c:pt>
                <c:pt idx="11">
                  <c:v>87.828924786551028</c:v>
                </c:pt>
                <c:pt idx="12">
                  <c:v>93.831817544461146</c:v>
                </c:pt>
                <c:pt idx="13">
                  <c:v>93.831817544461146</c:v>
                </c:pt>
                <c:pt idx="14">
                  <c:v>95.162815309889908</c:v>
                </c:pt>
                <c:pt idx="15">
                  <c:v>96.49381307531867</c:v>
                </c:pt>
                <c:pt idx="16">
                  <c:v>96.49381307531867</c:v>
                </c:pt>
                <c:pt idx="17">
                  <c:v>97.995151261538609</c:v>
                </c:pt>
                <c:pt idx="18">
                  <c:v>99.496489447758549</c:v>
                </c:pt>
              </c:numCache>
            </c:numRef>
          </c:cat>
          <c:val>
            <c:numRef>
              <c:f>'Productivity gaps'!$I$6:$I$24</c:f>
              <c:numCache>
                <c:formatCode>#,##0.0</c:formatCode>
                <c:ptCount val="19"/>
                <c:pt idx="0" formatCode="General">
                  <c:v>0</c:v>
                </c:pt>
                <c:pt idx="1">
                  <c:v>0.30500242571867753</c:v>
                </c:pt>
                <c:pt idx="2">
                  <c:v>0.30500242571867753</c:v>
                </c:pt>
                <c:pt idx="3">
                  <c:v>0.30500242571867753</c:v>
                </c:pt>
                <c:pt idx="4" formatCode="General">
                  <c:v>0</c:v>
                </c:pt>
              </c:numCache>
            </c:numRef>
          </c:val>
        </c:ser>
        <c:ser>
          <c:idx val="1"/>
          <c:order val="1"/>
          <c:tx>
            <c:strRef>
              <c:f>'Productivity gaps'!$J$5</c:f>
              <c:strCache>
                <c:ptCount val="1"/>
                <c:pt idx="0">
                  <c:v>Agriculture</c:v>
                </c:pt>
              </c:strCache>
            </c:strRef>
          </c:tx>
          <c:spPr>
            <a:solidFill>
              <a:schemeClr val="accent3">
                <a:lumMod val="25000"/>
              </a:schemeClr>
            </a:solidFill>
          </c:spPr>
          <c:cat>
            <c:numRef>
              <c:f>'Productivity gaps'!$H$6:$H$24</c:f>
              <c:numCache>
                <c:formatCode>0.00</c:formatCode>
                <c:ptCount val="19"/>
                <c:pt idx="0">
                  <c:v>0</c:v>
                </c:pt>
                <c:pt idx="1">
                  <c:v>0</c:v>
                </c:pt>
                <c:pt idx="2">
                  <c:v>1.103913689527158</c:v>
                </c:pt>
                <c:pt idx="3">
                  <c:v>2.2078273790543159</c:v>
                </c:pt>
                <c:pt idx="4">
                  <c:v>2.2078273790543159</c:v>
                </c:pt>
                <c:pt idx="5">
                  <c:v>38.917883658219097</c:v>
                </c:pt>
                <c:pt idx="6">
                  <c:v>75.627939937383871</c:v>
                </c:pt>
                <c:pt idx="7">
                  <c:v>75.627939937383871</c:v>
                </c:pt>
                <c:pt idx="8">
                  <c:v>78.726985983012398</c:v>
                </c:pt>
                <c:pt idx="9">
                  <c:v>81.826032028640924</c:v>
                </c:pt>
                <c:pt idx="10">
                  <c:v>81.826032028640924</c:v>
                </c:pt>
                <c:pt idx="11">
                  <c:v>87.828924786551028</c:v>
                </c:pt>
                <c:pt idx="12">
                  <c:v>93.831817544461146</c:v>
                </c:pt>
                <c:pt idx="13">
                  <c:v>93.831817544461146</c:v>
                </c:pt>
                <c:pt idx="14">
                  <c:v>95.162815309889908</c:v>
                </c:pt>
                <c:pt idx="15">
                  <c:v>96.49381307531867</c:v>
                </c:pt>
                <c:pt idx="16">
                  <c:v>96.49381307531867</c:v>
                </c:pt>
                <c:pt idx="17">
                  <c:v>97.995151261538609</c:v>
                </c:pt>
                <c:pt idx="18">
                  <c:v>99.496489447758549</c:v>
                </c:pt>
              </c:numCache>
            </c:numRef>
          </c:cat>
          <c:val>
            <c:numRef>
              <c:f>'Productivity gaps'!$J$6:$J$24</c:f>
              <c:numCache>
                <c:formatCode>General</c:formatCode>
                <c:ptCount val="19"/>
                <c:pt idx="3">
                  <c:v>0</c:v>
                </c:pt>
                <c:pt idx="4" formatCode="#,##0.000">
                  <c:v>0.40685099694607069</c:v>
                </c:pt>
                <c:pt idx="5" formatCode="#,##0.000">
                  <c:v>0.40685099694607069</c:v>
                </c:pt>
                <c:pt idx="6" formatCode="#,##0.000">
                  <c:v>0.40685099694607069</c:v>
                </c:pt>
                <c:pt idx="7">
                  <c:v>0</c:v>
                </c:pt>
              </c:numCache>
            </c:numRef>
          </c:val>
        </c:ser>
        <c:ser>
          <c:idx val="2"/>
          <c:order val="2"/>
          <c:tx>
            <c:strRef>
              <c:f>'Productivity gaps'!$K$5</c:f>
              <c:strCache>
                <c:ptCount val="1"/>
                <c:pt idx="0">
                  <c:v>Government services</c:v>
                </c:pt>
              </c:strCache>
            </c:strRef>
          </c:tx>
          <c:spPr>
            <a:solidFill>
              <a:schemeClr val="accent5">
                <a:lumMod val="50000"/>
              </a:schemeClr>
            </a:solidFill>
          </c:spPr>
          <c:cat>
            <c:numRef>
              <c:f>'Productivity gaps'!$H$6:$H$24</c:f>
              <c:numCache>
                <c:formatCode>0.00</c:formatCode>
                <c:ptCount val="19"/>
                <c:pt idx="0">
                  <c:v>0</c:v>
                </c:pt>
                <c:pt idx="1">
                  <c:v>0</c:v>
                </c:pt>
                <c:pt idx="2">
                  <c:v>1.103913689527158</c:v>
                </c:pt>
                <c:pt idx="3">
                  <c:v>2.2078273790543159</c:v>
                </c:pt>
                <c:pt idx="4">
                  <c:v>2.2078273790543159</c:v>
                </c:pt>
                <c:pt idx="5">
                  <c:v>38.917883658219097</c:v>
                </c:pt>
                <c:pt idx="6">
                  <c:v>75.627939937383871</c:v>
                </c:pt>
                <c:pt idx="7">
                  <c:v>75.627939937383871</c:v>
                </c:pt>
                <c:pt idx="8">
                  <c:v>78.726985983012398</c:v>
                </c:pt>
                <c:pt idx="9">
                  <c:v>81.826032028640924</c:v>
                </c:pt>
                <c:pt idx="10">
                  <c:v>81.826032028640924</c:v>
                </c:pt>
                <c:pt idx="11">
                  <c:v>87.828924786551028</c:v>
                </c:pt>
                <c:pt idx="12">
                  <c:v>93.831817544461146</c:v>
                </c:pt>
                <c:pt idx="13">
                  <c:v>93.831817544461146</c:v>
                </c:pt>
                <c:pt idx="14">
                  <c:v>95.162815309889908</c:v>
                </c:pt>
                <c:pt idx="15">
                  <c:v>96.49381307531867</c:v>
                </c:pt>
                <c:pt idx="16">
                  <c:v>96.49381307531867</c:v>
                </c:pt>
                <c:pt idx="17">
                  <c:v>97.995151261538609</c:v>
                </c:pt>
                <c:pt idx="18">
                  <c:v>99.496489447758549</c:v>
                </c:pt>
              </c:numCache>
            </c:numRef>
          </c:cat>
          <c:val>
            <c:numRef>
              <c:f>'Productivity gaps'!$K$6:$K$24</c:f>
              <c:numCache>
                <c:formatCode>General</c:formatCode>
                <c:ptCount val="19"/>
                <c:pt idx="6">
                  <c:v>0</c:v>
                </c:pt>
                <c:pt idx="7" formatCode="#,##0.000">
                  <c:v>2.0688930143559463</c:v>
                </c:pt>
                <c:pt idx="8" formatCode="#,##0.000">
                  <c:v>2.0688930143559463</c:v>
                </c:pt>
                <c:pt idx="9" formatCode="#,##0.000">
                  <c:v>2.0688930143559463</c:v>
                </c:pt>
                <c:pt idx="10">
                  <c:v>0</c:v>
                </c:pt>
              </c:numCache>
            </c:numRef>
          </c:val>
        </c:ser>
        <c:ser>
          <c:idx val="3"/>
          <c:order val="3"/>
          <c:tx>
            <c:strRef>
              <c:f>'Productivity gaps'!$L$5</c:f>
              <c:strCache>
                <c:ptCount val="1"/>
                <c:pt idx="0">
                  <c:v>Distribution services</c:v>
                </c:pt>
              </c:strCache>
            </c:strRef>
          </c:tx>
          <c:spPr>
            <a:solidFill>
              <a:schemeClr val="accent3"/>
            </a:solidFill>
          </c:spPr>
          <c:cat>
            <c:numRef>
              <c:f>'Productivity gaps'!$H$6:$H$24</c:f>
              <c:numCache>
                <c:formatCode>0.00</c:formatCode>
                <c:ptCount val="19"/>
                <c:pt idx="0">
                  <c:v>0</c:v>
                </c:pt>
                <c:pt idx="1">
                  <c:v>0</c:v>
                </c:pt>
                <c:pt idx="2">
                  <c:v>1.103913689527158</c:v>
                </c:pt>
                <c:pt idx="3">
                  <c:v>2.2078273790543159</c:v>
                </c:pt>
                <c:pt idx="4">
                  <c:v>2.2078273790543159</c:v>
                </c:pt>
                <c:pt idx="5">
                  <c:v>38.917883658219097</c:v>
                </c:pt>
                <c:pt idx="6">
                  <c:v>75.627939937383871</c:v>
                </c:pt>
                <c:pt idx="7">
                  <c:v>75.627939937383871</c:v>
                </c:pt>
                <c:pt idx="8">
                  <c:v>78.726985983012398</c:v>
                </c:pt>
                <c:pt idx="9">
                  <c:v>81.826032028640924</c:v>
                </c:pt>
                <c:pt idx="10">
                  <c:v>81.826032028640924</c:v>
                </c:pt>
                <c:pt idx="11">
                  <c:v>87.828924786551028</c:v>
                </c:pt>
                <c:pt idx="12">
                  <c:v>93.831817544461146</c:v>
                </c:pt>
                <c:pt idx="13">
                  <c:v>93.831817544461146</c:v>
                </c:pt>
                <c:pt idx="14">
                  <c:v>95.162815309889908</c:v>
                </c:pt>
                <c:pt idx="15">
                  <c:v>96.49381307531867</c:v>
                </c:pt>
                <c:pt idx="16">
                  <c:v>96.49381307531867</c:v>
                </c:pt>
                <c:pt idx="17">
                  <c:v>97.995151261538609</c:v>
                </c:pt>
                <c:pt idx="18">
                  <c:v>99.496489447758549</c:v>
                </c:pt>
              </c:numCache>
            </c:numRef>
          </c:cat>
          <c:val>
            <c:numRef>
              <c:f>'Productivity gaps'!$L$6:$L$24</c:f>
              <c:numCache>
                <c:formatCode>General</c:formatCode>
                <c:ptCount val="19"/>
                <c:pt idx="9">
                  <c:v>0</c:v>
                </c:pt>
                <c:pt idx="10" formatCode="#,##0.0">
                  <c:v>2.1240626025641425</c:v>
                </c:pt>
                <c:pt idx="11" formatCode="#,##0.0">
                  <c:v>2.1240626025641425</c:v>
                </c:pt>
                <c:pt idx="12" formatCode="#,##0.0">
                  <c:v>2.1240626025641425</c:v>
                </c:pt>
                <c:pt idx="13">
                  <c:v>0</c:v>
                </c:pt>
              </c:numCache>
            </c:numRef>
          </c:val>
        </c:ser>
        <c:ser>
          <c:idx val="4"/>
          <c:order val="4"/>
          <c:tx>
            <c:strRef>
              <c:f>'Productivity gaps'!$M$5</c:f>
              <c:strCache>
                <c:ptCount val="1"/>
                <c:pt idx="0">
                  <c:v>Manufacturing</c:v>
                </c:pt>
              </c:strCache>
            </c:strRef>
          </c:tx>
          <c:spPr>
            <a:solidFill>
              <a:schemeClr val="accent2"/>
            </a:solidFill>
          </c:spPr>
          <c:cat>
            <c:numRef>
              <c:f>'Productivity gaps'!$H$6:$H$24</c:f>
              <c:numCache>
                <c:formatCode>0.00</c:formatCode>
                <c:ptCount val="19"/>
                <c:pt idx="0">
                  <c:v>0</c:v>
                </c:pt>
                <c:pt idx="1">
                  <c:v>0</c:v>
                </c:pt>
                <c:pt idx="2">
                  <c:v>1.103913689527158</c:v>
                </c:pt>
                <c:pt idx="3">
                  <c:v>2.2078273790543159</c:v>
                </c:pt>
                <c:pt idx="4">
                  <c:v>2.2078273790543159</c:v>
                </c:pt>
                <c:pt idx="5">
                  <c:v>38.917883658219097</c:v>
                </c:pt>
                <c:pt idx="6">
                  <c:v>75.627939937383871</c:v>
                </c:pt>
                <c:pt idx="7">
                  <c:v>75.627939937383871</c:v>
                </c:pt>
                <c:pt idx="8">
                  <c:v>78.726985983012398</c:v>
                </c:pt>
                <c:pt idx="9">
                  <c:v>81.826032028640924</c:v>
                </c:pt>
                <c:pt idx="10">
                  <c:v>81.826032028640924</c:v>
                </c:pt>
                <c:pt idx="11">
                  <c:v>87.828924786551028</c:v>
                </c:pt>
                <c:pt idx="12">
                  <c:v>93.831817544461146</c:v>
                </c:pt>
                <c:pt idx="13">
                  <c:v>93.831817544461146</c:v>
                </c:pt>
                <c:pt idx="14">
                  <c:v>95.162815309889908</c:v>
                </c:pt>
                <c:pt idx="15">
                  <c:v>96.49381307531867</c:v>
                </c:pt>
                <c:pt idx="16">
                  <c:v>96.49381307531867</c:v>
                </c:pt>
                <c:pt idx="17">
                  <c:v>97.995151261538609</c:v>
                </c:pt>
                <c:pt idx="18">
                  <c:v>99.496489447758549</c:v>
                </c:pt>
              </c:numCache>
            </c:numRef>
          </c:cat>
          <c:val>
            <c:numRef>
              <c:f>'Productivity gaps'!$M$6:$M$24</c:f>
              <c:numCache>
                <c:formatCode>General</c:formatCode>
                <c:ptCount val="19"/>
                <c:pt idx="12">
                  <c:v>0</c:v>
                </c:pt>
                <c:pt idx="13" formatCode="#,##0.0">
                  <c:v>3.8297176627719818</c:v>
                </c:pt>
                <c:pt idx="14" formatCode="#,##0.0">
                  <c:v>3.8297176627719818</c:v>
                </c:pt>
                <c:pt idx="15" formatCode="#,##0.0">
                  <c:v>3.8297176627719818</c:v>
                </c:pt>
                <c:pt idx="16">
                  <c:v>0</c:v>
                </c:pt>
              </c:numCache>
            </c:numRef>
          </c:val>
        </c:ser>
        <c:ser>
          <c:idx val="5"/>
          <c:order val="5"/>
          <c:tx>
            <c:strRef>
              <c:f>'Productivity gaps'!$N$5</c:f>
              <c:strCache>
                <c:ptCount val="1"/>
                <c:pt idx="0">
                  <c:v>Other industry</c:v>
                </c:pt>
              </c:strCache>
            </c:strRef>
          </c:tx>
          <c:spPr>
            <a:solidFill>
              <a:schemeClr val="bg1">
                <a:lumMod val="65000"/>
              </a:schemeClr>
            </a:solidFill>
          </c:spPr>
          <c:cat>
            <c:numRef>
              <c:f>'Productivity gaps'!$H$6:$H$24</c:f>
              <c:numCache>
                <c:formatCode>0.00</c:formatCode>
                <c:ptCount val="19"/>
                <c:pt idx="0">
                  <c:v>0</c:v>
                </c:pt>
                <c:pt idx="1">
                  <c:v>0</c:v>
                </c:pt>
                <c:pt idx="2">
                  <c:v>1.103913689527158</c:v>
                </c:pt>
                <c:pt idx="3">
                  <c:v>2.2078273790543159</c:v>
                </c:pt>
                <c:pt idx="4">
                  <c:v>2.2078273790543159</c:v>
                </c:pt>
                <c:pt idx="5">
                  <c:v>38.917883658219097</c:v>
                </c:pt>
                <c:pt idx="6">
                  <c:v>75.627939937383871</c:v>
                </c:pt>
                <c:pt idx="7">
                  <c:v>75.627939937383871</c:v>
                </c:pt>
                <c:pt idx="8">
                  <c:v>78.726985983012398</c:v>
                </c:pt>
                <c:pt idx="9">
                  <c:v>81.826032028640924</c:v>
                </c:pt>
                <c:pt idx="10">
                  <c:v>81.826032028640924</c:v>
                </c:pt>
                <c:pt idx="11">
                  <c:v>87.828924786551028</c:v>
                </c:pt>
                <c:pt idx="12">
                  <c:v>93.831817544461146</c:v>
                </c:pt>
                <c:pt idx="13">
                  <c:v>93.831817544461146</c:v>
                </c:pt>
                <c:pt idx="14">
                  <c:v>95.162815309889908</c:v>
                </c:pt>
                <c:pt idx="15">
                  <c:v>96.49381307531867</c:v>
                </c:pt>
                <c:pt idx="16">
                  <c:v>96.49381307531867</c:v>
                </c:pt>
                <c:pt idx="17">
                  <c:v>97.995151261538609</c:v>
                </c:pt>
                <c:pt idx="18">
                  <c:v>99.496489447758549</c:v>
                </c:pt>
              </c:numCache>
            </c:numRef>
          </c:cat>
          <c:val>
            <c:numRef>
              <c:f>'Productivity gaps'!$N$6:$N$24</c:f>
              <c:numCache>
                <c:formatCode>General</c:formatCode>
                <c:ptCount val="19"/>
                <c:pt idx="15">
                  <c:v>0</c:v>
                </c:pt>
                <c:pt idx="16" formatCode="#,##0.0">
                  <c:v>4.3097120828162012</c:v>
                </c:pt>
                <c:pt idx="17" formatCode="#,##0.0">
                  <c:v>4.3097120828162012</c:v>
                </c:pt>
                <c:pt idx="18" formatCode="#,##0.0">
                  <c:v>4.3097120828162012</c:v>
                </c:pt>
              </c:numCache>
            </c:numRef>
          </c:val>
        </c:ser>
        <c:dLbls>
          <c:showLegendKey val="0"/>
          <c:showVal val="0"/>
          <c:showCatName val="0"/>
          <c:showSerName val="0"/>
          <c:showPercent val="0"/>
          <c:showBubbleSize val="0"/>
        </c:dLbls>
        <c:axId val="99347072"/>
        <c:axId val="99357440"/>
      </c:areaChart>
      <c:dateAx>
        <c:axId val="99347072"/>
        <c:scaling>
          <c:orientation val="minMax"/>
          <c:max val="100"/>
        </c:scaling>
        <c:delete val="0"/>
        <c:axPos val="b"/>
        <c:title>
          <c:tx>
            <c:rich>
              <a:bodyPr/>
              <a:lstStyle/>
              <a:p>
                <a:pPr>
                  <a:defRPr b="0"/>
                </a:pPr>
                <a:r>
                  <a:rPr lang="en-GB" b="0"/>
                  <a:t>Cumulative share of persons engaged (%)</a:t>
                </a:r>
              </a:p>
            </c:rich>
          </c:tx>
          <c:overlay val="0"/>
        </c:title>
        <c:numFmt formatCode="0" sourceLinked="0"/>
        <c:majorTickMark val="out"/>
        <c:minorTickMark val="none"/>
        <c:tickLblPos val="nextTo"/>
        <c:crossAx val="99357440"/>
        <c:crosses val="autoZero"/>
        <c:auto val="0"/>
        <c:lblOffset val="100"/>
        <c:baseTimeUnit val="days"/>
        <c:majorUnit val="10"/>
        <c:majorTimeUnit val="days"/>
      </c:dateAx>
      <c:valAx>
        <c:axId val="99357440"/>
        <c:scaling>
          <c:orientation val="minMax"/>
        </c:scaling>
        <c:delete val="0"/>
        <c:axPos val="l"/>
        <c:majorGridlines/>
        <c:title>
          <c:tx>
            <c:rich>
              <a:bodyPr rot="-5400000" vert="horz"/>
              <a:lstStyle/>
              <a:p>
                <a:pPr>
                  <a:defRPr b="0"/>
                </a:pPr>
                <a:r>
                  <a:rPr lang="en-US" b="0"/>
                  <a:t>Relative productivity</a:t>
                </a:r>
              </a:p>
            </c:rich>
          </c:tx>
          <c:overlay val="0"/>
        </c:title>
        <c:numFmt formatCode="General" sourceLinked="1"/>
        <c:majorTickMark val="out"/>
        <c:minorTickMark val="none"/>
        <c:tickLblPos val="nextTo"/>
        <c:crossAx val="99347072"/>
        <c:crosses val="autoZero"/>
        <c:crossBetween val="midCat"/>
      </c:valAx>
    </c:plotArea>
    <c:legend>
      <c:legendPos val="r"/>
      <c:overlay val="0"/>
    </c:legend>
    <c:plotVisOnly val="1"/>
    <c:dispBlanksAs val="zero"/>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scatterChart>
        <c:scatterStyle val="lineMarker"/>
        <c:varyColors val="0"/>
        <c:ser>
          <c:idx val="0"/>
          <c:order val="0"/>
          <c:spPr>
            <a:ln w="66675">
              <a:noFill/>
            </a:ln>
          </c:spPr>
          <c:marker>
            <c:symbol val="circle"/>
            <c:size val="5"/>
          </c:marker>
          <c:dLbls>
            <c:dLbl>
              <c:idx val="0"/>
              <c:tx>
                <c:rich>
                  <a:bodyPr/>
                  <a:lstStyle/>
                  <a:p>
                    <a:r>
                      <a:rPr lang="en-US" sz="700"/>
                      <a:t>Other non-</a:t>
                    </a:r>
                    <a:br>
                      <a:rPr lang="en-US" sz="700"/>
                    </a:br>
                    <a:r>
                      <a:rPr lang="en-US" sz="700"/>
                      <a:t>market</a:t>
                    </a:r>
                    <a:r>
                      <a:rPr lang="en-US" sz="700" baseline="0"/>
                      <a:t> services</a:t>
                    </a:r>
                    <a:endParaRPr lang="en-US"/>
                  </a:p>
                </c:rich>
              </c:tx>
              <c:dLblPos val="t"/>
              <c:showLegendKey val="0"/>
              <c:showVal val="1"/>
              <c:showCatName val="1"/>
              <c:showSerName val="0"/>
              <c:showPercent val="0"/>
              <c:showBubbleSize val="0"/>
            </c:dLbl>
            <c:dLbl>
              <c:idx val="1"/>
              <c:tx>
                <c:rich>
                  <a:bodyPr/>
                  <a:lstStyle/>
                  <a:p>
                    <a:r>
                      <a:rPr lang="en-US" sz="700"/>
                      <a:t>Agriculture</a:t>
                    </a:r>
                    <a:endParaRPr lang="en-US"/>
                  </a:p>
                </c:rich>
              </c:tx>
              <c:dLblPos val="l"/>
              <c:showLegendKey val="0"/>
              <c:showVal val="1"/>
              <c:showCatName val="1"/>
              <c:showSerName val="0"/>
              <c:showPercent val="0"/>
              <c:showBubbleSize val="0"/>
            </c:dLbl>
            <c:dLbl>
              <c:idx val="2"/>
              <c:tx>
                <c:rich>
                  <a:bodyPr/>
                  <a:lstStyle/>
                  <a:p>
                    <a:r>
                      <a:rPr lang="en-US" sz="700"/>
                      <a:t>Govt services</a:t>
                    </a:r>
                    <a:endParaRPr lang="en-US"/>
                  </a:p>
                </c:rich>
              </c:tx>
              <c:dLblPos val="l"/>
              <c:showLegendKey val="0"/>
              <c:showVal val="1"/>
              <c:showCatName val="1"/>
              <c:showSerName val="0"/>
              <c:showPercent val="0"/>
              <c:showBubbleSize val="0"/>
            </c:dLbl>
            <c:dLbl>
              <c:idx val="3"/>
              <c:tx>
                <c:rich>
                  <a:bodyPr/>
                  <a:lstStyle/>
                  <a:p>
                    <a:r>
                      <a:rPr lang="en-US" sz="700"/>
                      <a:t>Distribution</a:t>
                    </a:r>
                    <a:endParaRPr lang="en-US"/>
                  </a:p>
                </c:rich>
              </c:tx>
              <c:dLblPos val="r"/>
              <c:showLegendKey val="0"/>
              <c:showVal val="1"/>
              <c:showCatName val="1"/>
              <c:showSerName val="0"/>
              <c:showPercent val="0"/>
              <c:showBubbleSize val="0"/>
            </c:dLbl>
            <c:dLbl>
              <c:idx val="4"/>
              <c:tx>
                <c:rich>
                  <a:bodyPr/>
                  <a:lstStyle/>
                  <a:p>
                    <a:r>
                      <a:rPr lang="en-US" sz="700"/>
                      <a:t>Other industry</a:t>
                    </a:r>
                    <a:endParaRPr lang="en-US"/>
                  </a:p>
                </c:rich>
              </c:tx>
              <c:dLblPos val="t"/>
              <c:showLegendKey val="0"/>
              <c:showVal val="1"/>
              <c:showCatName val="1"/>
              <c:showSerName val="0"/>
              <c:showPercent val="0"/>
              <c:showBubbleSize val="0"/>
            </c:dLbl>
            <c:dLbl>
              <c:idx val="5"/>
              <c:tx>
                <c:rich>
                  <a:bodyPr/>
                  <a:lstStyle/>
                  <a:p>
                    <a:r>
                      <a:rPr lang="en-US" sz="700"/>
                      <a:t>Manufacturing</a:t>
                    </a:r>
                    <a:endParaRPr lang="en-US"/>
                  </a:p>
                </c:rich>
              </c:tx>
              <c:dLblPos val="l"/>
              <c:showLegendKey val="0"/>
              <c:showVal val="1"/>
              <c:showCatName val="1"/>
              <c:showSerName val="0"/>
              <c:showPercent val="0"/>
              <c:showBubbleSize val="0"/>
            </c:dLbl>
            <c:dLbl>
              <c:idx val="6"/>
              <c:tx>
                <c:rich>
                  <a:bodyPr/>
                  <a:lstStyle/>
                  <a:p>
                    <a:r>
                      <a:rPr lang="en-US" sz="700"/>
                      <a:t>Mining</a:t>
                    </a:r>
                    <a:endParaRPr lang="en-US"/>
                  </a:p>
                </c:rich>
              </c:tx>
              <c:dLblPos val="t"/>
              <c:showLegendKey val="0"/>
              <c:showVal val="1"/>
              <c:showCatName val="1"/>
              <c:showSerName val="0"/>
              <c:showPercent val="0"/>
              <c:showBubbleSize val="0"/>
            </c:dLbl>
            <c:dLbl>
              <c:idx val="7"/>
              <c:tx>
                <c:rich>
                  <a:bodyPr/>
                  <a:lstStyle/>
                  <a:p>
                    <a:r>
                      <a:rPr lang="en-US" sz="700"/>
                      <a:t>Finance &amp; </a:t>
                    </a:r>
                    <a:br>
                      <a:rPr lang="en-US" sz="700"/>
                    </a:br>
                    <a:r>
                      <a:rPr lang="en-US" sz="700"/>
                      <a:t>business</a:t>
                    </a:r>
                    <a:endParaRPr lang="en-US"/>
                  </a:p>
                </c:rich>
              </c:tx>
              <c:dLblPos val="t"/>
              <c:showLegendKey val="0"/>
              <c:showVal val="1"/>
              <c:showCatName val="1"/>
              <c:showSerName val="0"/>
              <c:showPercent val="0"/>
              <c:showBubbleSize val="0"/>
            </c:dLbl>
            <c:txPr>
              <a:bodyPr/>
              <a:lstStyle/>
              <a:p>
                <a:pPr>
                  <a:defRPr sz="700"/>
                </a:pPr>
                <a:endParaRPr lang="en-US"/>
              </a:p>
            </c:txPr>
            <c:dLblPos val="t"/>
            <c:showLegendKey val="0"/>
            <c:showVal val="1"/>
            <c:showCatName val="1"/>
            <c:showSerName val="0"/>
            <c:showPercent val="0"/>
            <c:showBubbleSize val="0"/>
            <c:showLeaderLines val="0"/>
          </c:dLbls>
          <c:xVal>
            <c:numRef>
              <c:f>Tanzania!$E$113:$E$120</c:f>
              <c:numCache>
                <c:formatCode>#,##0.00</c:formatCode>
                <c:ptCount val="8"/>
                <c:pt idx="0">
                  <c:v>2.2078273790543158E-2</c:v>
                </c:pt>
                <c:pt idx="1">
                  <c:v>0.7562793993738387</c:v>
                </c:pt>
                <c:pt idx="2">
                  <c:v>0.81826032028640927</c:v>
                </c:pt>
                <c:pt idx="3">
                  <c:v>0.93831817544461149</c:v>
                </c:pt>
                <c:pt idx="4">
                  <c:v>0.96493813075318668</c:v>
                </c:pt>
                <c:pt idx="5">
                  <c:v>0.99496489447758552</c:v>
                </c:pt>
                <c:pt idx="6">
                  <c:v>0.99800245886393757</c:v>
                </c:pt>
                <c:pt idx="7">
                  <c:v>1</c:v>
                </c:pt>
              </c:numCache>
            </c:numRef>
          </c:xVal>
          <c:yVal>
            <c:numRef>
              <c:f>Tanzania!$F$113:$F$120</c:f>
              <c:numCache>
                <c:formatCode>#,##0.0</c:formatCode>
                <c:ptCount val="8"/>
                <c:pt idx="0">
                  <c:v>0.30500242571867753</c:v>
                </c:pt>
                <c:pt idx="1">
                  <c:v>0.40685099694607069</c:v>
                </c:pt>
                <c:pt idx="2">
                  <c:v>2.0688930143559463</c:v>
                </c:pt>
                <c:pt idx="3">
                  <c:v>2.1240626025641425</c:v>
                </c:pt>
                <c:pt idx="4">
                  <c:v>3.8297176627719818</c:v>
                </c:pt>
                <c:pt idx="5">
                  <c:v>4.3097120828162012</c:v>
                </c:pt>
                <c:pt idx="6">
                  <c:v>10.91988824342349</c:v>
                </c:pt>
                <c:pt idx="7">
                  <c:v>23.423715545327802</c:v>
                </c:pt>
              </c:numCache>
            </c:numRef>
          </c:yVal>
          <c:smooth val="0"/>
        </c:ser>
        <c:dLbls>
          <c:showLegendKey val="0"/>
          <c:showVal val="1"/>
          <c:showCatName val="0"/>
          <c:showSerName val="0"/>
          <c:showPercent val="0"/>
          <c:showBubbleSize val="0"/>
        </c:dLbls>
        <c:axId val="99381248"/>
        <c:axId val="99384320"/>
      </c:scatterChart>
      <c:valAx>
        <c:axId val="99381248"/>
        <c:scaling>
          <c:orientation val="minMax"/>
          <c:max val="1"/>
        </c:scaling>
        <c:delete val="0"/>
        <c:axPos val="b"/>
        <c:title>
          <c:tx>
            <c:rich>
              <a:bodyPr/>
              <a:lstStyle/>
              <a:p>
                <a:pPr>
                  <a:defRPr b="0"/>
                </a:pPr>
                <a:r>
                  <a:rPr lang="en-US" b="0"/>
                  <a:t>Cumulative share of persons engaged</a:t>
                </a:r>
              </a:p>
            </c:rich>
          </c:tx>
          <c:overlay val="0"/>
        </c:title>
        <c:numFmt formatCode="#,##0.00" sourceLinked="0"/>
        <c:majorTickMark val="out"/>
        <c:minorTickMark val="none"/>
        <c:tickLblPos val="nextTo"/>
        <c:crossAx val="99384320"/>
        <c:crosses val="autoZero"/>
        <c:crossBetween val="midCat"/>
      </c:valAx>
      <c:valAx>
        <c:axId val="99384320"/>
        <c:scaling>
          <c:orientation val="minMax"/>
        </c:scaling>
        <c:delete val="0"/>
        <c:axPos val="l"/>
        <c:majorGridlines/>
        <c:title>
          <c:tx>
            <c:rich>
              <a:bodyPr rot="-5400000" vert="horz"/>
              <a:lstStyle/>
              <a:p>
                <a:pPr>
                  <a:defRPr b="0"/>
                </a:pPr>
                <a:r>
                  <a:rPr lang="en-US" b="0"/>
                  <a:t>Relative productivity</a:t>
                </a:r>
              </a:p>
            </c:rich>
          </c:tx>
          <c:overlay val="0"/>
        </c:title>
        <c:numFmt formatCode="#,##0" sourceLinked="0"/>
        <c:majorTickMark val="out"/>
        <c:minorTickMark val="none"/>
        <c:tickLblPos val="nextTo"/>
        <c:crossAx val="99381248"/>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'Productivity gaps'!$I$5</c:f>
              <c:strCache>
                <c:ptCount val="1"/>
                <c:pt idx="0">
                  <c:v>Agriculture</c:v>
                </c:pt>
              </c:strCache>
            </c:strRef>
          </c:tx>
          <c:spPr>
            <a:solidFill>
              <a:srgbClr val="13CF44"/>
            </a:solidFill>
            <a:ln w="3175">
              <a:solidFill>
                <a:schemeClr val="bg1">
                  <a:lumMod val="50000"/>
                </a:schemeClr>
              </a:solidFill>
            </a:ln>
          </c:spPr>
          <c:cat>
            <c:numRef>
              <c:f>'Productivity gaps'!$H$6:$H$27</c:f>
              <c:numCache>
                <c:formatCode>0.00</c:formatCode>
                <c:ptCount val="22"/>
                <c:pt idx="0">
                  <c:v>0</c:v>
                </c:pt>
                <c:pt idx="1">
                  <c:v>0</c:v>
                </c:pt>
                <c:pt idx="2">
                  <c:v>35.648049683100091</c:v>
                </c:pt>
                <c:pt idx="3">
                  <c:v>71.296099366200181</c:v>
                </c:pt>
                <c:pt idx="4">
                  <c:v>71.296099366200181</c:v>
                </c:pt>
                <c:pt idx="5">
                  <c:v>77.406525160576805</c:v>
                </c:pt>
                <c:pt idx="6">
                  <c:v>83.51695095495343</c:v>
                </c:pt>
                <c:pt idx="7">
                  <c:v>83.51695095495343</c:v>
                </c:pt>
                <c:pt idx="8">
                  <c:v>85.146114254115446</c:v>
                </c:pt>
                <c:pt idx="9">
                  <c:v>86.775277553277476</c:v>
                </c:pt>
                <c:pt idx="10">
                  <c:v>86.775277553277476</c:v>
                </c:pt>
                <c:pt idx="11">
                  <c:v>91.473478242375265</c:v>
                </c:pt>
                <c:pt idx="12">
                  <c:v>96.171678931473053</c:v>
                </c:pt>
                <c:pt idx="13">
                  <c:v>96.171678931473053</c:v>
                </c:pt>
                <c:pt idx="14">
                  <c:v>97.003275341358631</c:v>
                </c:pt>
                <c:pt idx="15">
                  <c:v>97.834871751244208</c:v>
                </c:pt>
                <c:pt idx="16">
                  <c:v>97.834871751244208</c:v>
                </c:pt>
                <c:pt idx="17">
                  <c:v>98.20919647794463</c:v>
                </c:pt>
                <c:pt idx="18">
                  <c:v>98.583521204645038</c:v>
                </c:pt>
                <c:pt idx="19">
                  <c:v>98.583521204645038</c:v>
                </c:pt>
                <c:pt idx="20">
                  <c:v>99.29176060232254</c:v>
                </c:pt>
                <c:pt idx="21">
                  <c:v>100.00000000000003</c:v>
                </c:pt>
              </c:numCache>
            </c:numRef>
          </c:cat>
          <c:val>
            <c:numRef>
              <c:f>'Productivity gaps'!$I$6:$I$27</c:f>
              <c:numCache>
                <c:formatCode>#,##0.0</c:formatCode>
                <c:ptCount val="22"/>
                <c:pt idx="0" formatCode="General">
                  <c:v>0</c:v>
                </c:pt>
                <c:pt idx="1">
                  <c:v>0.35536354298737183</c:v>
                </c:pt>
                <c:pt idx="2">
                  <c:v>0.35536354298737183</c:v>
                </c:pt>
                <c:pt idx="3">
                  <c:v>0.35536354298737183</c:v>
                </c:pt>
                <c:pt idx="4" formatCode="General">
                  <c:v>0</c:v>
                </c:pt>
              </c:numCache>
            </c:numRef>
          </c:val>
        </c:ser>
        <c:ser>
          <c:idx val="1"/>
          <c:order val="1"/>
          <c:tx>
            <c:strRef>
              <c:f>'Productivity gaps'!$J$5</c:f>
              <c:strCache>
                <c:ptCount val="1"/>
                <c:pt idx="0">
                  <c:v>Wholesale, retail, hotels</c:v>
                </c:pt>
              </c:strCache>
            </c:strRef>
          </c:tx>
          <c:spPr>
            <a:solidFill>
              <a:srgbClr val="6666FF"/>
            </a:solidFill>
            <a:ln w="3175">
              <a:solidFill>
                <a:schemeClr val="bg1">
                  <a:lumMod val="50000"/>
                </a:schemeClr>
              </a:solidFill>
            </a:ln>
          </c:spPr>
          <c:cat>
            <c:numRef>
              <c:f>'Productivity gaps'!$H$6:$H$27</c:f>
              <c:numCache>
                <c:formatCode>0.00</c:formatCode>
                <c:ptCount val="22"/>
                <c:pt idx="0">
                  <c:v>0</c:v>
                </c:pt>
                <c:pt idx="1">
                  <c:v>0</c:v>
                </c:pt>
                <c:pt idx="2">
                  <c:v>35.648049683100091</c:v>
                </c:pt>
                <c:pt idx="3">
                  <c:v>71.296099366200181</c:v>
                </c:pt>
                <c:pt idx="4">
                  <c:v>71.296099366200181</c:v>
                </c:pt>
                <c:pt idx="5">
                  <c:v>77.406525160576805</c:v>
                </c:pt>
                <c:pt idx="6">
                  <c:v>83.51695095495343</c:v>
                </c:pt>
                <c:pt idx="7">
                  <c:v>83.51695095495343</c:v>
                </c:pt>
                <c:pt idx="8">
                  <c:v>85.146114254115446</c:v>
                </c:pt>
                <c:pt idx="9">
                  <c:v>86.775277553277476</c:v>
                </c:pt>
                <c:pt idx="10">
                  <c:v>86.775277553277476</c:v>
                </c:pt>
                <c:pt idx="11">
                  <c:v>91.473478242375265</c:v>
                </c:pt>
                <c:pt idx="12">
                  <c:v>96.171678931473053</c:v>
                </c:pt>
                <c:pt idx="13">
                  <c:v>96.171678931473053</c:v>
                </c:pt>
                <c:pt idx="14">
                  <c:v>97.003275341358631</c:v>
                </c:pt>
                <c:pt idx="15">
                  <c:v>97.834871751244208</c:v>
                </c:pt>
                <c:pt idx="16">
                  <c:v>97.834871751244208</c:v>
                </c:pt>
                <c:pt idx="17">
                  <c:v>98.20919647794463</c:v>
                </c:pt>
                <c:pt idx="18">
                  <c:v>98.583521204645038</c:v>
                </c:pt>
                <c:pt idx="19">
                  <c:v>98.583521204645038</c:v>
                </c:pt>
                <c:pt idx="20">
                  <c:v>99.29176060232254</c:v>
                </c:pt>
                <c:pt idx="21">
                  <c:v>100.00000000000003</c:v>
                </c:pt>
              </c:numCache>
            </c:numRef>
          </c:cat>
          <c:val>
            <c:numRef>
              <c:f>'Productivity gaps'!$J$6:$J$27</c:f>
              <c:numCache>
                <c:formatCode>General</c:formatCode>
                <c:ptCount val="22"/>
                <c:pt idx="3">
                  <c:v>0</c:v>
                </c:pt>
                <c:pt idx="4" formatCode="#,##0.000">
                  <c:v>0.99700640259863005</c:v>
                </c:pt>
                <c:pt idx="5" formatCode="#,##0.000">
                  <c:v>0.99700640259863005</c:v>
                </c:pt>
                <c:pt idx="6" formatCode="#,##0.000">
                  <c:v>0.99700640259863005</c:v>
                </c:pt>
                <c:pt idx="7">
                  <c:v>0</c:v>
                </c:pt>
              </c:numCache>
            </c:numRef>
          </c:val>
        </c:ser>
        <c:ser>
          <c:idx val="2"/>
          <c:order val="2"/>
          <c:tx>
            <c:strRef>
              <c:f>'Productivity gaps'!$K$5</c:f>
              <c:strCache>
                <c:ptCount val="1"/>
                <c:pt idx="0">
                  <c:v>Manufacturing</c:v>
                </c:pt>
              </c:strCache>
            </c:strRef>
          </c:tx>
          <c:spPr>
            <a:solidFill>
              <a:srgbClr val="CC6600"/>
            </a:solidFill>
            <a:ln w="3175">
              <a:solidFill>
                <a:schemeClr val="bg1">
                  <a:lumMod val="50000"/>
                </a:schemeClr>
              </a:solidFill>
            </a:ln>
          </c:spPr>
          <c:cat>
            <c:numRef>
              <c:f>'Productivity gaps'!$H$6:$H$27</c:f>
              <c:numCache>
                <c:formatCode>0.00</c:formatCode>
                <c:ptCount val="22"/>
                <c:pt idx="0">
                  <c:v>0</c:v>
                </c:pt>
                <c:pt idx="1">
                  <c:v>0</c:v>
                </c:pt>
                <c:pt idx="2">
                  <c:v>35.648049683100091</c:v>
                </c:pt>
                <c:pt idx="3">
                  <c:v>71.296099366200181</c:v>
                </c:pt>
                <c:pt idx="4">
                  <c:v>71.296099366200181</c:v>
                </c:pt>
                <c:pt idx="5">
                  <c:v>77.406525160576805</c:v>
                </c:pt>
                <c:pt idx="6">
                  <c:v>83.51695095495343</c:v>
                </c:pt>
                <c:pt idx="7">
                  <c:v>83.51695095495343</c:v>
                </c:pt>
                <c:pt idx="8">
                  <c:v>85.146114254115446</c:v>
                </c:pt>
                <c:pt idx="9">
                  <c:v>86.775277553277476</c:v>
                </c:pt>
                <c:pt idx="10">
                  <c:v>86.775277553277476</c:v>
                </c:pt>
                <c:pt idx="11">
                  <c:v>91.473478242375265</c:v>
                </c:pt>
                <c:pt idx="12">
                  <c:v>96.171678931473053</c:v>
                </c:pt>
                <c:pt idx="13">
                  <c:v>96.171678931473053</c:v>
                </c:pt>
                <c:pt idx="14">
                  <c:v>97.003275341358631</c:v>
                </c:pt>
                <c:pt idx="15">
                  <c:v>97.834871751244208</c:v>
                </c:pt>
                <c:pt idx="16">
                  <c:v>97.834871751244208</c:v>
                </c:pt>
                <c:pt idx="17">
                  <c:v>98.20919647794463</c:v>
                </c:pt>
                <c:pt idx="18">
                  <c:v>98.583521204645038</c:v>
                </c:pt>
                <c:pt idx="19">
                  <c:v>98.583521204645038</c:v>
                </c:pt>
                <c:pt idx="20">
                  <c:v>99.29176060232254</c:v>
                </c:pt>
                <c:pt idx="21">
                  <c:v>100.00000000000003</c:v>
                </c:pt>
              </c:numCache>
            </c:numRef>
          </c:cat>
          <c:val>
            <c:numRef>
              <c:f>'Productivity gaps'!$K$6:$K$27</c:f>
              <c:numCache>
                <c:formatCode>General</c:formatCode>
                <c:ptCount val="22"/>
                <c:pt idx="6">
                  <c:v>0</c:v>
                </c:pt>
                <c:pt idx="7" formatCode="#,##0.000">
                  <c:v>2.4846590100494717</c:v>
                </c:pt>
                <c:pt idx="8" formatCode="#,##0.000">
                  <c:v>2.4846590100494717</c:v>
                </c:pt>
                <c:pt idx="9" formatCode="#,##0.000">
                  <c:v>2.4846590100494717</c:v>
                </c:pt>
                <c:pt idx="10">
                  <c:v>0</c:v>
                </c:pt>
              </c:numCache>
            </c:numRef>
          </c:val>
        </c:ser>
        <c:ser>
          <c:idx val="3"/>
          <c:order val="3"/>
          <c:tx>
            <c:strRef>
              <c:f>'Productivity gaps'!$L$5</c:f>
              <c:strCache>
                <c:ptCount val="1"/>
                <c:pt idx="0">
                  <c:v>Other</c:v>
                </c:pt>
              </c:strCache>
            </c:strRef>
          </c:tx>
          <c:spPr>
            <a:solidFill>
              <a:srgbClr val="FF00FF"/>
            </a:solidFill>
            <a:ln w="3175">
              <a:solidFill>
                <a:schemeClr val="bg1">
                  <a:lumMod val="50000"/>
                </a:schemeClr>
              </a:solidFill>
            </a:ln>
          </c:spPr>
          <c:cat>
            <c:numRef>
              <c:f>'Productivity gaps'!$H$6:$H$27</c:f>
              <c:numCache>
                <c:formatCode>0.00</c:formatCode>
                <c:ptCount val="22"/>
                <c:pt idx="0">
                  <c:v>0</c:v>
                </c:pt>
                <c:pt idx="1">
                  <c:v>0</c:v>
                </c:pt>
                <c:pt idx="2">
                  <c:v>35.648049683100091</c:v>
                </c:pt>
                <c:pt idx="3">
                  <c:v>71.296099366200181</c:v>
                </c:pt>
                <c:pt idx="4">
                  <c:v>71.296099366200181</c:v>
                </c:pt>
                <c:pt idx="5">
                  <c:v>77.406525160576805</c:v>
                </c:pt>
                <c:pt idx="6">
                  <c:v>83.51695095495343</c:v>
                </c:pt>
                <c:pt idx="7">
                  <c:v>83.51695095495343</c:v>
                </c:pt>
                <c:pt idx="8">
                  <c:v>85.146114254115446</c:v>
                </c:pt>
                <c:pt idx="9">
                  <c:v>86.775277553277476</c:v>
                </c:pt>
                <c:pt idx="10">
                  <c:v>86.775277553277476</c:v>
                </c:pt>
                <c:pt idx="11">
                  <c:v>91.473478242375265</c:v>
                </c:pt>
                <c:pt idx="12">
                  <c:v>96.171678931473053</c:v>
                </c:pt>
                <c:pt idx="13">
                  <c:v>96.171678931473053</c:v>
                </c:pt>
                <c:pt idx="14">
                  <c:v>97.003275341358631</c:v>
                </c:pt>
                <c:pt idx="15">
                  <c:v>97.834871751244208</c:v>
                </c:pt>
                <c:pt idx="16">
                  <c:v>97.834871751244208</c:v>
                </c:pt>
                <c:pt idx="17">
                  <c:v>98.20919647794463</c:v>
                </c:pt>
                <c:pt idx="18">
                  <c:v>98.583521204645038</c:v>
                </c:pt>
                <c:pt idx="19">
                  <c:v>98.583521204645038</c:v>
                </c:pt>
                <c:pt idx="20">
                  <c:v>99.29176060232254</c:v>
                </c:pt>
                <c:pt idx="21">
                  <c:v>100.00000000000003</c:v>
                </c:pt>
              </c:numCache>
            </c:numRef>
          </c:cat>
          <c:val>
            <c:numRef>
              <c:f>'Productivity gaps'!$L$6:$L$27</c:f>
              <c:numCache>
                <c:formatCode>General</c:formatCode>
                <c:ptCount val="22"/>
                <c:pt idx="9">
                  <c:v>0</c:v>
                </c:pt>
                <c:pt idx="10" formatCode="#,##0.0">
                  <c:v>3.0375661240673266</c:v>
                </c:pt>
                <c:pt idx="11" formatCode="#,##0.0">
                  <c:v>3.0375661240673266</c:v>
                </c:pt>
                <c:pt idx="12" formatCode="#,##0.0">
                  <c:v>3.0375661240673266</c:v>
                </c:pt>
                <c:pt idx="13">
                  <c:v>0</c:v>
                </c:pt>
              </c:numCache>
            </c:numRef>
          </c:val>
        </c:ser>
        <c:ser>
          <c:idx val="4"/>
          <c:order val="4"/>
          <c:tx>
            <c:strRef>
              <c:f>'Productivity gaps'!$M$5</c:f>
              <c:strCache>
                <c:ptCount val="1"/>
                <c:pt idx="0">
                  <c:v>Transport, storage, comms</c:v>
                </c:pt>
              </c:strCache>
            </c:strRef>
          </c:tx>
          <c:spPr>
            <a:solidFill>
              <a:srgbClr val="66FFFF"/>
            </a:solidFill>
            <a:ln w="3175">
              <a:solidFill>
                <a:schemeClr val="bg1">
                  <a:lumMod val="50000"/>
                </a:schemeClr>
              </a:solidFill>
            </a:ln>
          </c:spPr>
          <c:cat>
            <c:numRef>
              <c:f>'Productivity gaps'!$H$6:$H$27</c:f>
              <c:numCache>
                <c:formatCode>0.00</c:formatCode>
                <c:ptCount val="22"/>
                <c:pt idx="0">
                  <c:v>0</c:v>
                </c:pt>
                <c:pt idx="1">
                  <c:v>0</c:v>
                </c:pt>
                <c:pt idx="2">
                  <c:v>35.648049683100091</c:v>
                </c:pt>
                <c:pt idx="3">
                  <c:v>71.296099366200181</c:v>
                </c:pt>
                <c:pt idx="4">
                  <c:v>71.296099366200181</c:v>
                </c:pt>
                <c:pt idx="5">
                  <c:v>77.406525160576805</c:v>
                </c:pt>
                <c:pt idx="6">
                  <c:v>83.51695095495343</c:v>
                </c:pt>
                <c:pt idx="7">
                  <c:v>83.51695095495343</c:v>
                </c:pt>
                <c:pt idx="8">
                  <c:v>85.146114254115446</c:v>
                </c:pt>
                <c:pt idx="9">
                  <c:v>86.775277553277476</c:v>
                </c:pt>
                <c:pt idx="10">
                  <c:v>86.775277553277476</c:v>
                </c:pt>
                <c:pt idx="11">
                  <c:v>91.473478242375265</c:v>
                </c:pt>
                <c:pt idx="12">
                  <c:v>96.171678931473053</c:v>
                </c:pt>
                <c:pt idx="13">
                  <c:v>96.171678931473053</c:v>
                </c:pt>
                <c:pt idx="14">
                  <c:v>97.003275341358631</c:v>
                </c:pt>
                <c:pt idx="15">
                  <c:v>97.834871751244208</c:v>
                </c:pt>
                <c:pt idx="16">
                  <c:v>97.834871751244208</c:v>
                </c:pt>
                <c:pt idx="17">
                  <c:v>98.20919647794463</c:v>
                </c:pt>
                <c:pt idx="18">
                  <c:v>98.583521204645038</c:v>
                </c:pt>
                <c:pt idx="19">
                  <c:v>98.583521204645038</c:v>
                </c:pt>
                <c:pt idx="20">
                  <c:v>99.29176060232254</c:v>
                </c:pt>
                <c:pt idx="21">
                  <c:v>100.00000000000003</c:v>
                </c:pt>
              </c:numCache>
            </c:numRef>
          </c:cat>
          <c:val>
            <c:numRef>
              <c:f>'Productivity gaps'!$M$6:$M$27</c:f>
              <c:numCache>
                <c:formatCode>General</c:formatCode>
                <c:ptCount val="22"/>
                <c:pt idx="12">
                  <c:v>0</c:v>
                </c:pt>
                <c:pt idx="13" formatCode="#,##0.0">
                  <c:v>6.2894886338449272</c:v>
                </c:pt>
                <c:pt idx="14" formatCode="#,##0.0">
                  <c:v>6.2894886338449272</c:v>
                </c:pt>
                <c:pt idx="15" formatCode="#,##0.0">
                  <c:v>6.2894886338449272</c:v>
                </c:pt>
                <c:pt idx="16">
                  <c:v>0</c:v>
                </c:pt>
              </c:numCache>
            </c:numRef>
          </c:val>
        </c:ser>
        <c:ser>
          <c:idx val="5"/>
          <c:order val="5"/>
          <c:tx>
            <c:strRef>
              <c:f>'Productivity gaps'!$N$5</c:f>
              <c:strCache>
                <c:ptCount val="1"/>
                <c:pt idx="0">
                  <c:v>Mining &amp; utilities</c:v>
                </c:pt>
              </c:strCache>
            </c:strRef>
          </c:tx>
          <c:spPr>
            <a:solidFill>
              <a:srgbClr val="000000"/>
            </a:solidFill>
            <a:ln w="3175">
              <a:solidFill>
                <a:schemeClr val="bg1">
                  <a:lumMod val="50000"/>
                </a:schemeClr>
              </a:solidFill>
            </a:ln>
          </c:spPr>
          <c:cat>
            <c:numRef>
              <c:f>'Productivity gaps'!$H$6:$H$27</c:f>
              <c:numCache>
                <c:formatCode>0.00</c:formatCode>
                <c:ptCount val="22"/>
                <c:pt idx="0">
                  <c:v>0</c:v>
                </c:pt>
                <c:pt idx="1">
                  <c:v>0</c:v>
                </c:pt>
                <c:pt idx="2">
                  <c:v>35.648049683100091</c:v>
                </c:pt>
                <c:pt idx="3">
                  <c:v>71.296099366200181</c:v>
                </c:pt>
                <c:pt idx="4">
                  <c:v>71.296099366200181</c:v>
                </c:pt>
                <c:pt idx="5">
                  <c:v>77.406525160576805</c:v>
                </c:pt>
                <c:pt idx="6">
                  <c:v>83.51695095495343</c:v>
                </c:pt>
                <c:pt idx="7">
                  <c:v>83.51695095495343</c:v>
                </c:pt>
                <c:pt idx="8">
                  <c:v>85.146114254115446</c:v>
                </c:pt>
                <c:pt idx="9">
                  <c:v>86.775277553277476</c:v>
                </c:pt>
                <c:pt idx="10">
                  <c:v>86.775277553277476</c:v>
                </c:pt>
                <c:pt idx="11">
                  <c:v>91.473478242375265</c:v>
                </c:pt>
                <c:pt idx="12">
                  <c:v>96.171678931473053</c:v>
                </c:pt>
                <c:pt idx="13">
                  <c:v>96.171678931473053</c:v>
                </c:pt>
                <c:pt idx="14">
                  <c:v>97.003275341358631</c:v>
                </c:pt>
                <c:pt idx="15">
                  <c:v>97.834871751244208</c:v>
                </c:pt>
                <c:pt idx="16">
                  <c:v>97.834871751244208</c:v>
                </c:pt>
                <c:pt idx="17">
                  <c:v>98.20919647794463</c:v>
                </c:pt>
                <c:pt idx="18">
                  <c:v>98.583521204645038</c:v>
                </c:pt>
                <c:pt idx="19">
                  <c:v>98.583521204645038</c:v>
                </c:pt>
                <c:pt idx="20">
                  <c:v>99.29176060232254</c:v>
                </c:pt>
                <c:pt idx="21">
                  <c:v>100.00000000000003</c:v>
                </c:pt>
              </c:numCache>
            </c:numRef>
          </c:cat>
          <c:val>
            <c:numRef>
              <c:f>'Productivity gaps'!$N$6:$N$27</c:f>
              <c:numCache>
                <c:formatCode>General</c:formatCode>
                <c:ptCount val="22"/>
                <c:pt idx="15">
                  <c:v>0</c:v>
                </c:pt>
                <c:pt idx="16" formatCode="#,##0.0">
                  <c:v>6.3752549781679386</c:v>
                </c:pt>
                <c:pt idx="17" formatCode="#,##0.0">
                  <c:v>6.3752549781679386</c:v>
                </c:pt>
                <c:pt idx="18" formatCode="#,##0.0">
                  <c:v>6.3752549781679386</c:v>
                </c:pt>
                <c:pt idx="19">
                  <c:v>0</c:v>
                </c:pt>
              </c:numCache>
            </c:numRef>
          </c:val>
        </c:ser>
        <c:ser>
          <c:idx val="6"/>
          <c:order val="6"/>
          <c:tx>
            <c:strRef>
              <c:f>'Productivity gaps'!$O$5</c:f>
              <c:strCache>
                <c:ptCount val="1"/>
                <c:pt idx="0">
                  <c:v>Construction</c:v>
                </c:pt>
              </c:strCache>
            </c:strRef>
          </c:tx>
          <c:spPr>
            <a:solidFill>
              <a:srgbClr val="FFFF00"/>
            </a:solidFill>
            <a:ln w="3175">
              <a:solidFill>
                <a:schemeClr val="bg1">
                  <a:lumMod val="50000"/>
                </a:schemeClr>
              </a:solidFill>
            </a:ln>
          </c:spPr>
          <c:cat>
            <c:numRef>
              <c:f>'Productivity gaps'!$H$6:$H$27</c:f>
              <c:numCache>
                <c:formatCode>0.00</c:formatCode>
                <c:ptCount val="22"/>
                <c:pt idx="0">
                  <c:v>0</c:v>
                </c:pt>
                <c:pt idx="1">
                  <c:v>0</c:v>
                </c:pt>
                <c:pt idx="2">
                  <c:v>35.648049683100091</c:v>
                </c:pt>
                <c:pt idx="3">
                  <c:v>71.296099366200181</c:v>
                </c:pt>
                <c:pt idx="4">
                  <c:v>71.296099366200181</c:v>
                </c:pt>
                <c:pt idx="5">
                  <c:v>77.406525160576805</c:v>
                </c:pt>
                <c:pt idx="6">
                  <c:v>83.51695095495343</c:v>
                </c:pt>
                <c:pt idx="7">
                  <c:v>83.51695095495343</c:v>
                </c:pt>
                <c:pt idx="8">
                  <c:v>85.146114254115446</c:v>
                </c:pt>
                <c:pt idx="9">
                  <c:v>86.775277553277476</c:v>
                </c:pt>
                <c:pt idx="10">
                  <c:v>86.775277553277476</c:v>
                </c:pt>
                <c:pt idx="11">
                  <c:v>91.473478242375265</c:v>
                </c:pt>
                <c:pt idx="12">
                  <c:v>96.171678931473053</c:v>
                </c:pt>
                <c:pt idx="13">
                  <c:v>96.171678931473053</c:v>
                </c:pt>
                <c:pt idx="14">
                  <c:v>97.003275341358631</c:v>
                </c:pt>
                <c:pt idx="15">
                  <c:v>97.834871751244208</c:v>
                </c:pt>
                <c:pt idx="16">
                  <c:v>97.834871751244208</c:v>
                </c:pt>
                <c:pt idx="17">
                  <c:v>98.20919647794463</c:v>
                </c:pt>
                <c:pt idx="18">
                  <c:v>98.583521204645038</c:v>
                </c:pt>
                <c:pt idx="19">
                  <c:v>98.583521204645038</c:v>
                </c:pt>
                <c:pt idx="20">
                  <c:v>99.29176060232254</c:v>
                </c:pt>
                <c:pt idx="21">
                  <c:v>100.00000000000003</c:v>
                </c:pt>
              </c:numCache>
            </c:numRef>
          </c:cat>
          <c:val>
            <c:numRef>
              <c:f>'Productivity gaps'!$O$6:$O$27</c:f>
              <c:numCache>
                <c:formatCode>General</c:formatCode>
                <c:ptCount val="22"/>
                <c:pt idx="18">
                  <c:v>0</c:v>
                </c:pt>
                <c:pt idx="19" formatCode="#,##0.0">
                  <c:v>7.4891440227304766</c:v>
                </c:pt>
                <c:pt idx="20" formatCode="#,##0.0">
                  <c:v>7.4891440227304766</c:v>
                </c:pt>
                <c:pt idx="21" formatCode="#,##0.0">
                  <c:v>7.4891440227304766</c:v>
                </c:pt>
              </c:numCache>
            </c:numRef>
          </c:val>
        </c:ser>
        <c:dLbls>
          <c:showLegendKey val="0"/>
          <c:showVal val="0"/>
          <c:showCatName val="0"/>
          <c:showSerName val="0"/>
          <c:showPercent val="0"/>
          <c:showBubbleSize val="0"/>
        </c:dLbls>
        <c:axId val="98801152"/>
        <c:axId val="98803072"/>
      </c:areaChart>
      <c:dateAx>
        <c:axId val="98801152"/>
        <c:scaling>
          <c:orientation val="minMax"/>
          <c:max val="100"/>
        </c:scaling>
        <c:delete val="0"/>
        <c:axPos val="b"/>
        <c:title>
          <c:tx>
            <c:rich>
              <a:bodyPr/>
              <a:lstStyle/>
              <a:p>
                <a:pPr>
                  <a:defRPr b="0"/>
                </a:pPr>
                <a:r>
                  <a:rPr lang="en-GB" b="0"/>
                  <a:t>Cumulative employment share (%)</a:t>
                </a:r>
              </a:p>
            </c:rich>
          </c:tx>
          <c:overlay val="0"/>
        </c:title>
        <c:numFmt formatCode="0" sourceLinked="0"/>
        <c:majorTickMark val="out"/>
        <c:minorTickMark val="none"/>
        <c:tickLblPos val="nextTo"/>
        <c:crossAx val="98803072"/>
        <c:crosses val="autoZero"/>
        <c:auto val="0"/>
        <c:lblOffset val="100"/>
        <c:baseTimeUnit val="days"/>
        <c:majorUnit val="10"/>
        <c:majorTimeUnit val="days"/>
      </c:dateAx>
      <c:valAx>
        <c:axId val="98803072"/>
        <c:scaling>
          <c:orientation val="minMax"/>
        </c:scaling>
        <c:delete val="0"/>
        <c:axPos val="l"/>
        <c:majorGridlines/>
        <c:title>
          <c:tx>
            <c:rich>
              <a:bodyPr rot="-5400000" vert="horz"/>
              <a:lstStyle/>
              <a:p>
                <a:pPr>
                  <a:defRPr b="0"/>
                </a:pPr>
                <a:r>
                  <a:rPr lang="en-US" b="0"/>
                  <a:t>Relative productivity</a:t>
                </a:r>
              </a:p>
            </c:rich>
          </c:tx>
          <c:overlay val="0"/>
        </c:title>
        <c:numFmt formatCode="General" sourceLinked="1"/>
        <c:majorTickMark val="out"/>
        <c:minorTickMark val="none"/>
        <c:tickLblPos val="nextTo"/>
        <c:crossAx val="98801152"/>
        <c:crosses val="autoZero"/>
        <c:crossBetween val="midCat"/>
      </c:valAx>
    </c:plotArea>
    <c:legend>
      <c:legendPos val="r"/>
      <c:overlay val="0"/>
    </c:legend>
    <c:plotVisOnly val="1"/>
    <c:dispBlanksAs val="zero"/>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1"/>
            </a:pPr>
            <a:r>
              <a:rPr lang="en-US" sz="800" b="1"/>
              <a:t>Male</a:t>
            </a:r>
          </a:p>
        </c:rich>
      </c:tx>
      <c:layout>
        <c:manualLayout>
          <c:xMode val="edge"/>
          <c:yMode val="edge"/>
          <c:x val="0.53454986208218025"/>
          <c:y val="2.7777777777777776E-2"/>
        </c:manualLayout>
      </c:layout>
      <c:overlay val="0"/>
    </c:title>
    <c:autoTitleDeleted val="0"/>
    <c:plotArea>
      <c:layout/>
      <c:barChart>
        <c:barDir val="col"/>
        <c:grouping val="percentStacked"/>
        <c:varyColors val="0"/>
        <c:ser>
          <c:idx val="0"/>
          <c:order val="0"/>
          <c:tx>
            <c:strRef>
              <c:f>'Emp by sex (ILO)'!$C$6</c:f>
              <c:strCache>
                <c:ptCount val="1"/>
                <c:pt idx="0">
                  <c:v>Agriculture</c:v>
                </c:pt>
              </c:strCache>
            </c:strRef>
          </c:tx>
          <c:spPr>
            <a:solidFill>
              <a:srgbClr val="006C67"/>
            </a:solidFill>
          </c:spPr>
          <c:invertIfNegative val="0"/>
          <c:cat>
            <c:numRef>
              <c:f>'Emp by sex (ILO)'!$A$7:$A$11</c:f>
              <c:numCache>
                <c:formatCode>0</c:formatCode>
                <c:ptCount val="5"/>
                <c:pt idx="0">
                  <c:v>1991</c:v>
                </c:pt>
                <c:pt idx="1">
                  <c:v>2000</c:v>
                </c:pt>
                <c:pt idx="2">
                  <c:v>2005</c:v>
                </c:pt>
                <c:pt idx="3">
                  <c:v>2010</c:v>
                </c:pt>
                <c:pt idx="4">
                  <c:v>2012</c:v>
                </c:pt>
              </c:numCache>
            </c:numRef>
          </c:cat>
          <c:val>
            <c:numRef>
              <c:f>'Emp by sex (ILO)'!$C$7:$C$11</c:f>
              <c:numCache>
                <c:formatCode>0.0</c:formatCode>
                <c:ptCount val="5"/>
                <c:pt idx="0">
                  <c:v>77.889755249023437</c:v>
                </c:pt>
                <c:pt idx="1">
                  <c:v>80.059516906738281</c:v>
                </c:pt>
                <c:pt idx="2">
                  <c:v>74.36077880859375</c:v>
                </c:pt>
                <c:pt idx="3">
                  <c:v>69.3582763671875</c:v>
                </c:pt>
                <c:pt idx="4">
                  <c:v>68.598251342773438</c:v>
                </c:pt>
              </c:numCache>
            </c:numRef>
          </c:val>
        </c:ser>
        <c:ser>
          <c:idx val="1"/>
          <c:order val="1"/>
          <c:tx>
            <c:strRef>
              <c:f>'Emp by sex (ILO)'!$D$6</c:f>
              <c:strCache>
                <c:ptCount val="1"/>
                <c:pt idx="0">
                  <c:v>Industry</c:v>
                </c:pt>
              </c:strCache>
            </c:strRef>
          </c:tx>
          <c:spPr>
            <a:solidFill>
              <a:srgbClr val="E0E0E0"/>
            </a:solidFill>
          </c:spPr>
          <c:invertIfNegative val="0"/>
          <c:cat>
            <c:numRef>
              <c:f>'Emp by sex (ILO)'!$A$7:$A$11</c:f>
              <c:numCache>
                <c:formatCode>0</c:formatCode>
                <c:ptCount val="5"/>
                <c:pt idx="0">
                  <c:v>1991</c:v>
                </c:pt>
                <c:pt idx="1">
                  <c:v>2000</c:v>
                </c:pt>
                <c:pt idx="2">
                  <c:v>2005</c:v>
                </c:pt>
                <c:pt idx="3">
                  <c:v>2010</c:v>
                </c:pt>
                <c:pt idx="4">
                  <c:v>2012</c:v>
                </c:pt>
              </c:numCache>
            </c:numRef>
          </c:cat>
          <c:val>
            <c:numRef>
              <c:f>'Emp by sex (ILO)'!$D$7:$D$11</c:f>
              <c:numCache>
                <c:formatCode>0.0</c:formatCode>
                <c:ptCount val="5"/>
                <c:pt idx="0">
                  <c:v>6.8077621459960938</c:v>
                </c:pt>
                <c:pt idx="1">
                  <c:v>4.2429695129394531</c:v>
                </c:pt>
                <c:pt idx="2">
                  <c:v>5.9975285530090332</c:v>
                </c:pt>
                <c:pt idx="3">
                  <c:v>7.8288455009460449</c:v>
                </c:pt>
                <c:pt idx="4">
                  <c:v>8.0959959030151367</c:v>
                </c:pt>
              </c:numCache>
            </c:numRef>
          </c:val>
        </c:ser>
        <c:ser>
          <c:idx val="2"/>
          <c:order val="2"/>
          <c:tx>
            <c:strRef>
              <c:f>'Emp by sex (ILO)'!$E$6</c:f>
              <c:strCache>
                <c:ptCount val="1"/>
                <c:pt idx="0">
                  <c:v>Services</c:v>
                </c:pt>
              </c:strCache>
            </c:strRef>
          </c:tx>
          <c:spPr>
            <a:solidFill>
              <a:srgbClr val="F7941E"/>
            </a:solidFill>
          </c:spPr>
          <c:invertIfNegative val="0"/>
          <c:cat>
            <c:numRef>
              <c:f>'Emp by sex (ILO)'!$A$7:$A$11</c:f>
              <c:numCache>
                <c:formatCode>0</c:formatCode>
                <c:ptCount val="5"/>
                <c:pt idx="0">
                  <c:v>1991</c:v>
                </c:pt>
                <c:pt idx="1">
                  <c:v>2000</c:v>
                </c:pt>
                <c:pt idx="2">
                  <c:v>2005</c:v>
                </c:pt>
                <c:pt idx="3">
                  <c:v>2010</c:v>
                </c:pt>
                <c:pt idx="4">
                  <c:v>2012</c:v>
                </c:pt>
              </c:numCache>
            </c:numRef>
          </c:cat>
          <c:val>
            <c:numRef>
              <c:f>'Emp by sex (ILO)'!$E$7:$E$11</c:f>
              <c:numCache>
                <c:formatCode>0.0</c:formatCode>
                <c:ptCount val="5"/>
                <c:pt idx="0">
                  <c:v>15.302477836608887</c:v>
                </c:pt>
                <c:pt idx="1">
                  <c:v>15.697512626647949</c:v>
                </c:pt>
                <c:pt idx="2">
                  <c:v>19.641687393188477</c:v>
                </c:pt>
                <c:pt idx="3">
                  <c:v>22.812875747680664</c:v>
                </c:pt>
                <c:pt idx="4">
                  <c:v>23.305744171142578</c:v>
                </c:pt>
              </c:numCache>
            </c:numRef>
          </c:val>
        </c:ser>
        <c:dLbls>
          <c:showLegendKey val="0"/>
          <c:showVal val="0"/>
          <c:showCatName val="0"/>
          <c:showSerName val="0"/>
          <c:showPercent val="0"/>
          <c:showBubbleSize val="0"/>
        </c:dLbls>
        <c:gapWidth val="150"/>
        <c:overlap val="100"/>
        <c:axId val="101588352"/>
        <c:axId val="101598336"/>
      </c:barChart>
      <c:catAx>
        <c:axId val="101588352"/>
        <c:scaling>
          <c:orientation val="minMax"/>
        </c:scaling>
        <c:delete val="0"/>
        <c:axPos val="b"/>
        <c:numFmt formatCode="0" sourceLinked="1"/>
        <c:majorTickMark val="out"/>
        <c:minorTickMark val="none"/>
        <c:tickLblPos val="nextTo"/>
        <c:crossAx val="101598336"/>
        <c:crosses val="autoZero"/>
        <c:auto val="1"/>
        <c:lblAlgn val="ctr"/>
        <c:lblOffset val="100"/>
        <c:noMultiLvlLbl val="0"/>
      </c:catAx>
      <c:valAx>
        <c:axId val="101598336"/>
        <c:scaling>
          <c:orientation val="minMax"/>
        </c:scaling>
        <c:delete val="0"/>
        <c:axPos val="l"/>
        <c:majorGridlines/>
        <c:title>
          <c:tx>
            <c:rich>
              <a:bodyPr rot="-5400000" vert="horz"/>
              <a:lstStyle/>
              <a:p>
                <a:pPr>
                  <a:defRPr b="0"/>
                </a:pPr>
                <a:r>
                  <a:rPr lang="en-US" b="0"/>
                  <a:t>Percent of workforce</a:t>
                </a:r>
              </a:p>
            </c:rich>
          </c:tx>
          <c:overlay val="0"/>
        </c:title>
        <c:numFmt formatCode="0%" sourceLinked="1"/>
        <c:majorTickMark val="out"/>
        <c:minorTickMark val="none"/>
        <c:tickLblPos val="nextTo"/>
        <c:crossAx val="101588352"/>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1"/>
            </a:pPr>
            <a:r>
              <a:rPr lang="en-US" sz="800" b="1"/>
              <a:t>Female</a:t>
            </a:r>
          </a:p>
        </c:rich>
      </c:tx>
      <c:layout>
        <c:manualLayout>
          <c:xMode val="edge"/>
          <c:yMode val="edge"/>
          <c:x val="0.26298095716758807"/>
          <c:y val="3.2407407407407406E-2"/>
        </c:manualLayout>
      </c:layout>
      <c:overlay val="0"/>
    </c:title>
    <c:autoTitleDeleted val="0"/>
    <c:plotArea>
      <c:layout/>
      <c:barChart>
        <c:barDir val="col"/>
        <c:grouping val="percentStacked"/>
        <c:varyColors val="0"/>
        <c:ser>
          <c:idx val="0"/>
          <c:order val="0"/>
          <c:tx>
            <c:strRef>
              <c:f>'Emp by sex (ILO)'!$G$6</c:f>
              <c:strCache>
                <c:ptCount val="1"/>
                <c:pt idx="0">
                  <c:v>Agriculture</c:v>
                </c:pt>
              </c:strCache>
            </c:strRef>
          </c:tx>
          <c:spPr>
            <a:solidFill>
              <a:srgbClr val="006C67"/>
            </a:solidFill>
          </c:spPr>
          <c:invertIfNegative val="0"/>
          <c:cat>
            <c:numRef>
              <c:f>'Emp by sex (ILO)'!$A$7:$A$11</c:f>
              <c:numCache>
                <c:formatCode>0</c:formatCode>
                <c:ptCount val="5"/>
                <c:pt idx="0">
                  <c:v>1991</c:v>
                </c:pt>
                <c:pt idx="1">
                  <c:v>2000</c:v>
                </c:pt>
                <c:pt idx="2">
                  <c:v>2005</c:v>
                </c:pt>
                <c:pt idx="3">
                  <c:v>2010</c:v>
                </c:pt>
                <c:pt idx="4">
                  <c:v>2012</c:v>
                </c:pt>
              </c:numCache>
            </c:numRef>
          </c:cat>
          <c:val>
            <c:numRef>
              <c:f>'Emp by sex (ILO)'!$G$7:$G$11</c:f>
              <c:numCache>
                <c:formatCode>0.0</c:formatCode>
                <c:ptCount val="5"/>
                <c:pt idx="0">
                  <c:v>90.357696533203125</c:v>
                </c:pt>
                <c:pt idx="1">
                  <c:v>84.757881164550781</c:v>
                </c:pt>
                <c:pt idx="2">
                  <c:v>80.840263366699219</c:v>
                </c:pt>
                <c:pt idx="3">
                  <c:v>77.639274597167969</c:v>
                </c:pt>
                <c:pt idx="4">
                  <c:v>77.086418151855469</c:v>
                </c:pt>
              </c:numCache>
            </c:numRef>
          </c:val>
        </c:ser>
        <c:ser>
          <c:idx val="1"/>
          <c:order val="1"/>
          <c:tx>
            <c:strRef>
              <c:f>'Emp by sex (ILO)'!$H$6</c:f>
              <c:strCache>
                <c:ptCount val="1"/>
                <c:pt idx="0">
                  <c:v>Industry</c:v>
                </c:pt>
              </c:strCache>
            </c:strRef>
          </c:tx>
          <c:spPr>
            <a:solidFill>
              <a:srgbClr val="E0E0E0"/>
            </a:solidFill>
            <a:ln>
              <a:noFill/>
            </a:ln>
          </c:spPr>
          <c:invertIfNegative val="0"/>
          <c:cat>
            <c:numRef>
              <c:f>'Emp by sex (ILO)'!$A$7:$A$11</c:f>
              <c:numCache>
                <c:formatCode>0</c:formatCode>
                <c:ptCount val="5"/>
                <c:pt idx="0">
                  <c:v>1991</c:v>
                </c:pt>
                <c:pt idx="1">
                  <c:v>2000</c:v>
                </c:pt>
                <c:pt idx="2">
                  <c:v>2005</c:v>
                </c:pt>
                <c:pt idx="3">
                  <c:v>2010</c:v>
                </c:pt>
                <c:pt idx="4">
                  <c:v>2012</c:v>
                </c:pt>
              </c:numCache>
            </c:numRef>
          </c:cat>
          <c:val>
            <c:numRef>
              <c:f>'Emp by sex (ILO)'!$H$7:$H$11</c:f>
              <c:numCache>
                <c:formatCode>0.0</c:formatCode>
                <c:ptCount val="5"/>
                <c:pt idx="0">
                  <c:v>1.4188677072525024</c:v>
                </c:pt>
                <c:pt idx="1">
                  <c:v>1.2380549907684326</c:v>
                </c:pt>
                <c:pt idx="2">
                  <c:v>1.8976508378982544</c:v>
                </c:pt>
                <c:pt idx="3">
                  <c:v>2.5613901615142822</c:v>
                </c:pt>
                <c:pt idx="4">
                  <c:v>2.6726057529449463</c:v>
                </c:pt>
              </c:numCache>
            </c:numRef>
          </c:val>
        </c:ser>
        <c:ser>
          <c:idx val="2"/>
          <c:order val="2"/>
          <c:tx>
            <c:strRef>
              <c:f>'Emp by sex (ILO)'!$I$6</c:f>
              <c:strCache>
                <c:ptCount val="1"/>
                <c:pt idx="0">
                  <c:v>Services</c:v>
                </c:pt>
              </c:strCache>
            </c:strRef>
          </c:tx>
          <c:spPr>
            <a:solidFill>
              <a:srgbClr val="F7941E"/>
            </a:solidFill>
          </c:spPr>
          <c:invertIfNegative val="0"/>
          <c:cat>
            <c:numRef>
              <c:f>'Emp by sex (ILO)'!$A$7:$A$11</c:f>
              <c:numCache>
                <c:formatCode>0</c:formatCode>
                <c:ptCount val="5"/>
                <c:pt idx="0">
                  <c:v>1991</c:v>
                </c:pt>
                <c:pt idx="1">
                  <c:v>2000</c:v>
                </c:pt>
                <c:pt idx="2">
                  <c:v>2005</c:v>
                </c:pt>
                <c:pt idx="3">
                  <c:v>2010</c:v>
                </c:pt>
                <c:pt idx="4">
                  <c:v>2012</c:v>
                </c:pt>
              </c:numCache>
            </c:numRef>
          </c:cat>
          <c:val>
            <c:numRef>
              <c:f>'Emp by sex (ILO)'!$I$7:$I$11</c:f>
              <c:numCache>
                <c:formatCode>0.0</c:formatCode>
                <c:ptCount val="5"/>
                <c:pt idx="0">
                  <c:v>8.2234287261962891</c:v>
                </c:pt>
                <c:pt idx="1">
                  <c:v>14.004058837890625</c:v>
                </c:pt>
                <c:pt idx="2">
                  <c:v>17.262081146240234</c:v>
                </c:pt>
                <c:pt idx="3">
                  <c:v>19.799327850341797</c:v>
                </c:pt>
                <c:pt idx="4">
                  <c:v>20.240968704223633</c:v>
                </c:pt>
              </c:numCache>
            </c:numRef>
          </c:val>
        </c:ser>
        <c:dLbls>
          <c:showLegendKey val="0"/>
          <c:showVal val="0"/>
          <c:showCatName val="0"/>
          <c:showSerName val="0"/>
          <c:showPercent val="0"/>
          <c:showBubbleSize val="0"/>
        </c:dLbls>
        <c:gapWidth val="150"/>
        <c:overlap val="100"/>
        <c:axId val="101620352"/>
        <c:axId val="101630336"/>
      </c:barChart>
      <c:catAx>
        <c:axId val="101620352"/>
        <c:scaling>
          <c:orientation val="minMax"/>
        </c:scaling>
        <c:delete val="0"/>
        <c:axPos val="b"/>
        <c:numFmt formatCode="0" sourceLinked="1"/>
        <c:majorTickMark val="out"/>
        <c:minorTickMark val="none"/>
        <c:tickLblPos val="nextTo"/>
        <c:crossAx val="101630336"/>
        <c:crosses val="autoZero"/>
        <c:auto val="1"/>
        <c:lblAlgn val="ctr"/>
        <c:lblOffset val="100"/>
        <c:noMultiLvlLbl val="0"/>
      </c:catAx>
      <c:valAx>
        <c:axId val="101630336"/>
        <c:scaling>
          <c:orientation val="minMax"/>
        </c:scaling>
        <c:delete val="1"/>
        <c:axPos val="l"/>
        <c:majorGridlines/>
        <c:numFmt formatCode="0%" sourceLinked="1"/>
        <c:majorTickMark val="out"/>
        <c:minorTickMark val="none"/>
        <c:tickLblPos val="nextTo"/>
        <c:crossAx val="101620352"/>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1"/>
            </a:pPr>
            <a:r>
              <a:rPr lang="en-US" sz="800" b="1"/>
              <a:t>Agriculture</a:t>
            </a:r>
          </a:p>
        </c:rich>
      </c:tx>
      <c:overlay val="0"/>
    </c:title>
    <c:autoTitleDeleted val="0"/>
    <c:plotArea>
      <c:layout/>
      <c:barChart>
        <c:barDir val="col"/>
        <c:grouping val="clustered"/>
        <c:varyColors val="0"/>
        <c:ser>
          <c:idx val="0"/>
          <c:order val="0"/>
          <c:tx>
            <c:v>Male</c:v>
          </c:tx>
          <c:spPr>
            <a:solidFill>
              <a:srgbClr val="006C67"/>
            </a:solidFill>
          </c:spPr>
          <c:invertIfNegative val="0"/>
          <c:cat>
            <c:numRef>
              <c:f>'Sector emp (ASD)'!$C$4:$H$4</c:f>
              <c:numCache>
                <c:formatCode>General</c:formatCode>
                <c:ptCount val="6"/>
                <c:pt idx="0">
                  <c:v>1960</c:v>
                </c:pt>
                <c:pt idx="1">
                  <c:v>1975</c:v>
                </c:pt>
                <c:pt idx="2">
                  <c:v>1990</c:v>
                </c:pt>
                <c:pt idx="3">
                  <c:v>2000</c:v>
                </c:pt>
                <c:pt idx="4">
                  <c:v>2005</c:v>
                </c:pt>
                <c:pt idx="5">
                  <c:v>2010</c:v>
                </c:pt>
              </c:numCache>
            </c:numRef>
          </c:cat>
          <c:val>
            <c:numRef>
              <c:f>'Sector emp (ASD)'!$C$5:$H$5</c:f>
              <c:numCache>
                <c:formatCode>0%</c:formatCode>
                <c:ptCount val="6"/>
                <c:pt idx="0">
                  <c:v>0.49052701136215821</c:v>
                </c:pt>
                <c:pt idx="1">
                  <c:v>0.45590796405980366</c:v>
                </c:pt>
                <c:pt idx="2">
                  <c:v>0.43538326527961069</c:v>
                </c:pt>
                <c:pt idx="3">
                  <c:v>0.46427032484468311</c:v>
                </c:pt>
                <c:pt idx="4">
                  <c:v>0.47027377848165058</c:v>
                </c:pt>
                <c:pt idx="5">
                  <c:v>0.47027377848165064</c:v>
                </c:pt>
              </c:numCache>
            </c:numRef>
          </c:val>
        </c:ser>
        <c:ser>
          <c:idx val="1"/>
          <c:order val="1"/>
          <c:tx>
            <c:v>Female</c:v>
          </c:tx>
          <c:spPr>
            <a:solidFill>
              <a:srgbClr val="F7941E"/>
            </a:solidFill>
          </c:spPr>
          <c:invertIfNegative val="0"/>
          <c:cat>
            <c:numRef>
              <c:f>'Sector emp (ASD)'!$C$4:$H$4</c:f>
              <c:numCache>
                <c:formatCode>General</c:formatCode>
                <c:ptCount val="6"/>
                <c:pt idx="0">
                  <c:v>1960</c:v>
                </c:pt>
                <c:pt idx="1">
                  <c:v>1975</c:v>
                </c:pt>
                <c:pt idx="2">
                  <c:v>1990</c:v>
                </c:pt>
                <c:pt idx="3">
                  <c:v>2000</c:v>
                </c:pt>
                <c:pt idx="4">
                  <c:v>2005</c:v>
                </c:pt>
                <c:pt idx="5">
                  <c:v>2010</c:v>
                </c:pt>
              </c:numCache>
            </c:numRef>
          </c:cat>
          <c:val>
            <c:numRef>
              <c:f>'Sector emp (ASD)'!$J$5:$O$5</c:f>
              <c:numCache>
                <c:formatCode>0%</c:formatCode>
                <c:ptCount val="6"/>
                <c:pt idx="0">
                  <c:v>0.50947298863784174</c:v>
                </c:pt>
                <c:pt idx="1">
                  <c:v>0.54409203594019628</c:v>
                </c:pt>
                <c:pt idx="2">
                  <c:v>0.56461673472038931</c:v>
                </c:pt>
                <c:pt idx="3">
                  <c:v>0.53572967515531689</c:v>
                </c:pt>
                <c:pt idx="4">
                  <c:v>0.52972622151834947</c:v>
                </c:pt>
                <c:pt idx="5">
                  <c:v>0.52972622151834936</c:v>
                </c:pt>
              </c:numCache>
            </c:numRef>
          </c:val>
        </c:ser>
        <c:dLbls>
          <c:showLegendKey val="0"/>
          <c:showVal val="0"/>
          <c:showCatName val="0"/>
          <c:showSerName val="0"/>
          <c:showPercent val="0"/>
          <c:showBubbleSize val="0"/>
        </c:dLbls>
        <c:gapWidth val="150"/>
        <c:axId val="98845824"/>
        <c:axId val="98847360"/>
      </c:barChart>
      <c:catAx>
        <c:axId val="98845824"/>
        <c:scaling>
          <c:orientation val="minMax"/>
        </c:scaling>
        <c:delete val="0"/>
        <c:axPos val="b"/>
        <c:numFmt formatCode="General" sourceLinked="1"/>
        <c:majorTickMark val="out"/>
        <c:minorTickMark val="none"/>
        <c:tickLblPos val="nextTo"/>
        <c:txPr>
          <a:bodyPr/>
          <a:lstStyle/>
          <a:p>
            <a:pPr>
              <a:defRPr sz="700"/>
            </a:pPr>
            <a:endParaRPr lang="en-US"/>
          </a:p>
        </c:txPr>
        <c:crossAx val="98847360"/>
        <c:crosses val="autoZero"/>
        <c:auto val="1"/>
        <c:lblAlgn val="ctr"/>
        <c:lblOffset val="100"/>
        <c:noMultiLvlLbl val="0"/>
      </c:catAx>
      <c:valAx>
        <c:axId val="98847360"/>
        <c:scaling>
          <c:orientation val="minMax"/>
          <c:max val="1"/>
        </c:scaling>
        <c:delete val="0"/>
        <c:axPos val="l"/>
        <c:majorGridlines/>
        <c:numFmt formatCode="0%" sourceLinked="1"/>
        <c:majorTickMark val="out"/>
        <c:minorTickMark val="none"/>
        <c:tickLblPos val="nextTo"/>
        <c:txPr>
          <a:bodyPr/>
          <a:lstStyle/>
          <a:p>
            <a:pPr>
              <a:defRPr sz="700"/>
            </a:pPr>
            <a:endParaRPr lang="en-US"/>
          </a:p>
        </c:txPr>
        <c:crossAx val="98845824"/>
        <c:crosses val="autoZero"/>
        <c:crossBetween val="between"/>
      </c:valAx>
    </c:plotArea>
    <c:legend>
      <c:legendPos val="r"/>
      <c:overlay val="0"/>
      <c:txPr>
        <a:bodyPr/>
        <a:lstStyle/>
        <a:p>
          <a:pPr>
            <a:defRPr sz="700"/>
          </a:pPr>
          <a:endParaRPr lang="en-US"/>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1"/>
            </a:pPr>
            <a:r>
              <a:rPr lang="en-US" sz="800" b="1"/>
              <a:t>Mining</a:t>
            </a:r>
          </a:p>
        </c:rich>
      </c:tx>
      <c:overlay val="0"/>
    </c:title>
    <c:autoTitleDeleted val="0"/>
    <c:plotArea>
      <c:layout/>
      <c:barChart>
        <c:barDir val="col"/>
        <c:grouping val="clustered"/>
        <c:varyColors val="0"/>
        <c:ser>
          <c:idx val="0"/>
          <c:order val="0"/>
          <c:tx>
            <c:v>Male</c:v>
          </c:tx>
          <c:spPr>
            <a:solidFill>
              <a:srgbClr val="006C67"/>
            </a:solidFill>
          </c:spPr>
          <c:invertIfNegative val="0"/>
          <c:cat>
            <c:numRef>
              <c:f>'Sector emp (ASD)'!$C$4:$H$4</c:f>
              <c:numCache>
                <c:formatCode>General</c:formatCode>
                <c:ptCount val="6"/>
                <c:pt idx="0">
                  <c:v>1960</c:v>
                </c:pt>
                <c:pt idx="1">
                  <c:v>1975</c:v>
                </c:pt>
                <c:pt idx="2">
                  <c:v>1990</c:v>
                </c:pt>
                <c:pt idx="3">
                  <c:v>2000</c:v>
                </c:pt>
                <c:pt idx="4">
                  <c:v>2005</c:v>
                </c:pt>
                <c:pt idx="5">
                  <c:v>2010</c:v>
                </c:pt>
              </c:numCache>
            </c:numRef>
          </c:cat>
          <c:val>
            <c:numRef>
              <c:f>'Sector emp (ASD)'!$C$6:$H$6</c:f>
              <c:numCache>
                <c:formatCode>0%</c:formatCode>
                <c:ptCount val="6"/>
                <c:pt idx="0">
                  <c:v>0.98263551460152354</c:v>
                </c:pt>
                <c:pt idx="1">
                  <c:v>0.96615498245488041</c:v>
                </c:pt>
                <c:pt idx="2">
                  <c:v>0.89708442866534432</c:v>
                </c:pt>
                <c:pt idx="3">
                  <c:v>0.72830618079611198</c:v>
                </c:pt>
                <c:pt idx="4">
                  <c:v>0.69857032185365153</c:v>
                </c:pt>
                <c:pt idx="5">
                  <c:v>0.69857032185365153</c:v>
                </c:pt>
              </c:numCache>
            </c:numRef>
          </c:val>
        </c:ser>
        <c:ser>
          <c:idx val="1"/>
          <c:order val="1"/>
          <c:tx>
            <c:v>Female</c:v>
          </c:tx>
          <c:spPr>
            <a:solidFill>
              <a:srgbClr val="F7941E"/>
            </a:solidFill>
          </c:spPr>
          <c:invertIfNegative val="0"/>
          <c:cat>
            <c:numRef>
              <c:f>'Sector emp (ASD)'!$C$4:$H$4</c:f>
              <c:numCache>
                <c:formatCode>General</c:formatCode>
                <c:ptCount val="6"/>
                <c:pt idx="0">
                  <c:v>1960</c:v>
                </c:pt>
                <c:pt idx="1">
                  <c:v>1975</c:v>
                </c:pt>
                <c:pt idx="2">
                  <c:v>1990</c:v>
                </c:pt>
                <c:pt idx="3">
                  <c:v>2000</c:v>
                </c:pt>
                <c:pt idx="4">
                  <c:v>2005</c:v>
                </c:pt>
                <c:pt idx="5">
                  <c:v>2010</c:v>
                </c:pt>
              </c:numCache>
            </c:numRef>
          </c:cat>
          <c:val>
            <c:numRef>
              <c:f>'Sector emp (ASD)'!$J$6:$O$6</c:f>
              <c:numCache>
                <c:formatCode>0%</c:formatCode>
                <c:ptCount val="6"/>
                <c:pt idx="0">
                  <c:v>1.7364485398476428E-2</c:v>
                </c:pt>
                <c:pt idx="1">
                  <c:v>3.3845017545119559E-2</c:v>
                </c:pt>
                <c:pt idx="2">
                  <c:v>0.10291557133465573</c:v>
                </c:pt>
                <c:pt idx="3">
                  <c:v>0.27169381920388808</c:v>
                </c:pt>
                <c:pt idx="4">
                  <c:v>0.30142967814634847</c:v>
                </c:pt>
                <c:pt idx="5">
                  <c:v>0.30142967814634847</c:v>
                </c:pt>
              </c:numCache>
            </c:numRef>
          </c:val>
        </c:ser>
        <c:dLbls>
          <c:showLegendKey val="0"/>
          <c:showVal val="0"/>
          <c:showCatName val="0"/>
          <c:showSerName val="0"/>
          <c:showPercent val="0"/>
          <c:showBubbleSize val="0"/>
        </c:dLbls>
        <c:gapWidth val="150"/>
        <c:axId val="98868608"/>
        <c:axId val="98874496"/>
      </c:barChart>
      <c:catAx>
        <c:axId val="98868608"/>
        <c:scaling>
          <c:orientation val="minMax"/>
        </c:scaling>
        <c:delete val="0"/>
        <c:axPos val="b"/>
        <c:numFmt formatCode="General" sourceLinked="1"/>
        <c:majorTickMark val="out"/>
        <c:minorTickMark val="none"/>
        <c:tickLblPos val="nextTo"/>
        <c:txPr>
          <a:bodyPr/>
          <a:lstStyle/>
          <a:p>
            <a:pPr>
              <a:defRPr sz="700"/>
            </a:pPr>
            <a:endParaRPr lang="en-US"/>
          </a:p>
        </c:txPr>
        <c:crossAx val="98874496"/>
        <c:crosses val="autoZero"/>
        <c:auto val="1"/>
        <c:lblAlgn val="ctr"/>
        <c:lblOffset val="100"/>
        <c:noMultiLvlLbl val="0"/>
      </c:catAx>
      <c:valAx>
        <c:axId val="98874496"/>
        <c:scaling>
          <c:orientation val="minMax"/>
          <c:max val="1"/>
        </c:scaling>
        <c:delete val="0"/>
        <c:axPos val="l"/>
        <c:majorGridlines/>
        <c:numFmt formatCode="0%" sourceLinked="1"/>
        <c:majorTickMark val="out"/>
        <c:minorTickMark val="none"/>
        <c:tickLblPos val="nextTo"/>
        <c:txPr>
          <a:bodyPr/>
          <a:lstStyle/>
          <a:p>
            <a:pPr>
              <a:defRPr sz="700"/>
            </a:pPr>
            <a:endParaRPr lang="en-US"/>
          </a:p>
        </c:txPr>
        <c:crossAx val="98868608"/>
        <c:crosses val="autoZero"/>
        <c:crossBetween val="between"/>
      </c:valAx>
    </c:plotArea>
    <c:legend>
      <c:legendPos val="r"/>
      <c:overlay val="0"/>
      <c:txPr>
        <a:bodyPr/>
        <a:lstStyle/>
        <a:p>
          <a:pPr>
            <a:defRPr sz="700"/>
          </a:pPr>
          <a:endParaRPr lang="en-US"/>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Manufacturing</a:t>
            </a:r>
          </a:p>
        </c:rich>
      </c:tx>
      <c:overlay val="0"/>
    </c:title>
    <c:autoTitleDeleted val="0"/>
    <c:plotArea>
      <c:layout/>
      <c:barChart>
        <c:barDir val="col"/>
        <c:grouping val="clustered"/>
        <c:varyColors val="0"/>
        <c:ser>
          <c:idx val="0"/>
          <c:order val="0"/>
          <c:tx>
            <c:v>Male</c:v>
          </c:tx>
          <c:spPr>
            <a:solidFill>
              <a:srgbClr val="006C67"/>
            </a:solidFill>
          </c:spPr>
          <c:invertIfNegative val="0"/>
          <c:cat>
            <c:numRef>
              <c:f>'Sector emp (ASD)'!$C$4:$H$4</c:f>
              <c:numCache>
                <c:formatCode>General</c:formatCode>
                <c:ptCount val="6"/>
                <c:pt idx="0">
                  <c:v>1960</c:v>
                </c:pt>
                <c:pt idx="1">
                  <c:v>1975</c:v>
                </c:pt>
                <c:pt idx="2">
                  <c:v>1990</c:v>
                </c:pt>
                <c:pt idx="3">
                  <c:v>2000</c:v>
                </c:pt>
                <c:pt idx="4">
                  <c:v>2005</c:v>
                </c:pt>
                <c:pt idx="5">
                  <c:v>2010</c:v>
                </c:pt>
              </c:numCache>
            </c:numRef>
          </c:cat>
          <c:val>
            <c:numRef>
              <c:f>'Sector emp (ASD)'!$C$7:$H$7</c:f>
              <c:numCache>
                <c:formatCode>0%</c:formatCode>
                <c:ptCount val="6"/>
                <c:pt idx="0">
                  <c:v>0.90311439875227217</c:v>
                </c:pt>
                <c:pt idx="1">
                  <c:v>0.82900102390328789</c:v>
                </c:pt>
                <c:pt idx="2">
                  <c:v>0.69401583022326119</c:v>
                </c:pt>
                <c:pt idx="3">
                  <c:v>0.7391048035281611</c:v>
                </c:pt>
                <c:pt idx="4">
                  <c:v>0.74846820198605535</c:v>
                </c:pt>
                <c:pt idx="5">
                  <c:v>0.74846820198605535</c:v>
                </c:pt>
              </c:numCache>
            </c:numRef>
          </c:val>
        </c:ser>
        <c:ser>
          <c:idx val="1"/>
          <c:order val="1"/>
          <c:tx>
            <c:v>Female</c:v>
          </c:tx>
          <c:spPr>
            <a:solidFill>
              <a:srgbClr val="F7941E"/>
            </a:solidFill>
          </c:spPr>
          <c:invertIfNegative val="0"/>
          <c:cat>
            <c:numRef>
              <c:f>'Sector emp (ASD)'!$C$4:$H$4</c:f>
              <c:numCache>
                <c:formatCode>General</c:formatCode>
                <c:ptCount val="6"/>
                <c:pt idx="0">
                  <c:v>1960</c:v>
                </c:pt>
                <c:pt idx="1">
                  <c:v>1975</c:v>
                </c:pt>
                <c:pt idx="2">
                  <c:v>1990</c:v>
                </c:pt>
                <c:pt idx="3">
                  <c:v>2000</c:v>
                </c:pt>
                <c:pt idx="4">
                  <c:v>2005</c:v>
                </c:pt>
                <c:pt idx="5">
                  <c:v>2010</c:v>
                </c:pt>
              </c:numCache>
            </c:numRef>
          </c:cat>
          <c:val>
            <c:numRef>
              <c:f>'Sector emp (ASD)'!$J$7:$O$7</c:f>
              <c:numCache>
                <c:formatCode>0%</c:formatCode>
                <c:ptCount val="6"/>
                <c:pt idx="0">
                  <c:v>9.6885601247727798E-2</c:v>
                </c:pt>
                <c:pt idx="1">
                  <c:v>0.17099897609671205</c:v>
                </c:pt>
                <c:pt idx="2">
                  <c:v>0.30598416977673881</c:v>
                </c:pt>
                <c:pt idx="3">
                  <c:v>0.2608951964718389</c:v>
                </c:pt>
                <c:pt idx="4">
                  <c:v>0.25153179801394465</c:v>
                </c:pt>
                <c:pt idx="5">
                  <c:v>0.2515317980139446</c:v>
                </c:pt>
              </c:numCache>
            </c:numRef>
          </c:val>
        </c:ser>
        <c:dLbls>
          <c:showLegendKey val="0"/>
          <c:showVal val="0"/>
          <c:showCatName val="0"/>
          <c:showSerName val="0"/>
          <c:showPercent val="0"/>
          <c:showBubbleSize val="0"/>
        </c:dLbls>
        <c:gapWidth val="150"/>
        <c:axId val="105191296"/>
        <c:axId val="105192832"/>
      </c:barChart>
      <c:catAx>
        <c:axId val="105191296"/>
        <c:scaling>
          <c:orientation val="minMax"/>
        </c:scaling>
        <c:delete val="0"/>
        <c:axPos val="b"/>
        <c:numFmt formatCode="General" sourceLinked="1"/>
        <c:majorTickMark val="out"/>
        <c:minorTickMark val="none"/>
        <c:tickLblPos val="nextTo"/>
        <c:crossAx val="105192832"/>
        <c:crosses val="autoZero"/>
        <c:auto val="1"/>
        <c:lblAlgn val="ctr"/>
        <c:lblOffset val="100"/>
        <c:noMultiLvlLbl val="0"/>
      </c:catAx>
      <c:valAx>
        <c:axId val="105192832"/>
        <c:scaling>
          <c:orientation val="minMax"/>
          <c:max val="1"/>
        </c:scaling>
        <c:delete val="0"/>
        <c:axPos val="l"/>
        <c:majorGridlines/>
        <c:numFmt formatCode="0%" sourceLinked="1"/>
        <c:majorTickMark val="out"/>
        <c:minorTickMark val="none"/>
        <c:tickLblPos val="nextTo"/>
        <c:crossAx val="105191296"/>
        <c:crosses val="autoZero"/>
        <c:crossBetween val="between"/>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Utilities</a:t>
            </a:r>
          </a:p>
        </c:rich>
      </c:tx>
      <c:overlay val="0"/>
    </c:title>
    <c:autoTitleDeleted val="0"/>
    <c:plotArea>
      <c:layout/>
      <c:barChart>
        <c:barDir val="col"/>
        <c:grouping val="clustered"/>
        <c:varyColors val="0"/>
        <c:ser>
          <c:idx val="0"/>
          <c:order val="0"/>
          <c:tx>
            <c:v>Male</c:v>
          </c:tx>
          <c:spPr>
            <a:solidFill>
              <a:srgbClr val="006C67"/>
            </a:solidFill>
          </c:spPr>
          <c:invertIfNegative val="0"/>
          <c:cat>
            <c:numRef>
              <c:f>'Sector emp (ASD)'!$C$4:$H$4</c:f>
              <c:numCache>
                <c:formatCode>General</c:formatCode>
                <c:ptCount val="6"/>
                <c:pt idx="0">
                  <c:v>1960</c:v>
                </c:pt>
                <c:pt idx="1">
                  <c:v>1975</c:v>
                </c:pt>
                <c:pt idx="2">
                  <c:v>1990</c:v>
                </c:pt>
                <c:pt idx="3">
                  <c:v>2000</c:v>
                </c:pt>
                <c:pt idx="4">
                  <c:v>2005</c:v>
                </c:pt>
                <c:pt idx="5">
                  <c:v>2010</c:v>
                </c:pt>
              </c:numCache>
            </c:numRef>
          </c:cat>
          <c:val>
            <c:numRef>
              <c:f>'Sector emp (ASD)'!$C$8:$H$8</c:f>
              <c:numCache>
                <c:formatCode>0%</c:formatCode>
                <c:ptCount val="6"/>
                <c:pt idx="0">
                  <c:v>0.9753433646640195</c:v>
                </c:pt>
                <c:pt idx="1">
                  <c:v>0.92248713206666111</c:v>
                </c:pt>
                <c:pt idx="2">
                  <c:v>0.72452543853406681</c:v>
                </c:pt>
                <c:pt idx="3">
                  <c:v>0.94609703684983049</c:v>
                </c:pt>
                <c:pt idx="4">
                  <c:v>0.99795760264807376</c:v>
                </c:pt>
                <c:pt idx="5">
                  <c:v>0.99795760264807387</c:v>
                </c:pt>
              </c:numCache>
            </c:numRef>
          </c:val>
        </c:ser>
        <c:ser>
          <c:idx val="1"/>
          <c:order val="1"/>
          <c:tx>
            <c:v>Female</c:v>
          </c:tx>
          <c:spPr>
            <a:solidFill>
              <a:srgbClr val="F7941E"/>
            </a:solidFill>
          </c:spPr>
          <c:invertIfNegative val="0"/>
          <c:cat>
            <c:numRef>
              <c:f>'Sector emp (ASD)'!$C$4:$H$4</c:f>
              <c:numCache>
                <c:formatCode>General</c:formatCode>
                <c:ptCount val="6"/>
                <c:pt idx="0">
                  <c:v>1960</c:v>
                </c:pt>
                <c:pt idx="1">
                  <c:v>1975</c:v>
                </c:pt>
                <c:pt idx="2">
                  <c:v>1990</c:v>
                </c:pt>
                <c:pt idx="3">
                  <c:v>2000</c:v>
                </c:pt>
                <c:pt idx="4">
                  <c:v>2005</c:v>
                </c:pt>
                <c:pt idx="5">
                  <c:v>2010</c:v>
                </c:pt>
              </c:numCache>
            </c:numRef>
          </c:cat>
          <c:val>
            <c:numRef>
              <c:f>'Sector emp (ASD)'!$J$8:$O$8</c:f>
              <c:numCache>
                <c:formatCode>0%</c:formatCode>
                <c:ptCount val="6"/>
                <c:pt idx="0">
                  <c:v>2.4656635335980528E-2</c:v>
                </c:pt>
                <c:pt idx="1">
                  <c:v>7.7512867933338919E-2</c:v>
                </c:pt>
                <c:pt idx="2">
                  <c:v>0.27547456146593324</c:v>
                </c:pt>
                <c:pt idx="3">
                  <c:v>5.3902963150169562E-2</c:v>
                </c:pt>
                <c:pt idx="4">
                  <c:v>2.0423973519262048E-3</c:v>
                </c:pt>
                <c:pt idx="5">
                  <c:v>2.0423973519261744E-3</c:v>
                </c:pt>
              </c:numCache>
            </c:numRef>
          </c:val>
        </c:ser>
        <c:dLbls>
          <c:showLegendKey val="0"/>
          <c:showVal val="0"/>
          <c:showCatName val="0"/>
          <c:showSerName val="0"/>
          <c:showPercent val="0"/>
          <c:showBubbleSize val="0"/>
        </c:dLbls>
        <c:gapWidth val="150"/>
        <c:axId val="105234816"/>
        <c:axId val="105236352"/>
      </c:barChart>
      <c:catAx>
        <c:axId val="105234816"/>
        <c:scaling>
          <c:orientation val="minMax"/>
        </c:scaling>
        <c:delete val="0"/>
        <c:axPos val="b"/>
        <c:numFmt formatCode="General" sourceLinked="1"/>
        <c:majorTickMark val="out"/>
        <c:minorTickMark val="none"/>
        <c:tickLblPos val="nextTo"/>
        <c:crossAx val="105236352"/>
        <c:crosses val="autoZero"/>
        <c:auto val="1"/>
        <c:lblAlgn val="ctr"/>
        <c:lblOffset val="100"/>
        <c:noMultiLvlLbl val="0"/>
      </c:catAx>
      <c:valAx>
        <c:axId val="105236352"/>
        <c:scaling>
          <c:orientation val="minMax"/>
          <c:max val="1"/>
        </c:scaling>
        <c:delete val="0"/>
        <c:axPos val="l"/>
        <c:majorGridlines/>
        <c:numFmt formatCode="0%" sourceLinked="1"/>
        <c:majorTickMark val="out"/>
        <c:minorTickMark val="none"/>
        <c:tickLblPos val="nextTo"/>
        <c:crossAx val="105234816"/>
        <c:crosses val="autoZero"/>
        <c:crossBetween val="between"/>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1"/>
            </a:pPr>
            <a:r>
              <a:rPr lang="en-US" sz="800" b="1"/>
              <a:t>Government</a:t>
            </a:r>
            <a:r>
              <a:rPr lang="en-US" sz="800" b="1" baseline="0"/>
              <a:t> services</a:t>
            </a:r>
            <a:endParaRPr lang="en-US" sz="800" b="1"/>
          </a:p>
        </c:rich>
      </c:tx>
      <c:overlay val="0"/>
    </c:title>
    <c:autoTitleDeleted val="0"/>
    <c:plotArea>
      <c:layout/>
      <c:barChart>
        <c:barDir val="col"/>
        <c:grouping val="clustered"/>
        <c:varyColors val="0"/>
        <c:ser>
          <c:idx val="0"/>
          <c:order val="0"/>
          <c:tx>
            <c:v>Male</c:v>
          </c:tx>
          <c:spPr>
            <a:solidFill>
              <a:srgbClr val="006C67"/>
            </a:solidFill>
          </c:spPr>
          <c:invertIfNegative val="0"/>
          <c:cat>
            <c:numRef>
              <c:f>'Sector emp (ASD)'!$C$4:$H$4</c:f>
              <c:numCache>
                <c:formatCode>General</c:formatCode>
                <c:ptCount val="6"/>
                <c:pt idx="0">
                  <c:v>1960</c:v>
                </c:pt>
                <c:pt idx="1">
                  <c:v>1975</c:v>
                </c:pt>
                <c:pt idx="2">
                  <c:v>1990</c:v>
                </c:pt>
                <c:pt idx="3">
                  <c:v>2000</c:v>
                </c:pt>
                <c:pt idx="4">
                  <c:v>2005</c:v>
                </c:pt>
                <c:pt idx="5">
                  <c:v>2010</c:v>
                </c:pt>
              </c:numCache>
            </c:numRef>
          </c:cat>
          <c:val>
            <c:numRef>
              <c:f>'Sector emp (ASD)'!$C$13:$H$13</c:f>
              <c:numCache>
                <c:formatCode>0%</c:formatCode>
                <c:ptCount val="6"/>
                <c:pt idx="0">
                  <c:v>0.85331827360260537</c:v>
                </c:pt>
                <c:pt idx="1">
                  <c:v>0.84187807660263492</c:v>
                </c:pt>
                <c:pt idx="2">
                  <c:v>0.62191801966855698</c:v>
                </c:pt>
                <c:pt idx="3">
                  <c:v>0.59029860030960524</c:v>
                </c:pt>
                <c:pt idx="4">
                  <c:v>0.58417030398911651</c:v>
                </c:pt>
                <c:pt idx="5">
                  <c:v>0.58417030398911651</c:v>
                </c:pt>
              </c:numCache>
            </c:numRef>
          </c:val>
        </c:ser>
        <c:ser>
          <c:idx val="1"/>
          <c:order val="1"/>
          <c:tx>
            <c:v>Female</c:v>
          </c:tx>
          <c:spPr>
            <a:solidFill>
              <a:srgbClr val="F7941E"/>
            </a:solidFill>
          </c:spPr>
          <c:invertIfNegative val="0"/>
          <c:cat>
            <c:numRef>
              <c:f>'Sector emp (ASD)'!$C$4:$H$4</c:f>
              <c:numCache>
                <c:formatCode>General</c:formatCode>
                <c:ptCount val="6"/>
                <c:pt idx="0">
                  <c:v>1960</c:v>
                </c:pt>
                <c:pt idx="1">
                  <c:v>1975</c:v>
                </c:pt>
                <c:pt idx="2">
                  <c:v>1990</c:v>
                </c:pt>
                <c:pt idx="3">
                  <c:v>2000</c:v>
                </c:pt>
                <c:pt idx="4">
                  <c:v>2005</c:v>
                </c:pt>
                <c:pt idx="5">
                  <c:v>2010</c:v>
                </c:pt>
              </c:numCache>
            </c:numRef>
          </c:cat>
          <c:val>
            <c:numRef>
              <c:f>'Sector emp (ASD)'!$J$13:$O$13</c:f>
              <c:numCache>
                <c:formatCode>0%</c:formatCode>
                <c:ptCount val="6"/>
                <c:pt idx="0">
                  <c:v>0.1466817263973946</c:v>
                </c:pt>
                <c:pt idx="1">
                  <c:v>0.15812192339736514</c:v>
                </c:pt>
                <c:pt idx="2">
                  <c:v>0.37808198033144308</c:v>
                </c:pt>
                <c:pt idx="3">
                  <c:v>0.40970139969039476</c:v>
                </c:pt>
                <c:pt idx="4">
                  <c:v>0.41582969601088349</c:v>
                </c:pt>
                <c:pt idx="5">
                  <c:v>0.41582969601088343</c:v>
                </c:pt>
              </c:numCache>
            </c:numRef>
          </c:val>
        </c:ser>
        <c:dLbls>
          <c:showLegendKey val="0"/>
          <c:showVal val="0"/>
          <c:showCatName val="0"/>
          <c:showSerName val="0"/>
          <c:showPercent val="0"/>
          <c:showBubbleSize val="0"/>
        </c:dLbls>
        <c:gapWidth val="150"/>
        <c:axId val="105138816"/>
        <c:axId val="105144704"/>
      </c:barChart>
      <c:catAx>
        <c:axId val="105138816"/>
        <c:scaling>
          <c:orientation val="minMax"/>
        </c:scaling>
        <c:delete val="0"/>
        <c:axPos val="b"/>
        <c:numFmt formatCode="General" sourceLinked="1"/>
        <c:majorTickMark val="out"/>
        <c:minorTickMark val="none"/>
        <c:tickLblPos val="nextTo"/>
        <c:txPr>
          <a:bodyPr/>
          <a:lstStyle/>
          <a:p>
            <a:pPr>
              <a:defRPr sz="700"/>
            </a:pPr>
            <a:endParaRPr lang="en-US"/>
          </a:p>
        </c:txPr>
        <c:crossAx val="105144704"/>
        <c:crosses val="autoZero"/>
        <c:auto val="1"/>
        <c:lblAlgn val="ctr"/>
        <c:lblOffset val="100"/>
        <c:noMultiLvlLbl val="0"/>
      </c:catAx>
      <c:valAx>
        <c:axId val="105144704"/>
        <c:scaling>
          <c:orientation val="minMax"/>
          <c:max val="1"/>
        </c:scaling>
        <c:delete val="0"/>
        <c:axPos val="l"/>
        <c:majorGridlines/>
        <c:numFmt formatCode="0%" sourceLinked="1"/>
        <c:majorTickMark val="out"/>
        <c:minorTickMark val="none"/>
        <c:tickLblPos val="nextTo"/>
        <c:txPr>
          <a:bodyPr/>
          <a:lstStyle/>
          <a:p>
            <a:pPr>
              <a:defRPr sz="700"/>
            </a:pPr>
            <a:endParaRPr lang="en-US"/>
          </a:p>
        </c:txPr>
        <c:crossAx val="105138816"/>
        <c:crosses val="autoZero"/>
        <c:crossBetween val="between"/>
      </c:valAx>
    </c:plotArea>
    <c:legend>
      <c:legendPos val="r"/>
      <c:overlay val="0"/>
      <c:txPr>
        <a:bodyPr/>
        <a:lstStyle/>
        <a:p>
          <a:pPr>
            <a:defRPr sz="700"/>
          </a:pPr>
          <a:endParaRPr lang="en-US"/>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2000-05</a:t>
            </a:r>
          </a:p>
        </c:rich>
      </c:tx>
      <c:overlay val="0"/>
    </c:title>
    <c:autoTitleDeleted val="0"/>
    <c:plotArea>
      <c:layout/>
      <c:bubbleChart>
        <c:varyColors val="0"/>
        <c:ser>
          <c:idx val="0"/>
          <c:order val="0"/>
          <c:tx>
            <c:strRef>
              <c:f>Tanzania!$AA$63</c:f>
              <c:strCache>
                <c:ptCount val="1"/>
                <c:pt idx="0">
                  <c:v>Agriculture</c:v>
                </c:pt>
              </c:strCache>
            </c:strRef>
          </c:tx>
          <c:spPr>
            <a:solidFill>
              <a:srgbClr val="0000FF"/>
            </a:solidFill>
          </c:spPr>
          <c:invertIfNegative val="0"/>
          <c:xVal>
            <c:numRef>
              <c:f>Tanzania!$AB$63</c:f>
              <c:numCache>
                <c:formatCode>0.0</c:formatCode>
                <c:ptCount val="1"/>
                <c:pt idx="0">
                  <c:v>-4.7841673335650228</c:v>
                </c:pt>
              </c:numCache>
            </c:numRef>
          </c:xVal>
          <c:yVal>
            <c:numRef>
              <c:f>Tanzania!$AC$63</c:f>
              <c:numCache>
                <c:formatCode>0.0</c:formatCode>
                <c:ptCount val="1"/>
                <c:pt idx="0">
                  <c:v>0.43402119617321661</c:v>
                </c:pt>
              </c:numCache>
            </c:numRef>
          </c:yVal>
          <c:bubbleSize>
            <c:numRef>
              <c:f>Tanzania!$AE$63</c:f>
              <c:numCache>
                <c:formatCode>#,##0</c:formatCode>
                <c:ptCount val="1"/>
                <c:pt idx="0">
                  <c:v>12250.085513506301</c:v>
                </c:pt>
              </c:numCache>
            </c:numRef>
          </c:bubbleSize>
          <c:bubble3D val="1"/>
        </c:ser>
        <c:ser>
          <c:idx val="1"/>
          <c:order val="1"/>
          <c:tx>
            <c:strRef>
              <c:f>Tanzania!$AA$64</c:f>
              <c:strCache>
                <c:ptCount val="1"/>
                <c:pt idx="0">
                  <c:v>Mining</c:v>
                </c:pt>
              </c:strCache>
            </c:strRef>
          </c:tx>
          <c:spPr>
            <a:solidFill>
              <a:srgbClr val="FF0000"/>
            </a:solidFill>
            <a:ln w="25400">
              <a:noFill/>
            </a:ln>
          </c:spPr>
          <c:invertIfNegative val="0"/>
          <c:xVal>
            <c:numRef>
              <c:f>Tanzania!$AB$64</c:f>
              <c:numCache>
                <c:formatCode>0.0</c:formatCode>
                <c:ptCount val="1"/>
                <c:pt idx="0">
                  <c:v>-7.89684032539828E-3</c:v>
                </c:pt>
              </c:numCache>
            </c:numRef>
          </c:xVal>
          <c:yVal>
            <c:numRef>
              <c:f>Tanzania!$AC$64</c:f>
              <c:numCache>
                <c:formatCode>0.0</c:formatCode>
                <c:ptCount val="1"/>
                <c:pt idx="0">
                  <c:v>6.8026935072898347</c:v>
                </c:pt>
              </c:numCache>
            </c:numRef>
          </c:yVal>
          <c:bubbleSize>
            <c:numRef>
              <c:f>Tanzania!$AE$64</c:f>
              <c:numCache>
                <c:formatCode>#,##0</c:formatCode>
                <c:ptCount val="1"/>
                <c:pt idx="0">
                  <c:v>77.114966642940828</c:v>
                </c:pt>
              </c:numCache>
            </c:numRef>
          </c:bubbleSize>
          <c:bubble3D val="1"/>
        </c:ser>
        <c:ser>
          <c:idx val="2"/>
          <c:order val="2"/>
          <c:tx>
            <c:strRef>
              <c:f>Tanzania!$AA$65</c:f>
              <c:strCache>
                <c:ptCount val="1"/>
                <c:pt idx="0">
                  <c:v>Manufacturing</c:v>
                </c:pt>
              </c:strCache>
            </c:strRef>
          </c:tx>
          <c:spPr>
            <a:solidFill>
              <a:srgbClr val="00B050"/>
            </a:solidFill>
            <a:ln w="25400">
              <a:noFill/>
            </a:ln>
          </c:spPr>
          <c:invertIfNegative val="0"/>
          <c:xVal>
            <c:numRef>
              <c:f>Tanzania!$AB$65</c:f>
              <c:numCache>
                <c:formatCode>0.0</c:formatCode>
                <c:ptCount val="1"/>
                <c:pt idx="0">
                  <c:v>0.45382840651516876</c:v>
                </c:pt>
              </c:numCache>
            </c:numRef>
          </c:xVal>
          <c:yVal>
            <c:numRef>
              <c:f>Tanzania!$AC$65</c:f>
              <c:numCache>
                <c:formatCode>0.0</c:formatCode>
                <c:ptCount val="1"/>
                <c:pt idx="0">
                  <c:v>4.3886064343394908</c:v>
                </c:pt>
              </c:numCache>
            </c:numRef>
          </c:yVal>
          <c:bubbleSize>
            <c:numRef>
              <c:f>Tanzania!$AE$65</c:f>
              <c:numCache>
                <c:formatCode>#,##0</c:formatCode>
                <c:ptCount val="1"/>
                <c:pt idx="0">
                  <c:v>331.6489249112667</c:v>
                </c:pt>
              </c:numCache>
            </c:numRef>
          </c:bubbleSize>
          <c:bubble3D val="1"/>
        </c:ser>
        <c:ser>
          <c:idx val="3"/>
          <c:order val="3"/>
          <c:tx>
            <c:strRef>
              <c:f>Tanzania!$AA$66</c:f>
              <c:strCache>
                <c:ptCount val="1"/>
                <c:pt idx="0">
                  <c:v>Utilities</c:v>
                </c:pt>
              </c:strCache>
            </c:strRef>
          </c:tx>
          <c:spPr>
            <a:solidFill>
              <a:srgbClr val="FFFF00"/>
            </a:solidFill>
            <a:ln w="25400">
              <a:noFill/>
            </a:ln>
          </c:spPr>
          <c:invertIfNegative val="0"/>
          <c:xVal>
            <c:numRef>
              <c:f>Tanzania!$AB$66</c:f>
              <c:numCache>
                <c:formatCode>0.0</c:formatCode>
                <c:ptCount val="1"/>
                <c:pt idx="0">
                  <c:v>0.18599900502125907</c:v>
                </c:pt>
              </c:numCache>
            </c:numRef>
          </c:xVal>
          <c:yVal>
            <c:numRef>
              <c:f>Tanzania!$AC$66</c:f>
              <c:numCache>
                <c:formatCode>0.0</c:formatCode>
                <c:ptCount val="1"/>
                <c:pt idx="0">
                  <c:v>5.8824232430755821</c:v>
                </c:pt>
              </c:numCache>
            </c:numRef>
          </c:yVal>
          <c:bubbleSize>
            <c:numRef>
              <c:f>Tanzania!$AE$66</c:f>
              <c:numCache>
                <c:formatCode>#,##0</c:formatCode>
                <c:ptCount val="1"/>
                <c:pt idx="0">
                  <c:v>66.388536596742213</c:v>
                </c:pt>
              </c:numCache>
            </c:numRef>
          </c:bubbleSize>
          <c:bubble3D val="1"/>
        </c:ser>
        <c:ser>
          <c:idx val="4"/>
          <c:order val="4"/>
          <c:tx>
            <c:strRef>
              <c:f>Tanzania!$AA$67</c:f>
              <c:strCache>
                <c:ptCount val="1"/>
                <c:pt idx="0">
                  <c:v>Construction</c:v>
                </c:pt>
              </c:strCache>
            </c:strRef>
          </c:tx>
          <c:spPr>
            <a:solidFill>
              <a:srgbClr val="6600FF"/>
            </a:solidFill>
            <a:ln w="25400">
              <a:noFill/>
            </a:ln>
          </c:spPr>
          <c:invertIfNegative val="0"/>
          <c:xVal>
            <c:numRef>
              <c:f>Tanzania!$AB$67</c:f>
              <c:numCache>
                <c:formatCode>0.0</c:formatCode>
                <c:ptCount val="1"/>
                <c:pt idx="0">
                  <c:v>0.62896787669139143</c:v>
                </c:pt>
              </c:numCache>
            </c:numRef>
          </c:xVal>
          <c:yVal>
            <c:numRef>
              <c:f>Tanzania!$AC$67</c:f>
              <c:numCache>
                <c:formatCode>0.0</c:formatCode>
                <c:ptCount val="1"/>
                <c:pt idx="0">
                  <c:v>6.3577901811037982</c:v>
                </c:pt>
              </c:numCache>
            </c:numRef>
          </c:yVal>
          <c:bubbleSize>
            <c:numRef>
              <c:f>Tanzania!$AE$67</c:f>
              <c:numCache>
                <c:formatCode>#,##0</c:formatCode>
                <c:ptCount val="1"/>
                <c:pt idx="0">
                  <c:v>225.41174234841267</c:v>
                </c:pt>
              </c:numCache>
            </c:numRef>
          </c:bubbleSize>
          <c:bubble3D val="1"/>
        </c:ser>
        <c:ser>
          <c:idx val="5"/>
          <c:order val="5"/>
          <c:tx>
            <c:strRef>
              <c:f>Tanzania!$AA$68</c:f>
              <c:strCache>
                <c:ptCount val="1"/>
                <c:pt idx="0">
                  <c:v>Trade services</c:v>
                </c:pt>
              </c:strCache>
            </c:strRef>
          </c:tx>
          <c:spPr>
            <a:solidFill>
              <a:srgbClr val="66FFFF"/>
            </a:solidFill>
            <a:ln w="25400">
              <a:noFill/>
            </a:ln>
          </c:spPr>
          <c:invertIfNegative val="0"/>
          <c:xVal>
            <c:numRef>
              <c:f>Tanzania!$AB$68</c:f>
              <c:numCache>
                <c:formatCode>0.0</c:formatCode>
                <c:ptCount val="1"/>
                <c:pt idx="0">
                  <c:v>1.7024428980343282</c:v>
                </c:pt>
              </c:numCache>
            </c:numRef>
          </c:xVal>
          <c:yVal>
            <c:numRef>
              <c:f>Tanzania!$AC$68</c:f>
              <c:numCache>
                <c:formatCode>0.0</c:formatCode>
                <c:ptCount val="1"/>
                <c:pt idx="0">
                  <c:v>1.8704874246431111</c:v>
                </c:pt>
              </c:numCache>
            </c:numRef>
          </c:yVal>
          <c:bubbleSize>
            <c:numRef>
              <c:f>Tanzania!$AE$68</c:f>
              <c:numCache>
                <c:formatCode>#,##0</c:formatCode>
                <c:ptCount val="1"/>
                <c:pt idx="0">
                  <c:v>1316.4985619093873</c:v>
                </c:pt>
              </c:numCache>
            </c:numRef>
          </c:bubbleSize>
          <c:bubble3D val="1"/>
        </c:ser>
        <c:ser>
          <c:idx val="6"/>
          <c:order val="6"/>
          <c:tx>
            <c:strRef>
              <c:f>Tanzania!$AA$69</c:f>
              <c:strCache>
                <c:ptCount val="1"/>
                <c:pt idx="0">
                  <c:v>Transport services</c:v>
                </c:pt>
              </c:strCache>
            </c:strRef>
          </c:tx>
          <c:spPr>
            <a:solidFill>
              <a:srgbClr val="FF00FF"/>
            </a:solidFill>
            <a:ln w="25400">
              <a:noFill/>
            </a:ln>
          </c:spPr>
          <c:invertIfNegative val="0"/>
          <c:xVal>
            <c:numRef>
              <c:f>Tanzania!$AB$69</c:f>
              <c:numCache>
                <c:formatCode>0.0</c:formatCode>
                <c:ptCount val="1"/>
                <c:pt idx="0">
                  <c:v>0.12707017229603823</c:v>
                </c:pt>
              </c:numCache>
            </c:numRef>
          </c:xVal>
          <c:yVal>
            <c:numRef>
              <c:f>Tanzania!$AC$69</c:f>
              <c:numCache>
                <c:formatCode>0.0</c:formatCode>
                <c:ptCount val="1"/>
                <c:pt idx="0">
                  <c:v>8.1269072839516436</c:v>
                </c:pt>
              </c:numCache>
            </c:numRef>
          </c:yVal>
          <c:bubbleSize>
            <c:numRef>
              <c:f>Tanzania!$AE$69</c:f>
              <c:numCache>
                <c:formatCode>#,##0</c:formatCode>
                <c:ptCount val="1"/>
                <c:pt idx="0">
                  <c:v>138.78615255528698</c:v>
                </c:pt>
              </c:numCache>
            </c:numRef>
          </c:bubbleSize>
          <c:bubble3D val="1"/>
        </c:ser>
        <c:ser>
          <c:idx val="7"/>
          <c:order val="7"/>
          <c:tx>
            <c:strRef>
              <c:f>Tanzania!$AA$70</c:f>
              <c:strCache>
                <c:ptCount val="1"/>
                <c:pt idx="0">
                  <c:v>Business services</c:v>
                </c:pt>
              </c:strCache>
            </c:strRef>
          </c:tx>
          <c:spPr>
            <a:solidFill>
              <a:srgbClr val="99FF66"/>
            </a:solidFill>
            <a:ln w="25400">
              <a:noFill/>
            </a:ln>
          </c:spPr>
          <c:invertIfNegative val="0"/>
          <c:xVal>
            <c:numRef>
              <c:f>Tanzania!$AB$70</c:f>
              <c:numCache>
                <c:formatCode>0.0</c:formatCode>
                <c:ptCount val="1"/>
                <c:pt idx="0">
                  <c:v>6.5636373563093819E-4</c:v>
                </c:pt>
              </c:numCache>
            </c:numRef>
          </c:xVal>
          <c:yVal>
            <c:numRef>
              <c:f>Tanzania!$AC$70</c:f>
              <c:numCache>
                <c:formatCode>0.0</c:formatCode>
                <c:ptCount val="1"/>
                <c:pt idx="0">
                  <c:v>22.492001924080647</c:v>
                </c:pt>
              </c:numCache>
            </c:numRef>
          </c:yVal>
          <c:bubbleSize>
            <c:numRef>
              <c:f>Tanzania!$AE$70</c:f>
              <c:numCache>
                <c:formatCode>#,##0</c:formatCode>
                <c:ptCount val="1"/>
                <c:pt idx="0">
                  <c:v>31.482117152244548</c:v>
                </c:pt>
              </c:numCache>
            </c:numRef>
          </c:bubbleSize>
          <c:bubble3D val="1"/>
        </c:ser>
        <c:ser>
          <c:idx val="8"/>
          <c:order val="8"/>
          <c:tx>
            <c:strRef>
              <c:f>Tanzania!$AA$71</c:f>
              <c:strCache>
                <c:ptCount val="1"/>
                <c:pt idx="0">
                  <c:v>Govt services</c:v>
                </c:pt>
              </c:strCache>
            </c:strRef>
          </c:tx>
          <c:spPr>
            <a:solidFill>
              <a:srgbClr val="984807"/>
            </a:solidFill>
            <a:ln w="25400">
              <a:noFill/>
            </a:ln>
          </c:spPr>
          <c:invertIfNegative val="0"/>
          <c:xVal>
            <c:numRef>
              <c:f>Tanzania!$AB$71</c:f>
              <c:numCache>
                <c:formatCode>0.0</c:formatCode>
                <c:ptCount val="1"/>
                <c:pt idx="0">
                  <c:v>1.6082505674733376</c:v>
                </c:pt>
              </c:numCache>
            </c:numRef>
          </c:xVal>
          <c:yVal>
            <c:numRef>
              <c:f>Tanzania!$AC$71</c:f>
              <c:numCache>
                <c:formatCode>0.0</c:formatCode>
                <c:ptCount val="1"/>
                <c:pt idx="0">
                  <c:v>2.5418452172840746</c:v>
                </c:pt>
              </c:numCache>
            </c:numRef>
          </c:yVal>
          <c:bubbleSize>
            <c:numRef>
              <c:f>Tanzania!$AE$71</c:f>
              <c:numCache>
                <c:formatCode>#,##0</c:formatCode>
                <c:ptCount val="1"/>
                <c:pt idx="0">
                  <c:v>795.39193858291605</c:v>
                </c:pt>
              </c:numCache>
            </c:numRef>
          </c:bubbleSize>
          <c:bubble3D val="1"/>
        </c:ser>
        <c:ser>
          <c:idx val="9"/>
          <c:order val="9"/>
          <c:tx>
            <c:strRef>
              <c:f>Tanzania!$AA$72</c:f>
              <c:strCache>
                <c:ptCount val="1"/>
                <c:pt idx="0">
                  <c:v>Personal services</c:v>
                </c:pt>
              </c:strCache>
            </c:strRef>
          </c:tx>
          <c:spPr>
            <a:solidFill>
              <a:srgbClr val="9999FF"/>
            </a:solidFill>
            <a:ln w="25400">
              <a:noFill/>
            </a:ln>
          </c:spPr>
          <c:invertIfNegative val="0"/>
          <c:xVal>
            <c:numRef>
              <c:f>Tanzania!$AB$72</c:f>
              <c:numCache>
                <c:formatCode>0.0</c:formatCode>
                <c:ptCount val="1"/>
                <c:pt idx="0">
                  <c:v>8.4848884123241763E-2</c:v>
                </c:pt>
              </c:numCache>
            </c:numRef>
          </c:xVal>
          <c:yVal>
            <c:numRef>
              <c:f>Tanzania!$AC$72</c:f>
              <c:numCache>
                <c:formatCode>0.0</c:formatCode>
                <c:ptCount val="1"/>
                <c:pt idx="0">
                  <c:v>0.37227870484698622</c:v>
                </c:pt>
              </c:numCache>
            </c:numRef>
          </c:yVal>
          <c:bubbleSize>
            <c:numRef>
              <c:f>Tanzania!$AE$72</c:f>
              <c:numCache>
                <c:formatCode>#,##0</c:formatCode>
                <c:ptCount val="1"/>
                <c:pt idx="0">
                  <c:v>331.28662369818556</c:v>
                </c:pt>
              </c:numCache>
            </c:numRef>
          </c:bubbleSize>
          <c:bubble3D val="1"/>
        </c:ser>
        <c:dLbls>
          <c:showLegendKey val="0"/>
          <c:showVal val="0"/>
          <c:showCatName val="0"/>
          <c:showSerName val="0"/>
          <c:showPercent val="0"/>
          <c:showBubbleSize val="0"/>
        </c:dLbls>
        <c:bubbleScale val="100"/>
        <c:showNegBubbles val="0"/>
        <c:axId val="89989120"/>
        <c:axId val="89991040"/>
      </c:bubbleChart>
      <c:valAx>
        <c:axId val="89989120"/>
        <c:scaling>
          <c:orientation val="minMax"/>
        </c:scaling>
        <c:delete val="0"/>
        <c:axPos val="b"/>
        <c:title>
          <c:tx>
            <c:rich>
              <a:bodyPr/>
              <a:lstStyle/>
              <a:p>
                <a:pPr>
                  <a:defRPr sz="800" b="0"/>
                </a:pPr>
                <a:r>
                  <a:rPr lang="en-US" sz="800" b="0"/>
                  <a:t>Percentage point change in share of persons engaged, 2000-05</a:t>
                </a:r>
              </a:p>
            </c:rich>
          </c:tx>
          <c:overlay val="0"/>
        </c:title>
        <c:numFmt formatCode="0.0" sourceLinked="1"/>
        <c:majorTickMark val="out"/>
        <c:minorTickMark val="none"/>
        <c:tickLblPos val="low"/>
        <c:crossAx val="89991040"/>
        <c:crosses val="autoZero"/>
        <c:crossBetween val="midCat"/>
      </c:valAx>
      <c:valAx>
        <c:axId val="89991040"/>
        <c:scaling>
          <c:orientation val="minMax"/>
        </c:scaling>
        <c:delete val="0"/>
        <c:axPos val="l"/>
        <c:majorGridlines/>
        <c:title>
          <c:tx>
            <c:rich>
              <a:bodyPr rot="-5400000" vert="horz"/>
              <a:lstStyle/>
              <a:p>
                <a:pPr>
                  <a:defRPr sz="800" b="0"/>
                </a:pPr>
                <a:r>
                  <a:rPr lang="en-US" sz="800" b="0"/>
                  <a:t>Relative productivity level, 2005</a:t>
                </a:r>
              </a:p>
            </c:rich>
          </c:tx>
          <c:overlay val="0"/>
        </c:title>
        <c:numFmt formatCode="0.0" sourceLinked="1"/>
        <c:majorTickMark val="out"/>
        <c:minorTickMark val="none"/>
        <c:tickLblPos val="low"/>
        <c:crossAx val="89989120"/>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1"/>
            </a:pPr>
            <a:r>
              <a:rPr lang="en-US" sz="800" b="1"/>
              <a:t>Personal services</a:t>
            </a:r>
          </a:p>
        </c:rich>
      </c:tx>
      <c:overlay val="0"/>
    </c:title>
    <c:autoTitleDeleted val="0"/>
    <c:plotArea>
      <c:layout/>
      <c:barChart>
        <c:barDir val="col"/>
        <c:grouping val="clustered"/>
        <c:varyColors val="0"/>
        <c:ser>
          <c:idx val="0"/>
          <c:order val="0"/>
          <c:tx>
            <c:v>Male</c:v>
          </c:tx>
          <c:spPr>
            <a:solidFill>
              <a:srgbClr val="006C67"/>
            </a:solidFill>
          </c:spPr>
          <c:invertIfNegative val="0"/>
          <c:cat>
            <c:numRef>
              <c:f>'Sector emp (ASD)'!$C$4:$H$4</c:f>
              <c:numCache>
                <c:formatCode>General</c:formatCode>
                <c:ptCount val="6"/>
                <c:pt idx="0">
                  <c:v>1960</c:v>
                </c:pt>
                <c:pt idx="1">
                  <c:v>1975</c:v>
                </c:pt>
                <c:pt idx="2">
                  <c:v>1990</c:v>
                </c:pt>
                <c:pt idx="3">
                  <c:v>2000</c:v>
                </c:pt>
                <c:pt idx="4">
                  <c:v>2005</c:v>
                </c:pt>
                <c:pt idx="5">
                  <c:v>2010</c:v>
                </c:pt>
              </c:numCache>
            </c:numRef>
          </c:cat>
          <c:val>
            <c:numRef>
              <c:f>'Sector emp (ASD)'!$C$14:$H$14</c:f>
              <c:numCache>
                <c:formatCode>0%</c:formatCode>
                <c:ptCount val="6"/>
                <c:pt idx="0">
                  <c:v>0.74409841125046983</c:v>
                </c:pt>
                <c:pt idx="1">
                  <c:v>0.68769612648228351</c:v>
                </c:pt>
                <c:pt idx="2">
                  <c:v>0.65951311445480976</c:v>
                </c:pt>
                <c:pt idx="3">
                  <c:v>0.54338603627513116</c:v>
                </c:pt>
                <c:pt idx="4">
                  <c:v>0.52273969662518149</c:v>
                </c:pt>
                <c:pt idx="5">
                  <c:v>0.52273969662518149</c:v>
                </c:pt>
              </c:numCache>
            </c:numRef>
          </c:val>
        </c:ser>
        <c:ser>
          <c:idx val="1"/>
          <c:order val="1"/>
          <c:tx>
            <c:v>Female</c:v>
          </c:tx>
          <c:spPr>
            <a:solidFill>
              <a:srgbClr val="F7941E"/>
            </a:solidFill>
          </c:spPr>
          <c:invertIfNegative val="0"/>
          <c:cat>
            <c:numRef>
              <c:f>'Sector emp (ASD)'!$C$4:$H$4</c:f>
              <c:numCache>
                <c:formatCode>General</c:formatCode>
                <c:ptCount val="6"/>
                <c:pt idx="0">
                  <c:v>1960</c:v>
                </c:pt>
                <c:pt idx="1">
                  <c:v>1975</c:v>
                </c:pt>
                <c:pt idx="2">
                  <c:v>1990</c:v>
                </c:pt>
                <c:pt idx="3">
                  <c:v>2000</c:v>
                </c:pt>
                <c:pt idx="4">
                  <c:v>2005</c:v>
                </c:pt>
                <c:pt idx="5">
                  <c:v>2010</c:v>
                </c:pt>
              </c:numCache>
            </c:numRef>
          </c:cat>
          <c:val>
            <c:numRef>
              <c:f>'Sector emp (ASD)'!$J$14:$O$14</c:f>
              <c:numCache>
                <c:formatCode>0%</c:formatCode>
                <c:ptCount val="6"/>
                <c:pt idx="0">
                  <c:v>0.25590158874953012</c:v>
                </c:pt>
                <c:pt idx="1">
                  <c:v>0.31230387351771643</c:v>
                </c:pt>
                <c:pt idx="2">
                  <c:v>0.34048688554519024</c:v>
                </c:pt>
                <c:pt idx="3">
                  <c:v>0.45661396372486879</c:v>
                </c:pt>
                <c:pt idx="4">
                  <c:v>0.47726030337481851</c:v>
                </c:pt>
                <c:pt idx="5">
                  <c:v>0.47726030337481851</c:v>
                </c:pt>
              </c:numCache>
            </c:numRef>
          </c:val>
        </c:ser>
        <c:dLbls>
          <c:showLegendKey val="0"/>
          <c:showVal val="0"/>
          <c:showCatName val="0"/>
          <c:showSerName val="0"/>
          <c:showPercent val="0"/>
          <c:showBubbleSize val="0"/>
        </c:dLbls>
        <c:gapWidth val="150"/>
        <c:axId val="105161856"/>
        <c:axId val="105163392"/>
      </c:barChart>
      <c:catAx>
        <c:axId val="105161856"/>
        <c:scaling>
          <c:orientation val="minMax"/>
        </c:scaling>
        <c:delete val="0"/>
        <c:axPos val="b"/>
        <c:numFmt formatCode="General" sourceLinked="1"/>
        <c:majorTickMark val="out"/>
        <c:minorTickMark val="none"/>
        <c:tickLblPos val="nextTo"/>
        <c:txPr>
          <a:bodyPr/>
          <a:lstStyle/>
          <a:p>
            <a:pPr>
              <a:defRPr sz="700"/>
            </a:pPr>
            <a:endParaRPr lang="en-US"/>
          </a:p>
        </c:txPr>
        <c:crossAx val="105163392"/>
        <c:crosses val="autoZero"/>
        <c:auto val="1"/>
        <c:lblAlgn val="ctr"/>
        <c:lblOffset val="100"/>
        <c:noMultiLvlLbl val="0"/>
      </c:catAx>
      <c:valAx>
        <c:axId val="105163392"/>
        <c:scaling>
          <c:orientation val="minMax"/>
          <c:max val="1"/>
        </c:scaling>
        <c:delete val="0"/>
        <c:axPos val="l"/>
        <c:majorGridlines/>
        <c:numFmt formatCode="0%" sourceLinked="1"/>
        <c:majorTickMark val="out"/>
        <c:minorTickMark val="none"/>
        <c:tickLblPos val="nextTo"/>
        <c:txPr>
          <a:bodyPr/>
          <a:lstStyle/>
          <a:p>
            <a:pPr>
              <a:defRPr sz="700"/>
            </a:pPr>
            <a:endParaRPr lang="en-US"/>
          </a:p>
        </c:txPr>
        <c:crossAx val="105161856"/>
        <c:crosses val="autoZero"/>
        <c:crossBetween val="between"/>
      </c:valAx>
    </c:plotArea>
    <c:legend>
      <c:legendPos val="r"/>
      <c:overlay val="0"/>
      <c:txPr>
        <a:bodyPr/>
        <a:lstStyle/>
        <a:p>
          <a:pPr>
            <a:defRPr sz="700"/>
          </a:pPr>
          <a:endParaRPr lang="en-US"/>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Construction</a:t>
            </a:r>
          </a:p>
        </c:rich>
      </c:tx>
      <c:overlay val="0"/>
    </c:title>
    <c:autoTitleDeleted val="0"/>
    <c:plotArea>
      <c:layout/>
      <c:barChart>
        <c:barDir val="col"/>
        <c:grouping val="clustered"/>
        <c:varyColors val="0"/>
        <c:ser>
          <c:idx val="0"/>
          <c:order val="0"/>
          <c:tx>
            <c:v>Male</c:v>
          </c:tx>
          <c:spPr>
            <a:solidFill>
              <a:srgbClr val="006C67"/>
            </a:solidFill>
          </c:spPr>
          <c:invertIfNegative val="0"/>
          <c:cat>
            <c:numRef>
              <c:f>'Sector emp (ASD)'!$C$4:$H$4</c:f>
              <c:numCache>
                <c:formatCode>General</c:formatCode>
                <c:ptCount val="6"/>
                <c:pt idx="0">
                  <c:v>1960</c:v>
                </c:pt>
                <c:pt idx="1">
                  <c:v>1975</c:v>
                </c:pt>
                <c:pt idx="2">
                  <c:v>1990</c:v>
                </c:pt>
                <c:pt idx="3">
                  <c:v>2000</c:v>
                </c:pt>
                <c:pt idx="4">
                  <c:v>2005</c:v>
                </c:pt>
                <c:pt idx="5">
                  <c:v>2010</c:v>
                </c:pt>
              </c:numCache>
            </c:numRef>
          </c:cat>
          <c:val>
            <c:numRef>
              <c:f>'Sector emp (ASD)'!$C$9:$H$9</c:f>
              <c:numCache>
                <c:formatCode>0%</c:formatCode>
                <c:ptCount val="6"/>
                <c:pt idx="0">
                  <c:v>0.99519801798345908</c:v>
                </c:pt>
                <c:pt idx="1">
                  <c:v>0.95907505090870848</c:v>
                </c:pt>
                <c:pt idx="2">
                  <c:v>0.93031263141004816</c:v>
                </c:pt>
                <c:pt idx="3">
                  <c:v>0.94507853607487347</c:v>
                </c:pt>
                <c:pt idx="4">
                  <c:v>0.94805972251567017</c:v>
                </c:pt>
                <c:pt idx="5">
                  <c:v>0.94805972251567028</c:v>
                </c:pt>
              </c:numCache>
            </c:numRef>
          </c:val>
        </c:ser>
        <c:ser>
          <c:idx val="1"/>
          <c:order val="1"/>
          <c:tx>
            <c:v>Female</c:v>
          </c:tx>
          <c:spPr>
            <a:solidFill>
              <a:srgbClr val="F7941E"/>
            </a:solidFill>
          </c:spPr>
          <c:invertIfNegative val="0"/>
          <c:cat>
            <c:numRef>
              <c:f>'Sector emp (ASD)'!$C$4:$H$4</c:f>
              <c:numCache>
                <c:formatCode>General</c:formatCode>
                <c:ptCount val="6"/>
                <c:pt idx="0">
                  <c:v>1960</c:v>
                </c:pt>
                <c:pt idx="1">
                  <c:v>1975</c:v>
                </c:pt>
                <c:pt idx="2">
                  <c:v>1990</c:v>
                </c:pt>
                <c:pt idx="3">
                  <c:v>2000</c:v>
                </c:pt>
                <c:pt idx="4">
                  <c:v>2005</c:v>
                </c:pt>
                <c:pt idx="5">
                  <c:v>2010</c:v>
                </c:pt>
              </c:numCache>
            </c:numRef>
          </c:cat>
          <c:val>
            <c:numRef>
              <c:f>'Sector emp (ASD)'!$J$9:$O$9</c:f>
              <c:numCache>
                <c:formatCode>0%</c:formatCode>
                <c:ptCount val="6"/>
                <c:pt idx="0">
                  <c:v>4.801982016540942E-3</c:v>
                </c:pt>
                <c:pt idx="1">
                  <c:v>4.092494909129149E-2</c:v>
                </c:pt>
                <c:pt idx="2">
                  <c:v>6.9687368589951781E-2</c:v>
                </c:pt>
                <c:pt idx="3">
                  <c:v>5.4921463925126528E-2</c:v>
                </c:pt>
                <c:pt idx="4">
                  <c:v>5.1940277484329882E-2</c:v>
                </c:pt>
                <c:pt idx="5">
                  <c:v>5.1940277484329764E-2</c:v>
                </c:pt>
              </c:numCache>
            </c:numRef>
          </c:val>
        </c:ser>
        <c:dLbls>
          <c:showLegendKey val="0"/>
          <c:showVal val="0"/>
          <c:showCatName val="0"/>
          <c:showSerName val="0"/>
          <c:showPercent val="0"/>
          <c:showBubbleSize val="0"/>
        </c:dLbls>
        <c:gapWidth val="150"/>
        <c:axId val="104947072"/>
        <c:axId val="104948864"/>
      </c:barChart>
      <c:catAx>
        <c:axId val="104947072"/>
        <c:scaling>
          <c:orientation val="minMax"/>
        </c:scaling>
        <c:delete val="0"/>
        <c:axPos val="b"/>
        <c:numFmt formatCode="General" sourceLinked="1"/>
        <c:majorTickMark val="out"/>
        <c:minorTickMark val="none"/>
        <c:tickLblPos val="nextTo"/>
        <c:crossAx val="104948864"/>
        <c:crosses val="autoZero"/>
        <c:auto val="1"/>
        <c:lblAlgn val="ctr"/>
        <c:lblOffset val="100"/>
        <c:noMultiLvlLbl val="0"/>
      </c:catAx>
      <c:valAx>
        <c:axId val="104948864"/>
        <c:scaling>
          <c:orientation val="minMax"/>
          <c:max val="1"/>
        </c:scaling>
        <c:delete val="0"/>
        <c:axPos val="l"/>
        <c:majorGridlines/>
        <c:numFmt formatCode="0%" sourceLinked="1"/>
        <c:majorTickMark val="out"/>
        <c:minorTickMark val="none"/>
        <c:tickLblPos val="nextTo"/>
        <c:crossAx val="104947072"/>
        <c:crosses val="autoZero"/>
        <c:crossBetween val="between"/>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Trade services</a:t>
            </a:r>
          </a:p>
        </c:rich>
      </c:tx>
      <c:overlay val="0"/>
    </c:title>
    <c:autoTitleDeleted val="0"/>
    <c:plotArea>
      <c:layout/>
      <c:barChart>
        <c:barDir val="col"/>
        <c:grouping val="clustered"/>
        <c:varyColors val="0"/>
        <c:ser>
          <c:idx val="0"/>
          <c:order val="0"/>
          <c:tx>
            <c:v>Male</c:v>
          </c:tx>
          <c:spPr>
            <a:solidFill>
              <a:srgbClr val="006C67"/>
            </a:solidFill>
          </c:spPr>
          <c:invertIfNegative val="0"/>
          <c:cat>
            <c:numRef>
              <c:f>'Sector emp (ASD)'!$C$4:$H$4</c:f>
              <c:numCache>
                <c:formatCode>General</c:formatCode>
                <c:ptCount val="6"/>
                <c:pt idx="0">
                  <c:v>1960</c:v>
                </c:pt>
                <c:pt idx="1">
                  <c:v>1975</c:v>
                </c:pt>
                <c:pt idx="2">
                  <c:v>1990</c:v>
                </c:pt>
                <c:pt idx="3">
                  <c:v>2000</c:v>
                </c:pt>
                <c:pt idx="4">
                  <c:v>2005</c:v>
                </c:pt>
                <c:pt idx="5">
                  <c:v>2010</c:v>
                </c:pt>
              </c:numCache>
            </c:numRef>
          </c:cat>
          <c:val>
            <c:numRef>
              <c:f>'Sector emp (ASD)'!$C$10:$H$10</c:f>
              <c:numCache>
                <c:formatCode>0%</c:formatCode>
                <c:ptCount val="6"/>
                <c:pt idx="0">
                  <c:v>0.91104192160221298</c:v>
                </c:pt>
                <c:pt idx="1">
                  <c:v>0.73388012992140539</c:v>
                </c:pt>
                <c:pt idx="2">
                  <c:v>0.57582721922396929</c:v>
                </c:pt>
                <c:pt idx="3">
                  <c:v>0.55607213803737909</c:v>
                </c:pt>
                <c:pt idx="4">
                  <c:v>0.5522032067986008</c:v>
                </c:pt>
                <c:pt idx="5">
                  <c:v>0.5522032067986008</c:v>
                </c:pt>
              </c:numCache>
            </c:numRef>
          </c:val>
        </c:ser>
        <c:ser>
          <c:idx val="1"/>
          <c:order val="1"/>
          <c:tx>
            <c:v>Female</c:v>
          </c:tx>
          <c:spPr>
            <a:solidFill>
              <a:srgbClr val="F7941E"/>
            </a:solidFill>
          </c:spPr>
          <c:invertIfNegative val="0"/>
          <c:cat>
            <c:numRef>
              <c:f>'Sector emp (ASD)'!$C$4:$H$4</c:f>
              <c:numCache>
                <c:formatCode>General</c:formatCode>
                <c:ptCount val="6"/>
                <c:pt idx="0">
                  <c:v>1960</c:v>
                </c:pt>
                <c:pt idx="1">
                  <c:v>1975</c:v>
                </c:pt>
                <c:pt idx="2">
                  <c:v>1990</c:v>
                </c:pt>
                <c:pt idx="3">
                  <c:v>2000</c:v>
                </c:pt>
                <c:pt idx="4">
                  <c:v>2005</c:v>
                </c:pt>
                <c:pt idx="5">
                  <c:v>2010</c:v>
                </c:pt>
              </c:numCache>
            </c:numRef>
          </c:cat>
          <c:val>
            <c:numRef>
              <c:f>'Sector emp (ASD)'!$J$10:$O$10</c:f>
              <c:numCache>
                <c:formatCode>0%</c:formatCode>
                <c:ptCount val="6"/>
                <c:pt idx="0">
                  <c:v>8.8958078397786966E-2</c:v>
                </c:pt>
                <c:pt idx="1">
                  <c:v>0.26611987007859461</c:v>
                </c:pt>
                <c:pt idx="2">
                  <c:v>0.42417278077603071</c:v>
                </c:pt>
                <c:pt idx="3">
                  <c:v>0.44392786196262085</c:v>
                </c:pt>
                <c:pt idx="4">
                  <c:v>0.44779679320139926</c:v>
                </c:pt>
                <c:pt idx="5">
                  <c:v>0.4477967932013992</c:v>
                </c:pt>
              </c:numCache>
            </c:numRef>
          </c:val>
        </c:ser>
        <c:dLbls>
          <c:showLegendKey val="0"/>
          <c:showVal val="0"/>
          <c:showCatName val="0"/>
          <c:showSerName val="0"/>
          <c:showPercent val="0"/>
          <c:showBubbleSize val="0"/>
        </c:dLbls>
        <c:gapWidth val="150"/>
        <c:axId val="104982400"/>
        <c:axId val="104983936"/>
      </c:barChart>
      <c:catAx>
        <c:axId val="104982400"/>
        <c:scaling>
          <c:orientation val="minMax"/>
        </c:scaling>
        <c:delete val="0"/>
        <c:axPos val="b"/>
        <c:numFmt formatCode="General" sourceLinked="1"/>
        <c:majorTickMark val="out"/>
        <c:minorTickMark val="none"/>
        <c:tickLblPos val="nextTo"/>
        <c:crossAx val="104983936"/>
        <c:crosses val="autoZero"/>
        <c:auto val="1"/>
        <c:lblAlgn val="ctr"/>
        <c:lblOffset val="100"/>
        <c:noMultiLvlLbl val="0"/>
      </c:catAx>
      <c:valAx>
        <c:axId val="104983936"/>
        <c:scaling>
          <c:orientation val="minMax"/>
          <c:max val="1"/>
        </c:scaling>
        <c:delete val="0"/>
        <c:axPos val="l"/>
        <c:majorGridlines/>
        <c:numFmt formatCode="0%" sourceLinked="1"/>
        <c:majorTickMark val="out"/>
        <c:minorTickMark val="none"/>
        <c:tickLblPos val="nextTo"/>
        <c:crossAx val="104982400"/>
        <c:crosses val="autoZero"/>
        <c:crossBetween val="between"/>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Transport services</a:t>
            </a:r>
          </a:p>
        </c:rich>
      </c:tx>
      <c:overlay val="0"/>
    </c:title>
    <c:autoTitleDeleted val="0"/>
    <c:plotArea>
      <c:layout/>
      <c:barChart>
        <c:barDir val="col"/>
        <c:grouping val="clustered"/>
        <c:varyColors val="0"/>
        <c:ser>
          <c:idx val="0"/>
          <c:order val="0"/>
          <c:tx>
            <c:v>Male</c:v>
          </c:tx>
          <c:spPr>
            <a:solidFill>
              <a:srgbClr val="006C67"/>
            </a:solidFill>
          </c:spPr>
          <c:invertIfNegative val="0"/>
          <c:cat>
            <c:numRef>
              <c:f>'Sector emp (ASD)'!$C$4:$H$4</c:f>
              <c:numCache>
                <c:formatCode>General</c:formatCode>
                <c:ptCount val="6"/>
                <c:pt idx="0">
                  <c:v>1960</c:v>
                </c:pt>
                <c:pt idx="1">
                  <c:v>1975</c:v>
                </c:pt>
                <c:pt idx="2">
                  <c:v>1990</c:v>
                </c:pt>
                <c:pt idx="3">
                  <c:v>2000</c:v>
                </c:pt>
                <c:pt idx="4">
                  <c:v>2005</c:v>
                </c:pt>
                <c:pt idx="5">
                  <c:v>2010</c:v>
                </c:pt>
              </c:numCache>
            </c:numRef>
          </c:cat>
          <c:val>
            <c:numRef>
              <c:f>'Sector emp (ASD)'!$C$11:$H$11</c:f>
              <c:numCache>
                <c:formatCode>0%</c:formatCode>
                <c:ptCount val="6"/>
                <c:pt idx="0">
                  <c:v>0.98788703494475227</c:v>
                </c:pt>
                <c:pt idx="1">
                  <c:v>0.9251197781642283</c:v>
                </c:pt>
                <c:pt idx="2">
                  <c:v>0.89846129323497381</c:v>
                </c:pt>
                <c:pt idx="3">
                  <c:v>0.92929307648910908</c:v>
                </c:pt>
                <c:pt idx="4">
                  <c:v>0.93558525248256919</c:v>
                </c:pt>
                <c:pt idx="5">
                  <c:v>0.93558525248256919</c:v>
                </c:pt>
              </c:numCache>
            </c:numRef>
          </c:val>
        </c:ser>
        <c:ser>
          <c:idx val="1"/>
          <c:order val="1"/>
          <c:tx>
            <c:v>Female</c:v>
          </c:tx>
          <c:spPr>
            <a:solidFill>
              <a:srgbClr val="F7941E"/>
            </a:solidFill>
          </c:spPr>
          <c:invertIfNegative val="0"/>
          <c:cat>
            <c:numRef>
              <c:f>'Sector emp (ASD)'!$C$4:$H$4</c:f>
              <c:numCache>
                <c:formatCode>General</c:formatCode>
                <c:ptCount val="6"/>
                <c:pt idx="0">
                  <c:v>1960</c:v>
                </c:pt>
                <c:pt idx="1">
                  <c:v>1975</c:v>
                </c:pt>
                <c:pt idx="2">
                  <c:v>1990</c:v>
                </c:pt>
                <c:pt idx="3">
                  <c:v>2000</c:v>
                </c:pt>
                <c:pt idx="4">
                  <c:v>2005</c:v>
                </c:pt>
                <c:pt idx="5">
                  <c:v>2010</c:v>
                </c:pt>
              </c:numCache>
            </c:numRef>
          </c:cat>
          <c:val>
            <c:numRef>
              <c:f>'Sector emp (ASD)'!$J$11:$O$11</c:f>
              <c:numCache>
                <c:formatCode>0%</c:formatCode>
                <c:ptCount val="6"/>
                <c:pt idx="0">
                  <c:v>1.2112965055247728E-2</c:v>
                </c:pt>
                <c:pt idx="1">
                  <c:v>7.4880221835771685E-2</c:v>
                </c:pt>
                <c:pt idx="2">
                  <c:v>0.10153870676502616</c:v>
                </c:pt>
                <c:pt idx="3">
                  <c:v>7.0706923510890904E-2</c:v>
                </c:pt>
                <c:pt idx="4">
                  <c:v>6.4414747517430773E-2</c:v>
                </c:pt>
                <c:pt idx="5">
                  <c:v>6.4414747517430801E-2</c:v>
                </c:pt>
              </c:numCache>
            </c:numRef>
          </c:val>
        </c:ser>
        <c:dLbls>
          <c:showLegendKey val="0"/>
          <c:showVal val="0"/>
          <c:showCatName val="0"/>
          <c:showSerName val="0"/>
          <c:showPercent val="0"/>
          <c:showBubbleSize val="0"/>
        </c:dLbls>
        <c:gapWidth val="150"/>
        <c:axId val="105005440"/>
        <c:axId val="105006976"/>
      </c:barChart>
      <c:catAx>
        <c:axId val="105005440"/>
        <c:scaling>
          <c:orientation val="minMax"/>
        </c:scaling>
        <c:delete val="0"/>
        <c:axPos val="b"/>
        <c:numFmt formatCode="General" sourceLinked="1"/>
        <c:majorTickMark val="out"/>
        <c:minorTickMark val="none"/>
        <c:tickLblPos val="nextTo"/>
        <c:crossAx val="105006976"/>
        <c:crosses val="autoZero"/>
        <c:auto val="1"/>
        <c:lblAlgn val="ctr"/>
        <c:lblOffset val="100"/>
        <c:noMultiLvlLbl val="0"/>
      </c:catAx>
      <c:valAx>
        <c:axId val="105006976"/>
        <c:scaling>
          <c:orientation val="minMax"/>
          <c:max val="1"/>
        </c:scaling>
        <c:delete val="0"/>
        <c:axPos val="l"/>
        <c:majorGridlines/>
        <c:numFmt formatCode="0%" sourceLinked="1"/>
        <c:majorTickMark val="out"/>
        <c:minorTickMark val="none"/>
        <c:tickLblPos val="nextTo"/>
        <c:crossAx val="105005440"/>
        <c:crosses val="autoZero"/>
        <c:crossBetween val="between"/>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Business services</a:t>
            </a:r>
          </a:p>
        </c:rich>
      </c:tx>
      <c:overlay val="0"/>
    </c:title>
    <c:autoTitleDeleted val="0"/>
    <c:plotArea>
      <c:layout/>
      <c:barChart>
        <c:barDir val="col"/>
        <c:grouping val="clustered"/>
        <c:varyColors val="0"/>
        <c:ser>
          <c:idx val="0"/>
          <c:order val="0"/>
          <c:tx>
            <c:v>Male</c:v>
          </c:tx>
          <c:spPr>
            <a:solidFill>
              <a:srgbClr val="006C67"/>
            </a:solidFill>
          </c:spPr>
          <c:invertIfNegative val="0"/>
          <c:cat>
            <c:numRef>
              <c:f>'Sector emp (ASD)'!$C$4:$H$4</c:f>
              <c:numCache>
                <c:formatCode>General</c:formatCode>
                <c:ptCount val="6"/>
                <c:pt idx="0">
                  <c:v>1960</c:v>
                </c:pt>
                <c:pt idx="1">
                  <c:v>1975</c:v>
                </c:pt>
                <c:pt idx="2">
                  <c:v>1990</c:v>
                </c:pt>
                <c:pt idx="3">
                  <c:v>2000</c:v>
                </c:pt>
                <c:pt idx="4">
                  <c:v>2005</c:v>
                </c:pt>
                <c:pt idx="5">
                  <c:v>2010</c:v>
                </c:pt>
              </c:numCache>
            </c:numRef>
          </c:cat>
          <c:val>
            <c:numRef>
              <c:f>'Sector emp (ASD)'!$C$12:$H$12</c:f>
              <c:numCache>
                <c:formatCode>0%</c:formatCode>
                <c:ptCount val="6"/>
                <c:pt idx="0">
                  <c:v>0.26872699564439462</c:v>
                </c:pt>
                <c:pt idx="1">
                  <c:v>0.64266305909866384</c:v>
                </c:pt>
                <c:pt idx="2">
                  <c:v>0.73486312339722404</c:v>
                </c:pt>
                <c:pt idx="3">
                  <c:v>0.74618332183055647</c:v>
                </c:pt>
                <c:pt idx="4">
                  <c:v>0.74846820198605535</c:v>
                </c:pt>
                <c:pt idx="5">
                  <c:v>0.74846820198605535</c:v>
                </c:pt>
              </c:numCache>
            </c:numRef>
          </c:val>
        </c:ser>
        <c:ser>
          <c:idx val="1"/>
          <c:order val="1"/>
          <c:tx>
            <c:v>Female</c:v>
          </c:tx>
          <c:spPr>
            <a:solidFill>
              <a:srgbClr val="F7941E"/>
            </a:solidFill>
          </c:spPr>
          <c:invertIfNegative val="0"/>
          <c:cat>
            <c:numRef>
              <c:f>'Sector emp (ASD)'!$C$4:$H$4</c:f>
              <c:numCache>
                <c:formatCode>General</c:formatCode>
                <c:ptCount val="6"/>
                <c:pt idx="0">
                  <c:v>1960</c:v>
                </c:pt>
                <c:pt idx="1">
                  <c:v>1975</c:v>
                </c:pt>
                <c:pt idx="2">
                  <c:v>1990</c:v>
                </c:pt>
                <c:pt idx="3">
                  <c:v>2000</c:v>
                </c:pt>
                <c:pt idx="4">
                  <c:v>2005</c:v>
                </c:pt>
                <c:pt idx="5">
                  <c:v>2010</c:v>
                </c:pt>
              </c:numCache>
            </c:numRef>
          </c:cat>
          <c:val>
            <c:numRef>
              <c:f>'Sector emp (ASD)'!$J$12:$O$12</c:f>
              <c:numCache>
                <c:formatCode>0%</c:formatCode>
                <c:ptCount val="6"/>
                <c:pt idx="0">
                  <c:v>0.73127300435560527</c:v>
                </c:pt>
                <c:pt idx="1">
                  <c:v>0.35733694090133616</c:v>
                </c:pt>
                <c:pt idx="2">
                  <c:v>0.26513687660277591</c:v>
                </c:pt>
                <c:pt idx="3">
                  <c:v>0.25381667816944348</c:v>
                </c:pt>
                <c:pt idx="4">
                  <c:v>0.25153179801394465</c:v>
                </c:pt>
                <c:pt idx="5">
                  <c:v>0.25153179801394465</c:v>
                </c:pt>
              </c:numCache>
            </c:numRef>
          </c:val>
        </c:ser>
        <c:dLbls>
          <c:showLegendKey val="0"/>
          <c:showVal val="0"/>
          <c:showCatName val="0"/>
          <c:showSerName val="0"/>
          <c:showPercent val="0"/>
          <c:showBubbleSize val="0"/>
        </c:dLbls>
        <c:gapWidth val="150"/>
        <c:axId val="105036416"/>
        <c:axId val="105038208"/>
      </c:barChart>
      <c:catAx>
        <c:axId val="105036416"/>
        <c:scaling>
          <c:orientation val="minMax"/>
        </c:scaling>
        <c:delete val="0"/>
        <c:axPos val="b"/>
        <c:numFmt formatCode="General" sourceLinked="1"/>
        <c:majorTickMark val="out"/>
        <c:minorTickMark val="none"/>
        <c:tickLblPos val="nextTo"/>
        <c:crossAx val="105038208"/>
        <c:crosses val="autoZero"/>
        <c:auto val="1"/>
        <c:lblAlgn val="ctr"/>
        <c:lblOffset val="100"/>
        <c:noMultiLvlLbl val="0"/>
      </c:catAx>
      <c:valAx>
        <c:axId val="105038208"/>
        <c:scaling>
          <c:orientation val="minMax"/>
          <c:max val="1"/>
        </c:scaling>
        <c:delete val="0"/>
        <c:axPos val="l"/>
        <c:majorGridlines/>
        <c:numFmt formatCode="0%" sourceLinked="1"/>
        <c:majorTickMark val="out"/>
        <c:minorTickMark val="none"/>
        <c:tickLblPos val="nextTo"/>
        <c:crossAx val="105036416"/>
        <c:crosses val="autoZero"/>
        <c:crossBetween val="between"/>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Male</a:t>
            </a:r>
          </a:p>
        </c:rich>
      </c:tx>
      <c:layout>
        <c:manualLayout>
          <c:xMode val="edge"/>
          <c:yMode val="edge"/>
          <c:x val="0.33084711286089241"/>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sex'!$B$6:$F$6</c:f>
              <c:numCache>
                <c:formatCode>General</c:formatCode>
                <c:ptCount val="5"/>
                <c:pt idx="0">
                  <c:v>75</c:v>
                </c:pt>
                <c:pt idx="1">
                  <c:v>77.800000000000011</c:v>
                </c:pt>
                <c:pt idx="2">
                  <c:v>73</c:v>
                </c:pt>
                <c:pt idx="3">
                  <c:v>69.400000000000006</c:v>
                </c:pt>
                <c:pt idx="4">
                  <c:v>67.600000000000009</c:v>
                </c:pt>
              </c:numCache>
            </c:numRef>
          </c:val>
        </c:ser>
        <c:ser>
          <c:idx val="1"/>
          <c:order val="1"/>
          <c:tx>
            <c:strRef>
              <c:f>'Sectoral employ by sex'!$A$7</c:f>
              <c:strCache>
                <c:ptCount val="1"/>
                <c:pt idx="0">
                  <c:v>Mining and utilities</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sex'!$B$7:$F$7</c:f>
              <c:numCache>
                <c:formatCode>General</c:formatCode>
                <c:ptCount val="5"/>
                <c:pt idx="0">
                  <c:v>1.8</c:v>
                </c:pt>
                <c:pt idx="1">
                  <c:v>0.4</c:v>
                </c:pt>
                <c:pt idx="2">
                  <c:v>0.8</c:v>
                </c:pt>
                <c:pt idx="3">
                  <c:v>1.2</c:v>
                </c:pt>
                <c:pt idx="4">
                  <c:v>1.2</c:v>
                </c:pt>
              </c:numCache>
            </c:numRef>
          </c:val>
        </c:ser>
        <c:ser>
          <c:idx val="2"/>
          <c:order val="2"/>
          <c:tx>
            <c:strRef>
              <c:f>'Sectoral employ by sex'!$A$8</c:f>
              <c:strCache>
                <c:ptCount val="1"/>
                <c:pt idx="0">
                  <c:v>Manufacturing</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sex'!$B$8:$F$8</c:f>
              <c:numCache>
                <c:formatCode>General</c:formatCode>
                <c:ptCount val="5"/>
                <c:pt idx="0">
                  <c:v>3</c:v>
                </c:pt>
                <c:pt idx="1">
                  <c:v>2</c:v>
                </c:pt>
                <c:pt idx="2">
                  <c:v>3.1</c:v>
                </c:pt>
                <c:pt idx="3">
                  <c:v>3.6</c:v>
                </c:pt>
                <c:pt idx="4">
                  <c:v>3.6</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sex'!$B$9:$F$9</c:f>
              <c:numCache>
                <c:formatCode>General</c:formatCode>
                <c:ptCount val="5"/>
                <c:pt idx="0">
                  <c:v>1.4000000000000001</c:v>
                </c:pt>
                <c:pt idx="1">
                  <c:v>1.6</c:v>
                </c:pt>
                <c:pt idx="2">
                  <c:v>2.3000000000000003</c:v>
                </c:pt>
                <c:pt idx="3">
                  <c:v>2.5</c:v>
                </c:pt>
                <c:pt idx="4">
                  <c:v>2.7</c:v>
                </c:pt>
              </c:numCache>
            </c:numRef>
          </c:val>
        </c:ser>
        <c:ser>
          <c:idx val="4"/>
          <c:order val="4"/>
          <c:tx>
            <c:strRef>
              <c:f>'Sectoral employ by sex'!$A$10</c:f>
              <c:strCache>
                <c:ptCount val="1"/>
                <c:pt idx="0">
                  <c:v>Wholesale, retail, hotels</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sex'!$B$10:$F$10</c:f>
              <c:numCache>
                <c:formatCode>General</c:formatCode>
                <c:ptCount val="5"/>
                <c:pt idx="0">
                  <c:v>11.200000000000001</c:v>
                </c:pt>
                <c:pt idx="1">
                  <c:v>10.500000000000002</c:v>
                </c:pt>
                <c:pt idx="2">
                  <c:v>11.200000000000001</c:v>
                </c:pt>
                <c:pt idx="3">
                  <c:v>11.8</c:v>
                </c:pt>
                <c:pt idx="4">
                  <c:v>12.4</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sex'!$B$11:$F$11</c:f>
              <c:numCache>
                <c:formatCode>General</c:formatCode>
                <c:ptCount val="5"/>
                <c:pt idx="0">
                  <c:v>1.7000000000000002</c:v>
                </c:pt>
                <c:pt idx="1">
                  <c:v>1.2000000000000002</c:v>
                </c:pt>
                <c:pt idx="2">
                  <c:v>2.2000000000000002</c:v>
                </c:pt>
                <c:pt idx="3">
                  <c:v>2.9000000000000004</c:v>
                </c:pt>
                <c:pt idx="4">
                  <c:v>3.1</c:v>
                </c:pt>
              </c:numCache>
            </c:numRef>
          </c:val>
        </c:ser>
        <c:ser>
          <c:idx val="6"/>
          <c:order val="6"/>
          <c:tx>
            <c:strRef>
              <c:f>'Sectoral employ by sex'!$A$12</c:f>
              <c:strCache>
                <c:ptCount val="1"/>
                <c:pt idx="0">
                  <c:v>Other</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sex'!$B$12:$F$12</c:f>
              <c:numCache>
                <c:formatCode>General</c:formatCode>
                <c:ptCount val="5"/>
                <c:pt idx="0">
                  <c:v>6</c:v>
                </c:pt>
                <c:pt idx="1">
                  <c:v>6.5</c:v>
                </c:pt>
                <c:pt idx="2">
                  <c:v>7.3000000000000007</c:v>
                </c:pt>
                <c:pt idx="3">
                  <c:v>8.4000000000000021</c:v>
                </c:pt>
                <c:pt idx="4">
                  <c:v>9.5</c:v>
                </c:pt>
              </c:numCache>
            </c:numRef>
          </c:val>
        </c:ser>
        <c:dLbls>
          <c:showLegendKey val="0"/>
          <c:showVal val="0"/>
          <c:showCatName val="0"/>
          <c:showSerName val="0"/>
          <c:showPercent val="0"/>
          <c:showBubbleSize val="0"/>
        </c:dLbls>
        <c:gapWidth val="150"/>
        <c:overlap val="100"/>
        <c:axId val="105325696"/>
        <c:axId val="105327232"/>
      </c:barChart>
      <c:catAx>
        <c:axId val="105325696"/>
        <c:scaling>
          <c:orientation val="minMax"/>
        </c:scaling>
        <c:delete val="0"/>
        <c:axPos val="b"/>
        <c:numFmt formatCode="General" sourceLinked="1"/>
        <c:majorTickMark val="out"/>
        <c:minorTickMark val="none"/>
        <c:tickLblPos val="nextTo"/>
        <c:crossAx val="105327232"/>
        <c:crosses val="autoZero"/>
        <c:auto val="1"/>
        <c:lblAlgn val="ctr"/>
        <c:lblOffset val="100"/>
        <c:noMultiLvlLbl val="0"/>
      </c:catAx>
      <c:valAx>
        <c:axId val="105327232"/>
        <c:scaling>
          <c:orientation val="minMax"/>
        </c:scaling>
        <c:delete val="0"/>
        <c:axPos val="l"/>
        <c:majorGridlines/>
        <c:numFmt formatCode="0%" sourceLinked="1"/>
        <c:majorTickMark val="out"/>
        <c:minorTickMark val="none"/>
        <c:tickLblPos val="nextTo"/>
        <c:crossAx val="105325696"/>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Female</a:t>
            </a:r>
          </a:p>
        </c:rich>
      </c:tx>
      <c:layout>
        <c:manualLayout>
          <c:xMode val="edge"/>
          <c:yMode val="edge"/>
          <c:x val="0.27175012014343275"/>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sex'!$G$6:$K$6</c:f>
              <c:numCache>
                <c:formatCode>General</c:formatCode>
                <c:ptCount val="5"/>
                <c:pt idx="0">
                  <c:v>82.4</c:v>
                </c:pt>
                <c:pt idx="1">
                  <c:v>81</c:v>
                </c:pt>
                <c:pt idx="2">
                  <c:v>79</c:v>
                </c:pt>
                <c:pt idx="3">
                  <c:v>76.7</c:v>
                </c:pt>
                <c:pt idx="4">
                  <c:v>75.2</c:v>
                </c:pt>
              </c:numCache>
            </c:numRef>
          </c:val>
        </c:ser>
        <c:ser>
          <c:idx val="1"/>
          <c:order val="1"/>
          <c:tx>
            <c:strRef>
              <c:f>'Sectoral employ by sex'!$A$7</c:f>
              <c:strCache>
                <c:ptCount val="1"/>
                <c:pt idx="0">
                  <c:v>Mining and utilities</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sex'!$G$7:$K$7</c:f>
              <c:numCache>
                <c:formatCode>General</c:formatCode>
                <c:ptCount val="5"/>
                <c:pt idx="0">
                  <c:v>0.1</c:v>
                </c:pt>
                <c:pt idx="1">
                  <c:v>0.2</c:v>
                </c:pt>
                <c:pt idx="2">
                  <c:v>0.2</c:v>
                </c:pt>
                <c:pt idx="3">
                  <c:v>0.2</c:v>
                </c:pt>
                <c:pt idx="4">
                  <c:v>0.2</c:v>
                </c:pt>
              </c:numCache>
            </c:numRef>
          </c:val>
        </c:ser>
        <c:ser>
          <c:idx val="2"/>
          <c:order val="2"/>
          <c:tx>
            <c:strRef>
              <c:f>'Sectoral employ by sex'!$A$8</c:f>
              <c:strCache>
                <c:ptCount val="1"/>
                <c:pt idx="0">
                  <c:v>Manufacturing</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sex'!$G$8:$K$8</c:f>
              <c:numCache>
                <c:formatCode>General</c:formatCode>
                <c:ptCount val="5"/>
                <c:pt idx="0">
                  <c:v>1.1000000000000001</c:v>
                </c:pt>
                <c:pt idx="1">
                  <c:v>1</c:v>
                </c:pt>
                <c:pt idx="2">
                  <c:v>1.9000000000000001</c:v>
                </c:pt>
                <c:pt idx="3">
                  <c:v>2.7</c:v>
                </c:pt>
                <c:pt idx="4">
                  <c:v>2.9000000000000004</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sex'!$G$9:$K$9</c:f>
              <c:numCache>
                <c:formatCode>General</c:formatCode>
                <c:ptCount val="5"/>
                <c:pt idx="0">
                  <c:v>0.1</c:v>
                </c:pt>
                <c:pt idx="1">
                  <c:v>0</c:v>
                </c:pt>
                <c:pt idx="2">
                  <c:v>0</c:v>
                </c:pt>
                <c:pt idx="3">
                  <c:v>0.1</c:v>
                </c:pt>
                <c:pt idx="4">
                  <c:v>0.1</c:v>
                </c:pt>
              </c:numCache>
            </c:numRef>
          </c:val>
        </c:ser>
        <c:ser>
          <c:idx val="4"/>
          <c:order val="4"/>
          <c:tx>
            <c:strRef>
              <c:f>'Sectoral employ by sex'!$A$10</c:f>
              <c:strCache>
                <c:ptCount val="1"/>
                <c:pt idx="0">
                  <c:v>Wholesale, retail, hotels</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sex'!$G$10:$K$10</c:f>
              <c:numCache>
                <c:formatCode>General</c:formatCode>
                <c:ptCount val="5"/>
                <c:pt idx="0">
                  <c:v>8.4</c:v>
                </c:pt>
                <c:pt idx="1">
                  <c:v>9.8000000000000007</c:v>
                </c:pt>
                <c:pt idx="2">
                  <c:v>10.199999999999999</c:v>
                </c:pt>
                <c:pt idx="3">
                  <c:v>11.3</c:v>
                </c:pt>
                <c:pt idx="4">
                  <c:v>12.1</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sex'!$G$11:$K$11</c:f>
              <c:numCache>
                <c:formatCode>General</c:formatCode>
                <c:ptCount val="5"/>
                <c:pt idx="0">
                  <c:v>0.2</c:v>
                </c:pt>
                <c:pt idx="1">
                  <c:v>0.1</c:v>
                </c:pt>
                <c:pt idx="2">
                  <c:v>0.1</c:v>
                </c:pt>
                <c:pt idx="3">
                  <c:v>0.1</c:v>
                </c:pt>
                <c:pt idx="4">
                  <c:v>0.1</c:v>
                </c:pt>
              </c:numCache>
            </c:numRef>
          </c:val>
        </c:ser>
        <c:ser>
          <c:idx val="6"/>
          <c:order val="6"/>
          <c:tx>
            <c:strRef>
              <c:f>'Sectoral employ by sex'!$A$12</c:f>
              <c:strCache>
                <c:ptCount val="1"/>
                <c:pt idx="0">
                  <c:v>Other</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sex'!$G$12:$K$12</c:f>
              <c:numCache>
                <c:formatCode>General</c:formatCode>
                <c:ptCount val="5"/>
                <c:pt idx="0">
                  <c:v>7.8000000000000007</c:v>
                </c:pt>
                <c:pt idx="1">
                  <c:v>8.1000000000000014</c:v>
                </c:pt>
                <c:pt idx="2">
                  <c:v>8.6000000000000014</c:v>
                </c:pt>
                <c:pt idx="3">
                  <c:v>8.8000000000000007</c:v>
                </c:pt>
                <c:pt idx="4">
                  <c:v>9.3000000000000007</c:v>
                </c:pt>
              </c:numCache>
            </c:numRef>
          </c:val>
        </c:ser>
        <c:dLbls>
          <c:showLegendKey val="0"/>
          <c:showVal val="0"/>
          <c:showCatName val="0"/>
          <c:showSerName val="0"/>
          <c:showPercent val="0"/>
          <c:showBubbleSize val="0"/>
        </c:dLbls>
        <c:gapWidth val="150"/>
        <c:overlap val="100"/>
        <c:axId val="105377152"/>
        <c:axId val="105383040"/>
      </c:barChart>
      <c:catAx>
        <c:axId val="105377152"/>
        <c:scaling>
          <c:orientation val="minMax"/>
        </c:scaling>
        <c:delete val="0"/>
        <c:axPos val="b"/>
        <c:numFmt formatCode="General" sourceLinked="1"/>
        <c:majorTickMark val="out"/>
        <c:minorTickMark val="none"/>
        <c:tickLblPos val="nextTo"/>
        <c:crossAx val="105383040"/>
        <c:crosses val="autoZero"/>
        <c:auto val="1"/>
        <c:lblAlgn val="ctr"/>
        <c:lblOffset val="100"/>
        <c:noMultiLvlLbl val="0"/>
      </c:catAx>
      <c:valAx>
        <c:axId val="105383040"/>
        <c:scaling>
          <c:orientation val="minMax"/>
        </c:scaling>
        <c:delete val="1"/>
        <c:axPos val="l"/>
        <c:majorGridlines/>
        <c:numFmt formatCode="0%" sourceLinked="1"/>
        <c:majorTickMark val="out"/>
        <c:minorTickMark val="none"/>
        <c:tickLblPos val="nextTo"/>
        <c:crossAx val="105377152"/>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'Agriculture (DHS)'!$A$5</c:f>
              <c:strCache>
                <c:ptCount val="1"/>
                <c:pt idx="0">
                  <c:v>Female</c:v>
                </c:pt>
              </c:strCache>
            </c:strRef>
          </c:tx>
          <c:invertIfNegative val="0"/>
          <c:cat>
            <c:strRef>
              <c:f>'Agriculture (DHS)'!$B$4:$D$4</c:f>
              <c:strCache>
                <c:ptCount val="3"/>
                <c:pt idx="0">
                  <c:v>1990s</c:v>
                </c:pt>
                <c:pt idx="1">
                  <c:v>2000-05</c:v>
                </c:pt>
                <c:pt idx="2">
                  <c:v>2006-12</c:v>
                </c:pt>
              </c:strCache>
            </c:strRef>
          </c:cat>
          <c:val>
            <c:numRef>
              <c:f>'Agriculture (DHS)'!$B$5:$D$5</c:f>
              <c:numCache>
                <c:formatCode>General</c:formatCode>
                <c:ptCount val="3"/>
                <c:pt idx="0">
                  <c:v>78.5</c:v>
                </c:pt>
                <c:pt idx="1">
                  <c:v>78.8</c:v>
                </c:pt>
                <c:pt idx="2">
                  <c:v>69.900000000000006</c:v>
                </c:pt>
              </c:numCache>
            </c:numRef>
          </c:val>
        </c:ser>
        <c:ser>
          <c:idx val="1"/>
          <c:order val="1"/>
          <c:tx>
            <c:strRef>
              <c:f>'Agriculture (DHS)'!$A$6</c:f>
              <c:strCache>
                <c:ptCount val="1"/>
                <c:pt idx="0">
                  <c:v>Male</c:v>
                </c:pt>
              </c:strCache>
            </c:strRef>
          </c:tx>
          <c:spPr>
            <a:solidFill>
              <a:schemeClr val="accent3"/>
            </a:solidFill>
          </c:spPr>
          <c:invertIfNegative val="0"/>
          <c:cat>
            <c:strRef>
              <c:f>'Agriculture (DHS)'!$B$4:$D$4</c:f>
              <c:strCache>
                <c:ptCount val="3"/>
                <c:pt idx="0">
                  <c:v>1990s</c:v>
                </c:pt>
                <c:pt idx="1">
                  <c:v>2000-05</c:v>
                </c:pt>
                <c:pt idx="2">
                  <c:v>2006-12</c:v>
                </c:pt>
              </c:strCache>
            </c:strRef>
          </c:cat>
          <c:val>
            <c:numRef>
              <c:f>'Agriculture (DHS)'!$B$6:$D$6</c:f>
              <c:numCache>
                <c:formatCode>General</c:formatCode>
                <c:ptCount val="3"/>
                <c:pt idx="0">
                  <c:v>72.099999999999994</c:v>
                </c:pt>
                <c:pt idx="1">
                  <c:v>70.5</c:v>
                </c:pt>
                <c:pt idx="2">
                  <c:v>61.3</c:v>
                </c:pt>
              </c:numCache>
            </c:numRef>
          </c:val>
        </c:ser>
        <c:ser>
          <c:idx val="2"/>
          <c:order val="2"/>
          <c:tx>
            <c:strRef>
              <c:f>'Agriculture (DHS)'!$A$7</c:f>
              <c:strCache>
                <c:ptCount val="1"/>
                <c:pt idx="0">
                  <c:v>Combined</c:v>
                </c:pt>
              </c:strCache>
            </c:strRef>
          </c:tx>
          <c:spPr>
            <a:solidFill>
              <a:schemeClr val="accent5"/>
            </a:solidFill>
          </c:spPr>
          <c:invertIfNegative val="0"/>
          <c:cat>
            <c:strRef>
              <c:f>'Agriculture (DHS)'!$B$4:$D$4</c:f>
              <c:strCache>
                <c:ptCount val="3"/>
                <c:pt idx="0">
                  <c:v>1990s</c:v>
                </c:pt>
                <c:pt idx="1">
                  <c:v>2000-05</c:v>
                </c:pt>
                <c:pt idx="2">
                  <c:v>2006-12</c:v>
                </c:pt>
              </c:strCache>
            </c:strRef>
          </c:cat>
          <c:val>
            <c:numRef>
              <c:f>'Agriculture (DHS)'!$B$7:$D$7</c:f>
              <c:numCache>
                <c:formatCode>General</c:formatCode>
                <c:ptCount val="3"/>
                <c:pt idx="0">
                  <c:v>75.3</c:v>
                </c:pt>
                <c:pt idx="1">
                  <c:v>74.7</c:v>
                </c:pt>
                <c:pt idx="2">
                  <c:v>65.599999999999994</c:v>
                </c:pt>
              </c:numCache>
            </c:numRef>
          </c:val>
        </c:ser>
        <c:dLbls>
          <c:showLegendKey val="0"/>
          <c:showVal val="0"/>
          <c:showCatName val="0"/>
          <c:showSerName val="0"/>
          <c:showPercent val="0"/>
          <c:showBubbleSize val="0"/>
        </c:dLbls>
        <c:gapWidth val="150"/>
        <c:axId val="105413248"/>
        <c:axId val="105423232"/>
      </c:barChart>
      <c:catAx>
        <c:axId val="105413248"/>
        <c:scaling>
          <c:orientation val="minMax"/>
        </c:scaling>
        <c:delete val="0"/>
        <c:axPos val="b"/>
        <c:majorTickMark val="out"/>
        <c:minorTickMark val="none"/>
        <c:tickLblPos val="nextTo"/>
        <c:crossAx val="105423232"/>
        <c:crosses val="autoZero"/>
        <c:auto val="1"/>
        <c:lblAlgn val="ctr"/>
        <c:lblOffset val="100"/>
        <c:noMultiLvlLbl val="0"/>
      </c:catAx>
      <c:valAx>
        <c:axId val="105423232"/>
        <c:scaling>
          <c:orientation val="minMax"/>
        </c:scaling>
        <c:delete val="0"/>
        <c:axPos val="l"/>
        <c:majorGridlines/>
        <c:numFmt formatCode="General" sourceLinked="1"/>
        <c:majorTickMark val="out"/>
        <c:minorTickMark val="none"/>
        <c:tickLblPos val="nextTo"/>
        <c:crossAx val="105413248"/>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'X graphs'!$B$3</c:f>
              <c:strCache>
                <c:ptCount val="1"/>
                <c:pt idx="0">
                  <c:v>Exports</c:v>
                </c:pt>
              </c:strCache>
            </c:strRef>
          </c:tx>
          <c:marker>
            <c:symbol val="none"/>
          </c:marker>
          <c:cat>
            <c:numRef>
              <c:f>'X graphs'!$A$4:$A$12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'X graphs'!$B$4:$B$12</c:f>
              <c:numCache>
                <c:formatCode>_-* #,##0_-;\-* #,##0_-;_-* "-"??_-;_-@_-</c:formatCode>
                <c:ptCount val="9"/>
                <c:pt idx="0">
                  <c:v>1539763.956</c:v>
                </c:pt>
                <c:pt idx="1">
                  <c:v>1711298.939</c:v>
                </c:pt>
                <c:pt idx="2">
                  <c:v>1964896.165</c:v>
                </c:pt>
                <c:pt idx="3">
                  <c:v>3121078.906</c:v>
                </c:pt>
                <c:pt idx="4">
                  <c:v>2982404.7820000001</c:v>
                </c:pt>
                <c:pt idx="5">
                  <c:v>3921633.6310000001</c:v>
                </c:pt>
                <c:pt idx="6">
                  <c:v>4734959.5190000003</c:v>
                </c:pt>
                <c:pt idx="7">
                  <c:v>5547229.2000000002</c:v>
                </c:pt>
                <c:pt idx="8">
                  <c:v>4412548.8499999996</c:v>
                </c:pt>
              </c:numCache>
            </c:numRef>
          </c:val>
          <c:smooth val="0"/>
        </c:ser>
        <c:ser>
          <c:idx val="1"/>
          <c:order val="1"/>
          <c:tx>
            <c:strRef>
              <c:f>'X graphs'!$C$3</c:f>
              <c:strCache>
                <c:ptCount val="1"/>
                <c:pt idx="0">
                  <c:v>Imports</c:v>
                </c:pt>
              </c:strCache>
            </c:strRef>
          </c:tx>
          <c:spPr>
            <a:ln>
              <a:solidFill>
                <a:schemeClr val="accent6"/>
              </a:solidFill>
            </a:ln>
          </c:spPr>
          <c:marker>
            <c:symbol val="none"/>
          </c:marker>
          <c:cat>
            <c:numRef>
              <c:f>'X graphs'!$A$4:$A$12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'X graphs'!$C$4:$C$12</c:f>
              <c:numCache>
                <c:formatCode>_-* #,##0_-;\-* #,##0_-;_-* "-"??_-;_-@_-</c:formatCode>
                <c:ptCount val="9"/>
                <c:pt idx="0">
                  <c:v>3246825.6690000002</c:v>
                </c:pt>
                <c:pt idx="1">
                  <c:v>4526727.7439999999</c:v>
                </c:pt>
                <c:pt idx="2">
                  <c:v>5919021.5939999996</c:v>
                </c:pt>
                <c:pt idx="3">
                  <c:v>8087734.648</c:v>
                </c:pt>
                <c:pt idx="4">
                  <c:v>6530823.0930000003</c:v>
                </c:pt>
                <c:pt idx="5">
                  <c:v>8012873.966</c:v>
                </c:pt>
                <c:pt idx="6">
                  <c:v>11184220.765000001</c:v>
                </c:pt>
                <c:pt idx="7">
                  <c:v>11715589.143999999</c:v>
                </c:pt>
                <c:pt idx="8">
                  <c:v>12525411.044</c:v>
                </c:pt>
              </c:numCache>
            </c:numRef>
          </c:val>
          <c:smooth val="0"/>
        </c:ser>
        <c:dLbls>
          <c:showLegendKey val="0"/>
          <c:showVal val="0"/>
          <c:showCatName val="0"/>
          <c:showSerName val="0"/>
          <c:showPercent val="0"/>
          <c:showBubbleSize val="0"/>
        </c:dLbls>
        <c:marker val="1"/>
        <c:smooth val="0"/>
        <c:axId val="105444096"/>
        <c:axId val="105445632"/>
      </c:lineChart>
      <c:catAx>
        <c:axId val="105444096"/>
        <c:scaling>
          <c:orientation val="minMax"/>
        </c:scaling>
        <c:delete val="0"/>
        <c:axPos val="b"/>
        <c:numFmt formatCode="General" sourceLinked="1"/>
        <c:majorTickMark val="out"/>
        <c:minorTickMark val="none"/>
        <c:tickLblPos val="nextTo"/>
        <c:crossAx val="105445632"/>
        <c:crosses val="autoZero"/>
        <c:auto val="1"/>
        <c:lblAlgn val="ctr"/>
        <c:lblOffset val="100"/>
        <c:noMultiLvlLbl val="0"/>
      </c:catAx>
      <c:valAx>
        <c:axId val="105445632"/>
        <c:scaling>
          <c:orientation val="minMax"/>
        </c:scaling>
        <c:delete val="0"/>
        <c:axPos val="l"/>
        <c:majorGridlines/>
        <c:title>
          <c:tx>
            <c:rich>
              <a:bodyPr rot="-5400000" vert="horz"/>
              <a:lstStyle/>
              <a:p>
                <a:pPr>
                  <a:defRPr b="0"/>
                </a:pPr>
                <a:r>
                  <a:rPr lang="en-US" b="0"/>
                  <a:t>US$ billion</a:t>
                </a:r>
              </a:p>
            </c:rich>
          </c:tx>
          <c:overlay val="0"/>
        </c:title>
        <c:numFmt formatCode="#,##0" sourceLinked="0"/>
        <c:majorTickMark val="out"/>
        <c:minorTickMark val="none"/>
        <c:tickLblPos val="nextTo"/>
        <c:crossAx val="105444096"/>
        <c:crosses val="autoZero"/>
        <c:crossBetween val="between"/>
        <c:dispUnits>
          <c:builtInUnit val="millions"/>
        </c:dispUnits>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2005-8</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graphs'!$A$27:$A$47</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graphs'!$B$27:$B$47</c:f>
              <c:numCache>
                <c:formatCode>0.0%</c:formatCode>
                <c:ptCount val="21"/>
                <c:pt idx="0">
                  <c:v>8.2106527714940328E-2</c:v>
                </c:pt>
                <c:pt idx="1">
                  <c:v>0.16666506809208179</c:v>
                </c:pt>
                <c:pt idx="2">
                  <c:v>1.0691131579406018E-2</c:v>
                </c:pt>
                <c:pt idx="3">
                  <c:v>8.8023745963775768E-2</c:v>
                </c:pt>
                <c:pt idx="4">
                  <c:v>0.12036190799417631</c:v>
                </c:pt>
                <c:pt idx="5">
                  <c:v>2.3581240070860182E-2</c:v>
                </c:pt>
                <c:pt idx="6">
                  <c:v>1.2429830566181148E-2</c:v>
                </c:pt>
                <c:pt idx="7">
                  <c:v>7.1795055091558157E-3</c:v>
                </c:pt>
                <c:pt idx="8">
                  <c:v>9.5903563714583393E-3</c:v>
                </c:pt>
                <c:pt idx="9">
                  <c:v>6.6899444144549406E-3</c:v>
                </c:pt>
                <c:pt idx="10">
                  <c:v>7.9480443557085292E-2</c:v>
                </c:pt>
                <c:pt idx="11">
                  <c:v>1.5254987024570182E-3</c:v>
                </c:pt>
                <c:pt idx="12">
                  <c:v>4.0521557875457265E-3</c:v>
                </c:pt>
                <c:pt idx="13">
                  <c:v>0.32400648644846231</c:v>
                </c:pt>
                <c:pt idx="14">
                  <c:v>2.4420899212437827E-2</c:v>
                </c:pt>
                <c:pt idx="15">
                  <c:v>2.7495915301710631E-2</c:v>
                </c:pt>
                <c:pt idx="16">
                  <c:v>5.9847132307528387E-3</c:v>
                </c:pt>
                <c:pt idx="17">
                  <c:v>8.0671761550906904E-4</c:v>
                </c:pt>
                <c:pt idx="18">
                  <c:v>8.6117442175722655E-6</c:v>
                </c:pt>
                <c:pt idx="19">
                  <c:v>4.631585260969448E-3</c:v>
                </c:pt>
                <c:pt idx="20">
                  <c:v>2.677148623616484E-4</c:v>
                </c:pt>
              </c:numCache>
            </c:numRef>
          </c:yVal>
          <c:bubbleSize>
            <c:numRef>
              <c:f>'X graphs'!$C$27:$C$47</c:f>
              <c:numCache>
                <c:formatCode>General</c:formatCode>
                <c:ptCount val="21"/>
                <c:pt idx="0">
                  <c:v>135</c:v>
                </c:pt>
                <c:pt idx="1">
                  <c:v>216</c:v>
                </c:pt>
                <c:pt idx="2">
                  <c:v>34</c:v>
                </c:pt>
                <c:pt idx="3">
                  <c:v>147</c:v>
                </c:pt>
                <c:pt idx="4">
                  <c:v>93</c:v>
                </c:pt>
                <c:pt idx="5">
                  <c:v>303</c:v>
                </c:pt>
                <c:pt idx="6">
                  <c:v>138</c:v>
                </c:pt>
                <c:pt idx="7">
                  <c:v>53</c:v>
                </c:pt>
                <c:pt idx="8">
                  <c:v>66</c:v>
                </c:pt>
                <c:pt idx="9">
                  <c:v>95</c:v>
                </c:pt>
                <c:pt idx="10">
                  <c:v>397</c:v>
                </c:pt>
                <c:pt idx="11">
                  <c:v>47</c:v>
                </c:pt>
                <c:pt idx="12">
                  <c:v>100</c:v>
                </c:pt>
                <c:pt idx="13">
                  <c:v>40</c:v>
                </c:pt>
                <c:pt idx="14">
                  <c:v>376</c:v>
                </c:pt>
                <c:pt idx="15">
                  <c:v>567</c:v>
                </c:pt>
                <c:pt idx="16">
                  <c:v>106</c:v>
                </c:pt>
                <c:pt idx="17">
                  <c:v>131</c:v>
                </c:pt>
                <c:pt idx="18">
                  <c:v>11</c:v>
                </c:pt>
                <c:pt idx="19">
                  <c:v>93</c:v>
                </c:pt>
                <c:pt idx="20">
                  <c:v>6</c:v>
                </c:pt>
              </c:numCache>
            </c:numRef>
          </c:bubbleSize>
          <c:bubble3D val="1"/>
        </c:ser>
        <c:dLbls>
          <c:showLegendKey val="0"/>
          <c:showVal val="1"/>
          <c:showCatName val="0"/>
          <c:showSerName val="0"/>
          <c:showPercent val="0"/>
          <c:showBubbleSize val="0"/>
        </c:dLbls>
        <c:bubbleScale val="100"/>
        <c:showNegBubbles val="0"/>
        <c:axId val="106659840"/>
        <c:axId val="106662912"/>
      </c:bubbleChart>
      <c:valAx>
        <c:axId val="106659840"/>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6662912"/>
        <c:crosses val="autoZero"/>
        <c:crossBetween val="midCat"/>
        <c:majorUnit val="1"/>
      </c:valAx>
      <c:valAx>
        <c:axId val="106662912"/>
        <c:scaling>
          <c:orientation val="minMax"/>
          <c:max val="0.35000000000000003"/>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106659840"/>
        <c:crosses val="autoZero"/>
        <c:crossBetween val="midCat"/>
        <c:majorUnit val="5.000000000000001E-2"/>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2005-10</a:t>
            </a:r>
          </a:p>
        </c:rich>
      </c:tx>
      <c:overlay val="0"/>
    </c:title>
    <c:autoTitleDeleted val="0"/>
    <c:plotArea>
      <c:layout/>
      <c:bubbleChart>
        <c:varyColors val="0"/>
        <c:ser>
          <c:idx val="0"/>
          <c:order val="0"/>
          <c:tx>
            <c:strRef>
              <c:f>Tanzania!$AA$78</c:f>
              <c:strCache>
                <c:ptCount val="1"/>
                <c:pt idx="0">
                  <c:v>Agriculture</c:v>
                </c:pt>
              </c:strCache>
            </c:strRef>
          </c:tx>
          <c:spPr>
            <a:solidFill>
              <a:srgbClr val="0000FF"/>
            </a:solidFill>
          </c:spPr>
          <c:invertIfNegative val="0"/>
          <c:xVal>
            <c:numRef>
              <c:f>Tanzania!$AB$78</c:f>
              <c:numCache>
                <c:formatCode>0.0</c:formatCode>
                <c:ptCount val="1"/>
                <c:pt idx="0">
                  <c:v>-5.2872292574996465</c:v>
                </c:pt>
              </c:numCache>
            </c:numRef>
          </c:xVal>
          <c:yVal>
            <c:numRef>
              <c:f>Tanzania!$AC$78</c:f>
              <c:numCache>
                <c:formatCode>0.0</c:formatCode>
                <c:ptCount val="1"/>
                <c:pt idx="0">
                  <c:v>0.40685099694607069</c:v>
                </c:pt>
              </c:numCache>
            </c:numRef>
          </c:yVal>
          <c:bubbleSize>
            <c:numRef>
              <c:f>Tanzania!$AE$78</c:f>
              <c:numCache>
                <c:formatCode>#,##0</c:formatCode>
                <c:ptCount val="1"/>
                <c:pt idx="0">
                  <c:v>13041.611603894391</c:v>
                </c:pt>
              </c:numCache>
            </c:numRef>
          </c:bubbleSize>
          <c:bubble3D val="1"/>
        </c:ser>
        <c:ser>
          <c:idx val="1"/>
          <c:order val="1"/>
          <c:tx>
            <c:strRef>
              <c:f>Tanzania!$AA$79</c:f>
              <c:strCache>
                <c:ptCount val="1"/>
                <c:pt idx="0">
                  <c:v>Mining</c:v>
                </c:pt>
              </c:strCache>
            </c:strRef>
          </c:tx>
          <c:spPr>
            <a:solidFill>
              <a:srgbClr val="FF0000"/>
            </a:solidFill>
            <a:ln w="25400">
              <a:noFill/>
            </a:ln>
          </c:spPr>
          <c:invertIfNegative val="0"/>
          <c:xVal>
            <c:numRef>
              <c:f>Tanzania!$AB$79</c:f>
              <c:numCache>
                <c:formatCode>0.0</c:formatCode>
                <c:ptCount val="1"/>
                <c:pt idx="0">
                  <c:v>-0.1917106364305442</c:v>
                </c:pt>
              </c:numCache>
            </c:numRef>
          </c:xVal>
          <c:yVal>
            <c:numRef>
              <c:f>Tanzania!$AC$79</c:f>
              <c:numCache>
                <c:formatCode>0.0</c:formatCode>
                <c:ptCount val="1"/>
                <c:pt idx="0">
                  <c:v>10.91988824342349</c:v>
                </c:pt>
              </c:numCache>
            </c:numRef>
          </c:yVal>
          <c:bubbleSize>
            <c:numRef>
              <c:f>Tanzania!$AE$79</c:f>
              <c:numCache>
                <c:formatCode>#,##0</c:formatCode>
                <c:ptCount val="1"/>
                <c:pt idx="0">
                  <c:v>53.956243825085572</c:v>
                </c:pt>
              </c:numCache>
            </c:numRef>
          </c:bubbleSize>
          <c:bubble3D val="1"/>
        </c:ser>
        <c:ser>
          <c:idx val="2"/>
          <c:order val="2"/>
          <c:tx>
            <c:strRef>
              <c:f>Tanzania!$AA$80</c:f>
              <c:strCache>
                <c:ptCount val="1"/>
                <c:pt idx="0">
                  <c:v>Manufacturing</c:v>
                </c:pt>
              </c:strCache>
            </c:strRef>
          </c:tx>
          <c:spPr>
            <a:solidFill>
              <a:srgbClr val="00B050"/>
            </a:solidFill>
            <a:ln w="25400">
              <a:noFill/>
            </a:ln>
          </c:spPr>
          <c:invertIfNegative val="0"/>
          <c:xVal>
            <c:numRef>
              <c:f>Tanzania!$AB$80</c:f>
              <c:numCache>
                <c:formatCode>0.0</c:formatCode>
                <c:ptCount val="1"/>
                <c:pt idx="0">
                  <c:v>0.53113650403167734</c:v>
                </c:pt>
              </c:numCache>
            </c:numRef>
          </c:xVal>
          <c:yVal>
            <c:numRef>
              <c:f>Tanzania!$AC$80</c:f>
              <c:numCache>
                <c:formatCode>0.0</c:formatCode>
                <c:ptCount val="1"/>
                <c:pt idx="0">
                  <c:v>3.8297176627719818</c:v>
                </c:pt>
              </c:numCache>
            </c:numRef>
          </c:yVal>
          <c:bubbleSize>
            <c:numRef>
              <c:f>Tanzania!$AE$80</c:f>
              <c:numCache>
                <c:formatCode>#,##0</c:formatCode>
                <c:ptCount val="1"/>
                <c:pt idx="0">
                  <c:v>472.85015774342827</c:v>
                </c:pt>
              </c:numCache>
            </c:numRef>
          </c:bubbleSize>
          <c:bubble3D val="1"/>
        </c:ser>
        <c:ser>
          <c:idx val="3"/>
          <c:order val="3"/>
          <c:tx>
            <c:strRef>
              <c:f>Tanzania!$AA$81</c:f>
              <c:strCache>
                <c:ptCount val="1"/>
                <c:pt idx="0">
                  <c:v>Utilities</c:v>
                </c:pt>
              </c:strCache>
            </c:strRef>
          </c:tx>
          <c:spPr>
            <a:solidFill>
              <a:srgbClr val="FFFF00"/>
            </a:solidFill>
            <a:ln w="25400">
              <a:noFill/>
            </a:ln>
          </c:spPr>
          <c:invertIfNegative val="0"/>
          <c:xVal>
            <c:numRef>
              <c:f>Tanzania!$AB$81</c:f>
              <c:numCache>
                <c:formatCode>0.0</c:formatCode>
                <c:ptCount val="1"/>
                <c:pt idx="0">
                  <c:v>0.30747436238613596</c:v>
                </c:pt>
              </c:numCache>
            </c:numRef>
          </c:xVal>
          <c:yVal>
            <c:numRef>
              <c:f>Tanzania!$AC$81</c:f>
              <c:numCache>
                <c:formatCode>0.0</c:formatCode>
                <c:ptCount val="1"/>
                <c:pt idx="0">
                  <c:v>3.4076769402721223</c:v>
                </c:pt>
              </c:numCache>
            </c:numRef>
          </c:yVal>
          <c:bubbleSize>
            <c:numRef>
              <c:f>Tanzania!$AE$81</c:f>
              <c:numCache>
                <c:formatCode>#,##0</c:formatCode>
                <c:ptCount val="1"/>
                <c:pt idx="0">
                  <c:v>130.38459096518136</c:v>
                </c:pt>
              </c:numCache>
            </c:numRef>
          </c:bubbleSize>
          <c:bubble3D val="1"/>
        </c:ser>
        <c:ser>
          <c:idx val="4"/>
          <c:order val="4"/>
          <c:tx>
            <c:strRef>
              <c:f>Tanzania!$AA$82</c:f>
              <c:strCache>
                <c:ptCount val="1"/>
                <c:pt idx="0">
                  <c:v>Construction</c:v>
                </c:pt>
              </c:strCache>
            </c:strRef>
          </c:tx>
          <c:spPr>
            <a:solidFill>
              <a:srgbClr val="6600FF"/>
            </a:solidFill>
            <a:ln w="25400">
              <a:noFill/>
            </a:ln>
          </c:spPr>
          <c:invertIfNegative val="0"/>
          <c:xVal>
            <c:numRef>
              <c:f>Tanzania!$AB$82</c:f>
              <c:numCache>
                <c:formatCode>0.0</c:formatCode>
                <c:ptCount val="1"/>
                <c:pt idx="0">
                  <c:v>0.8203722979208341</c:v>
                </c:pt>
              </c:numCache>
            </c:numRef>
          </c:xVal>
          <c:yVal>
            <c:numRef>
              <c:f>Tanzania!$AC$82</c:f>
              <c:numCache>
                <c:formatCode>0.0</c:formatCode>
                <c:ptCount val="1"/>
                <c:pt idx="0">
                  <c:v>4.6015659750330968</c:v>
                </c:pt>
              </c:numCache>
            </c:numRef>
          </c:yVal>
          <c:bubbleSize>
            <c:numRef>
              <c:f>Tanzania!$AE$82</c:f>
              <c:numCache>
                <c:formatCode>#,##0</c:formatCode>
                <c:ptCount val="1"/>
                <c:pt idx="0">
                  <c:v>402.98069079518854</c:v>
                </c:pt>
              </c:numCache>
            </c:numRef>
          </c:bubbleSize>
          <c:bubble3D val="1"/>
        </c:ser>
        <c:ser>
          <c:idx val="5"/>
          <c:order val="5"/>
          <c:tx>
            <c:strRef>
              <c:f>Tanzania!$AA$83</c:f>
              <c:strCache>
                <c:ptCount val="1"/>
                <c:pt idx="0">
                  <c:v>Trade services</c:v>
                </c:pt>
              </c:strCache>
            </c:strRef>
          </c:tx>
          <c:spPr>
            <a:solidFill>
              <a:srgbClr val="66FFFF"/>
            </a:solidFill>
            <a:ln w="25400">
              <a:noFill/>
            </a:ln>
          </c:spPr>
          <c:invertIfNegative val="0"/>
          <c:xVal>
            <c:numRef>
              <c:f>Tanzania!$AB$83</c:f>
              <c:numCache>
                <c:formatCode>0.0</c:formatCode>
                <c:ptCount val="1"/>
                <c:pt idx="0">
                  <c:v>2.4289533374220085</c:v>
                </c:pt>
              </c:numCache>
            </c:numRef>
          </c:xVal>
          <c:yVal>
            <c:numRef>
              <c:f>Tanzania!$AC$83</c:f>
              <c:numCache>
                <c:formatCode>0.0</c:formatCode>
                <c:ptCount val="1"/>
                <c:pt idx="0">
                  <c:v>1.5636567631162088</c:v>
                </c:pt>
              </c:numCache>
            </c:numRef>
          </c:yVal>
          <c:bubbleSize>
            <c:numRef>
              <c:f>Tanzania!$AE$83</c:f>
              <c:numCache>
                <c:formatCode>#,##0</c:formatCode>
                <c:ptCount val="1"/>
                <c:pt idx="0">
                  <c:v>1933.9488261379117</c:v>
                </c:pt>
              </c:numCache>
            </c:numRef>
          </c:bubbleSize>
          <c:bubble3D val="1"/>
        </c:ser>
        <c:ser>
          <c:idx val="6"/>
          <c:order val="6"/>
          <c:tx>
            <c:strRef>
              <c:f>Tanzania!$AA$84</c:f>
              <c:strCache>
                <c:ptCount val="1"/>
                <c:pt idx="0">
                  <c:v>Transport services</c:v>
                </c:pt>
              </c:strCache>
            </c:strRef>
          </c:tx>
          <c:spPr>
            <a:solidFill>
              <a:srgbClr val="FF00FF"/>
            </a:solidFill>
            <a:ln w="25400">
              <a:noFill/>
            </a:ln>
          </c:spPr>
          <c:invertIfNegative val="0"/>
          <c:xVal>
            <c:numRef>
              <c:f>Tanzania!$AB$84</c:f>
              <c:numCache>
                <c:formatCode>0.0</c:formatCode>
                <c:ptCount val="1"/>
                <c:pt idx="0">
                  <c:v>0.22656345297299407</c:v>
                </c:pt>
              </c:numCache>
            </c:numRef>
          </c:xVal>
          <c:yVal>
            <c:numRef>
              <c:f>Tanzania!$AC$84</c:f>
              <c:numCache>
                <c:formatCode>0.0</c:formatCode>
                <c:ptCount val="1"/>
                <c:pt idx="0">
                  <c:v>7.5801899180448995</c:v>
                </c:pt>
              </c:numCache>
            </c:numRef>
          </c:yVal>
          <c:bubbleSize>
            <c:numRef>
              <c:f>Tanzania!$AE$84</c:f>
              <c:numCache>
                <c:formatCode>#,##0</c:formatCode>
                <c:ptCount val="1"/>
                <c:pt idx="0">
                  <c:v>198.63836613307961</c:v>
                </c:pt>
              </c:numCache>
            </c:numRef>
          </c:bubbleSize>
          <c:bubble3D val="1"/>
        </c:ser>
        <c:ser>
          <c:idx val="7"/>
          <c:order val="7"/>
          <c:tx>
            <c:strRef>
              <c:f>Tanzania!$AA$85</c:f>
              <c:strCache>
                <c:ptCount val="1"/>
                <c:pt idx="0">
                  <c:v>Business services</c:v>
                </c:pt>
              </c:strCache>
            </c:strRef>
          </c:tx>
          <c:spPr>
            <a:solidFill>
              <a:srgbClr val="99FF66"/>
            </a:solidFill>
            <a:ln w="25400">
              <a:noFill/>
            </a:ln>
          </c:spPr>
          <c:invertIfNegative val="0"/>
          <c:xVal>
            <c:numRef>
              <c:f>Tanzania!$AB$85</c:f>
              <c:numCache>
                <c:formatCode>0.0</c:formatCode>
                <c:ptCount val="1"/>
                <c:pt idx="0">
                  <c:v>-2.5198830165233943E-3</c:v>
                </c:pt>
              </c:numCache>
            </c:numRef>
          </c:xVal>
          <c:yVal>
            <c:numRef>
              <c:f>Tanzania!$AC$85</c:f>
              <c:numCache>
                <c:formatCode>0.0</c:formatCode>
                <c:ptCount val="1"/>
                <c:pt idx="0">
                  <c:v>23.423715545327802</c:v>
                </c:pt>
              </c:numCache>
            </c:numRef>
          </c:yVal>
          <c:bubbleSize>
            <c:numRef>
              <c:f>Tanzania!$AE$85</c:f>
              <c:numCache>
                <c:formatCode>#,##0</c:formatCode>
                <c:ptCount val="1"/>
                <c:pt idx="0">
                  <c:v>35.482315065415825</c:v>
                </c:pt>
              </c:numCache>
            </c:numRef>
          </c:bubbleSize>
          <c:bubble3D val="1"/>
        </c:ser>
        <c:ser>
          <c:idx val="8"/>
          <c:order val="8"/>
          <c:tx>
            <c:strRef>
              <c:f>Tanzania!$AA$86</c:f>
              <c:strCache>
                <c:ptCount val="1"/>
                <c:pt idx="0">
                  <c:v>Govt services</c:v>
                </c:pt>
              </c:strCache>
            </c:strRef>
          </c:tx>
          <c:spPr>
            <a:solidFill>
              <a:srgbClr val="984807"/>
            </a:solidFill>
            <a:ln w="25400">
              <a:noFill/>
            </a:ln>
          </c:spPr>
          <c:invertIfNegative val="0"/>
          <c:xVal>
            <c:numRef>
              <c:f>Tanzania!$AB$86</c:f>
              <c:numCache>
                <c:formatCode>0.0</c:formatCode>
                <c:ptCount val="1"/>
                <c:pt idx="0">
                  <c:v>1.0876636686491032</c:v>
                </c:pt>
              </c:numCache>
            </c:numRef>
          </c:xVal>
          <c:yVal>
            <c:numRef>
              <c:f>Tanzania!$AC$86</c:f>
              <c:numCache>
                <c:formatCode>0.0</c:formatCode>
                <c:ptCount val="1"/>
                <c:pt idx="0">
                  <c:v>2.0688930143559463</c:v>
                </c:pt>
              </c:numCache>
            </c:numRef>
          </c:yVal>
          <c:bubbleSize>
            <c:numRef>
              <c:f>Tanzania!$AE$86</c:f>
              <c:numCache>
                <c:formatCode>#,##0</c:formatCode>
                <c:ptCount val="1"/>
                <c:pt idx="0">
                  <c:v>1100.9668457689331</c:v>
                </c:pt>
              </c:numCache>
            </c:numRef>
          </c:bubbleSize>
          <c:bubble3D val="1"/>
        </c:ser>
        <c:ser>
          <c:idx val="9"/>
          <c:order val="9"/>
          <c:tx>
            <c:strRef>
              <c:f>Tanzania!$AA$87</c:f>
              <c:strCache>
                <c:ptCount val="1"/>
                <c:pt idx="0">
                  <c:v>Personal services</c:v>
                </c:pt>
              </c:strCache>
            </c:strRef>
          </c:tx>
          <c:spPr>
            <a:solidFill>
              <a:srgbClr val="9999FF"/>
            </a:solidFill>
            <a:ln w="25400">
              <a:noFill/>
            </a:ln>
          </c:spPr>
          <c:invertIfNegative val="0"/>
          <c:xVal>
            <c:numRef>
              <c:f>Tanzania!$AB$87</c:f>
              <c:numCache>
                <c:formatCode>0.0</c:formatCode>
                <c:ptCount val="1"/>
                <c:pt idx="0">
                  <c:v>7.929615356397246E-2</c:v>
                </c:pt>
              </c:numCache>
            </c:numRef>
          </c:xVal>
          <c:yVal>
            <c:numRef>
              <c:f>Tanzania!$AC$87</c:f>
              <c:numCache>
                <c:formatCode>0.0</c:formatCode>
                <c:ptCount val="1"/>
                <c:pt idx="0">
                  <c:v>0.30500242571867753</c:v>
                </c:pt>
              </c:numCache>
            </c:numRef>
          </c:yVal>
          <c:bubbleSize>
            <c:numRef>
              <c:f>Tanzania!$AE$87</c:f>
              <c:numCache>
                <c:formatCode>#,##0</c:formatCode>
                <c:ptCount val="1"/>
                <c:pt idx="0">
                  <c:v>392.17628743343374</c:v>
                </c:pt>
              </c:numCache>
            </c:numRef>
          </c:bubbleSize>
          <c:bubble3D val="1"/>
        </c:ser>
        <c:dLbls>
          <c:showLegendKey val="0"/>
          <c:showVal val="0"/>
          <c:showCatName val="0"/>
          <c:showSerName val="0"/>
          <c:showPercent val="0"/>
          <c:showBubbleSize val="0"/>
        </c:dLbls>
        <c:bubbleScale val="100"/>
        <c:showNegBubbles val="0"/>
        <c:axId val="90059136"/>
        <c:axId val="90061056"/>
      </c:bubbleChart>
      <c:valAx>
        <c:axId val="90059136"/>
        <c:scaling>
          <c:orientation val="minMax"/>
          <c:max val="3"/>
          <c:min val="-7"/>
        </c:scaling>
        <c:delete val="0"/>
        <c:axPos val="b"/>
        <c:title>
          <c:tx>
            <c:rich>
              <a:bodyPr/>
              <a:lstStyle/>
              <a:p>
                <a:pPr>
                  <a:defRPr sz="800" b="0"/>
                </a:pPr>
                <a:r>
                  <a:rPr lang="en-US" sz="800" b="0"/>
                  <a:t>Percentage point change in share of persons engaged, 2005-10</a:t>
                </a:r>
              </a:p>
            </c:rich>
          </c:tx>
          <c:overlay val="0"/>
        </c:title>
        <c:numFmt formatCode="0.0" sourceLinked="1"/>
        <c:majorTickMark val="out"/>
        <c:minorTickMark val="none"/>
        <c:tickLblPos val="low"/>
        <c:crossAx val="90061056"/>
        <c:crosses val="autoZero"/>
        <c:crossBetween val="midCat"/>
        <c:majorUnit val="1"/>
      </c:valAx>
      <c:valAx>
        <c:axId val="90061056"/>
        <c:scaling>
          <c:orientation val="minMax"/>
        </c:scaling>
        <c:delete val="0"/>
        <c:axPos val="l"/>
        <c:majorGridlines/>
        <c:title>
          <c:tx>
            <c:rich>
              <a:bodyPr rot="-5400000" vert="horz"/>
              <a:lstStyle/>
              <a:p>
                <a:pPr>
                  <a:defRPr sz="800" b="0"/>
                </a:pPr>
                <a:r>
                  <a:rPr lang="en-US" sz="800" b="0"/>
                  <a:t>Relative productivity level, 2010</a:t>
                </a:r>
              </a:p>
            </c:rich>
          </c:tx>
          <c:overlay val="0"/>
        </c:title>
        <c:numFmt formatCode="0.0" sourceLinked="1"/>
        <c:majorTickMark val="out"/>
        <c:minorTickMark val="none"/>
        <c:tickLblPos val="low"/>
        <c:crossAx val="90059136"/>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2009-13</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graphs'!$A$51:$A$71</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graphs'!$B$51:$B$71</c:f>
              <c:numCache>
                <c:formatCode>0.0%</c:formatCode>
                <c:ptCount val="21"/>
                <c:pt idx="0">
                  <c:v>3.2141152847091299E-2</c:v>
                </c:pt>
                <c:pt idx="1">
                  <c:v>0.16700116379992938</c:v>
                </c:pt>
                <c:pt idx="2">
                  <c:v>1.01129145353405E-2</c:v>
                </c:pt>
                <c:pt idx="3">
                  <c:v>5.8783649950680736E-2</c:v>
                </c:pt>
                <c:pt idx="4">
                  <c:v>0.19379505077098913</c:v>
                </c:pt>
                <c:pt idx="5">
                  <c:v>2.2573743419972415E-2</c:v>
                </c:pt>
                <c:pt idx="6">
                  <c:v>1.3889948819057519E-2</c:v>
                </c:pt>
                <c:pt idx="7">
                  <c:v>3.8725293937393762E-3</c:v>
                </c:pt>
                <c:pt idx="8">
                  <c:v>7.9580450491150978E-3</c:v>
                </c:pt>
                <c:pt idx="9">
                  <c:v>1.0087629001776505E-2</c:v>
                </c:pt>
                <c:pt idx="10">
                  <c:v>5.8055387244378039E-2</c:v>
                </c:pt>
                <c:pt idx="11">
                  <c:v>8.2051364804695067E-4</c:v>
                </c:pt>
                <c:pt idx="12">
                  <c:v>7.7348423786914675E-3</c:v>
                </c:pt>
                <c:pt idx="13">
                  <c:v>0.33426485116563998</c:v>
                </c:pt>
                <c:pt idx="14">
                  <c:v>2.5037394273101601E-2</c:v>
                </c:pt>
                <c:pt idx="15">
                  <c:v>3.4108817365240934E-2</c:v>
                </c:pt>
                <c:pt idx="16">
                  <c:v>1.1565911794749318E-2</c:v>
                </c:pt>
                <c:pt idx="17">
                  <c:v>4.6948755473607013E-3</c:v>
                </c:pt>
                <c:pt idx="18">
                  <c:v>1.8943110363330923E-4</c:v>
                </c:pt>
                <c:pt idx="19">
                  <c:v>3.2506729050533014E-3</c:v>
                </c:pt>
                <c:pt idx="20">
                  <c:v>6.1474986412359049E-5</c:v>
                </c:pt>
              </c:numCache>
            </c:numRef>
          </c:yVal>
          <c:bubbleSize>
            <c:numRef>
              <c:f>'X graphs'!$C$51:$C$71</c:f>
              <c:numCache>
                <c:formatCode>General</c:formatCode>
                <c:ptCount val="21"/>
                <c:pt idx="0">
                  <c:v>130</c:v>
                </c:pt>
                <c:pt idx="1">
                  <c:v>204</c:v>
                </c:pt>
                <c:pt idx="2">
                  <c:v>40</c:v>
                </c:pt>
                <c:pt idx="3">
                  <c:v>165</c:v>
                </c:pt>
                <c:pt idx="4">
                  <c:v>113</c:v>
                </c:pt>
                <c:pt idx="5">
                  <c:v>396</c:v>
                </c:pt>
                <c:pt idx="6">
                  <c:v>174</c:v>
                </c:pt>
                <c:pt idx="7">
                  <c:v>49</c:v>
                </c:pt>
                <c:pt idx="8">
                  <c:v>64</c:v>
                </c:pt>
                <c:pt idx="9">
                  <c:v>103</c:v>
                </c:pt>
                <c:pt idx="10">
                  <c:v>462</c:v>
                </c:pt>
                <c:pt idx="11">
                  <c:v>48</c:v>
                </c:pt>
                <c:pt idx="12">
                  <c:v>112</c:v>
                </c:pt>
                <c:pt idx="13">
                  <c:v>42</c:v>
                </c:pt>
                <c:pt idx="14">
                  <c:v>432</c:v>
                </c:pt>
                <c:pt idx="15">
                  <c:v>671</c:v>
                </c:pt>
                <c:pt idx="16">
                  <c:v>111</c:v>
                </c:pt>
                <c:pt idx="17">
                  <c:v>175</c:v>
                </c:pt>
                <c:pt idx="18">
                  <c:v>14</c:v>
                </c:pt>
                <c:pt idx="19">
                  <c:v>100</c:v>
                </c:pt>
                <c:pt idx="20">
                  <c:v>6</c:v>
                </c:pt>
              </c:numCache>
            </c:numRef>
          </c:bubbleSize>
          <c:bubble3D val="1"/>
        </c:ser>
        <c:dLbls>
          <c:showLegendKey val="0"/>
          <c:showVal val="1"/>
          <c:showCatName val="0"/>
          <c:showSerName val="0"/>
          <c:showPercent val="0"/>
          <c:showBubbleSize val="0"/>
        </c:dLbls>
        <c:bubbleScale val="100"/>
        <c:showNegBubbles val="0"/>
        <c:axId val="106683008"/>
        <c:axId val="106698624"/>
      </c:bubbleChart>
      <c:valAx>
        <c:axId val="106683008"/>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6698624"/>
        <c:crosses val="autoZero"/>
        <c:crossBetween val="midCat"/>
        <c:majorUnit val="1"/>
      </c:valAx>
      <c:valAx>
        <c:axId val="106698624"/>
        <c:scaling>
          <c:orientation val="minMax"/>
          <c:max val="0.35000000000000003"/>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106683008"/>
        <c:crosses val="autoZero"/>
        <c:crossBetween val="midCat"/>
        <c:majorUnit val="5.000000000000001E-2"/>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'X graphs'!$D$102:$D$122</c:f>
              <c:numCache>
                <c:formatCode>0.0</c:formatCode>
                <c:ptCount val="21"/>
                <c:pt idx="0">
                  <c:v>-4.9965374867849031</c:v>
                </c:pt>
                <c:pt idx="1">
                  <c:v>3.3609570784759457E-2</c:v>
                </c:pt>
                <c:pt idx="2">
                  <c:v>-5.7821704406551752E-2</c:v>
                </c:pt>
                <c:pt idx="3">
                  <c:v>-2.9240096013095034</c:v>
                </c:pt>
                <c:pt idx="4">
                  <c:v>7.3433142776812819</c:v>
                </c:pt>
                <c:pt idx="5">
                  <c:v>-0.10074966508877674</c:v>
                </c:pt>
                <c:pt idx="6">
                  <c:v>0.14601182528763706</c:v>
                </c:pt>
                <c:pt idx="7">
                  <c:v>-0.33069761154164395</c:v>
                </c:pt>
                <c:pt idx="8">
                  <c:v>-0.16323113223432414</c:v>
                </c:pt>
                <c:pt idx="9">
                  <c:v>0.33976845873215644</c:v>
                </c:pt>
                <c:pt idx="10">
                  <c:v>-2.1425056312707254</c:v>
                </c:pt>
                <c:pt idx="11">
                  <c:v>-7.0498505441006762E-2</c:v>
                </c:pt>
                <c:pt idx="12">
                  <c:v>0.36826865911457407</c:v>
                </c:pt>
                <c:pt idx="13">
                  <c:v>1.025836471717767</c:v>
                </c:pt>
                <c:pt idx="14">
                  <c:v>6.1649506066377424E-2</c:v>
                </c:pt>
                <c:pt idx="15">
                  <c:v>0.66129020635303026</c:v>
                </c:pt>
                <c:pt idx="16">
                  <c:v>0.55811985639964801</c:v>
                </c:pt>
                <c:pt idx="17">
                  <c:v>0.38881579318516318</c:v>
                </c:pt>
                <c:pt idx="18">
                  <c:v>1.8081935941573698E-2</c:v>
                </c:pt>
                <c:pt idx="19">
                  <c:v>-0.13809123559161465</c:v>
                </c:pt>
                <c:pt idx="20">
                  <c:v>-2.0623987594928936E-2</c:v>
                </c:pt>
              </c:numCache>
            </c:numRef>
          </c:val>
        </c:ser>
        <c:dLbls>
          <c:showLegendKey val="0"/>
          <c:showVal val="0"/>
          <c:showCatName val="0"/>
          <c:showSerName val="0"/>
          <c:showPercent val="0"/>
          <c:showBubbleSize val="0"/>
        </c:dLbls>
        <c:gapWidth val="49"/>
        <c:axId val="106734720"/>
        <c:axId val="106736640"/>
      </c:barChart>
      <c:catAx>
        <c:axId val="106734720"/>
        <c:scaling>
          <c:orientation val="minMax"/>
        </c:scaling>
        <c:delete val="0"/>
        <c:axPos val="b"/>
        <c:title>
          <c:tx>
            <c:rich>
              <a:bodyPr/>
              <a:lstStyle/>
              <a:p>
                <a:pPr>
                  <a:defRPr b="0"/>
                </a:pPr>
                <a:r>
                  <a:rPr lang="en-US" b="0"/>
                  <a:t>HS Section</a:t>
                </a:r>
              </a:p>
            </c:rich>
          </c:tx>
          <c:overlay val="0"/>
        </c:title>
        <c:majorTickMark val="out"/>
        <c:minorTickMark val="none"/>
        <c:tickLblPos val="low"/>
        <c:crossAx val="106736640"/>
        <c:crosses val="autoZero"/>
        <c:auto val="1"/>
        <c:lblAlgn val="ctr"/>
        <c:lblOffset val="100"/>
        <c:noMultiLvlLbl val="0"/>
      </c:catAx>
      <c:valAx>
        <c:axId val="106736640"/>
        <c:scaling>
          <c:orientation val="minMax"/>
        </c:scaling>
        <c:delete val="0"/>
        <c:axPos val="l"/>
        <c:majorGridlines/>
        <c:title>
          <c:tx>
            <c:rich>
              <a:bodyPr rot="-5400000" vert="horz"/>
              <a:lstStyle/>
              <a:p>
                <a:pPr>
                  <a:defRPr b="0"/>
                </a:pPr>
                <a:r>
                  <a:rPr lang="en-US" b="0"/>
                  <a:t>Percentage points</a:t>
                </a:r>
              </a:p>
            </c:rich>
          </c:tx>
          <c:overlay val="0"/>
        </c:title>
        <c:numFmt formatCode="0.0" sourceLinked="1"/>
        <c:majorTickMark val="out"/>
        <c:minorTickMark val="none"/>
        <c:tickLblPos val="nextTo"/>
        <c:crossAx val="106734720"/>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2005-8</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graphs'!$A$28:$A$48</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graphs'!$B$28:$B$48</c:f>
              <c:numCache>
                <c:formatCode>0.0%</c:formatCode>
                <c:ptCount val="21"/>
                <c:pt idx="0">
                  <c:v>1.668330582320104E-3</c:v>
                </c:pt>
                <c:pt idx="1">
                  <c:v>4.2073918820636221E-2</c:v>
                </c:pt>
                <c:pt idx="2">
                  <c:v>3.5494605357219461E-2</c:v>
                </c:pt>
                <c:pt idx="3">
                  <c:v>2.0338813432939081E-2</c:v>
                </c:pt>
                <c:pt idx="4">
                  <c:v>0.28030253879209782</c:v>
                </c:pt>
                <c:pt idx="5">
                  <c:v>8.7723807232251913E-2</c:v>
                </c:pt>
                <c:pt idx="6">
                  <c:v>6.0084494694735327E-2</c:v>
                </c:pt>
                <c:pt idx="7">
                  <c:v>1.4397703415107135E-3</c:v>
                </c:pt>
                <c:pt idx="8">
                  <c:v>2.2981313673540028E-3</c:v>
                </c:pt>
                <c:pt idx="9">
                  <c:v>1.8031658109591737E-2</c:v>
                </c:pt>
                <c:pt idx="10">
                  <c:v>2.3583048923088695E-2</c:v>
                </c:pt>
                <c:pt idx="11">
                  <c:v>3.9483098361320955E-3</c:v>
                </c:pt>
                <c:pt idx="12">
                  <c:v>1.3389029320371367E-2</c:v>
                </c:pt>
                <c:pt idx="13">
                  <c:v>2.5253415004284409E-4</c:v>
                </c:pt>
                <c:pt idx="14">
                  <c:v>8.8434182434014991E-2</c:v>
                </c:pt>
                <c:pt idx="15">
                  <c:v>0.19200849386651939</c:v>
                </c:pt>
                <c:pt idx="16">
                  <c:v>0.10775434586617852</c:v>
                </c:pt>
                <c:pt idx="17">
                  <c:v>1.0442447990460046E-2</c:v>
                </c:pt>
                <c:pt idx="18">
                  <c:v>1.0573607634709106E-4</c:v>
                </c:pt>
                <c:pt idx="19">
                  <c:v>1.048257010175142E-2</c:v>
                </c:pt>
                <c:pt idx="20">
                  <c:v>1.4323270443736746E-4</c:v>
                </c:pt>
              </c:numCache>
            </c:numRef>
          </c:yVal>
          <c:bubbleSize>
            <c:numRef>
              <c:f>'M graphs'!$C$28:$C$48</c:f>
              <c:numCache>
                <c:formatCode>#,##0</c:formatCode>
                <c:ptCount val="21"/>
                <c:pt idx="0">
                  <c:v>166</c:v>
                </c:pt>
                <c:pt idx="1">
                  <c:v>256</c:v>
                </c:pt>
                <c:pt idx="2">
                  <c:v>42</c:v>
                </c:pt>
                <c:pt idx="3">
                  <c:v>190</c:v>
                </c:pt>
                <c:pt idx="4">
                  <c:v>132</c:v>
                </c:pt>
                <c:pt idx="5">
                  <c:v>744</c:v>
                </c:pt>
                <c:pt idx="6">
                  <c:v>207</c:v>
                </c:pt>
                <c:pt idx="7">
                  <c:v>58</c:v>
                </c:pt>
                <c:pt idx="8">
                  <c:v>82</c:v>
                </c:pt>
                <c:pt idx="9">
                  <c:v>147</c:v>
                </c:pt>
                <c:pt idx="10">
                  <c:v>725</c:v>
                </c:pt>
                <c:pt idx="11">
                  <c:v>55</c:v>
                </c:pt>
                <c:pt idx="12">
                  <c:v>140</c:v>
                </c:pt>
                <c:pt idx="13">
                  <c:v>42</c:v>
                </c:pt>
                <c:pt idx="14">
                  <c:v>545</c:v>
                </c:pt>
                <c:pt idx="15">
                  <c:v>795</c:v>
                </c:pt>
                <c:pt idx="16">
                  <c:v>133</c:v>
                </c:pt>
                <c:pt idx="17">
                  <c:v>234</c:v>
                </c:pt>
                <c:pt idx="18">
                  <c:v>20</c:v>
                </c:pt>
                <c:pt idx="19">
                  <c:v>129</c:v>
                </c:pt>
                <c:pt idx="20">
                  <c:v>7</c:v>
                </c:pt>
              </c:numCache>
            </c:numRef>
          </c:bubbleSize>
          <c:bubble3D val="1"/>
        </c:ser>
        <c:dLbls>
          <c:showLegendKey val="0"/>
          <c:showVal val="1"/>
          <c:showCatName val="0"/>
          <c:showSerName val="0"/>
          <c:showPercent val="0"/>
          <c:showBubbleSize val="0"/>
        </c:dLbls>
        <c:bubbleScale val="100"/>
        <c:showNegBubbles val="0"/>
        <c:axId val="106765312"/>
        <c:axId val="106776832"/>
      </c:bubbleChart>
      <c:valAx>
        <c:axId val="106765312"/>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6776832"/>
        <c:crosses val="autoZero"/>
        <c:crossBetween val="midCat"/>
        <c:majorUnit val="1"/>
      </c:valAx>
      <c:valAx>
        <c:axId val="106776832"/>
        <c:scaling>
          <c:orientation val="minMax"/>
          <c:max val="0.35000000000000003"/>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106765312"/>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2009-13</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graphs'!$A$52:$A$72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graphs'!$B$52:$B$72</c:f>
              <c:numCache>
                <c:formatCode>0.0%</c:formatCode>
                <c:ptCount val="21"/>
                <c:pt idx="0">
                  <c:v>2.3773070305813733E-3</c:v>
                </c:pt>
                <c:pt idx="1">
                  <c:v>4.2093220318669237E-2</c:v>
                </c:pt>
                <c:pt idx="2">
                  <c:v>2.3836606755076036E-2</c:v>
                </c:pt>
                <c:pt idx="3">
                  <c:v>2.4160108902752064E-2</c:v>
                </c:pt>
                <c:pt idx="4">
                  <c:v>0.33071730464201254</c:v>
                </c:pt>
                <c:pt idx="5">
                  <c:v>7.8982026345601627E-2</c:v>
                </c:pt>
                <c:pt idx="6">
                  <c:v>6.0586314260925742E-2</c:v>
                </c:pt>
                <c:pt idx="7">
                  <c:v>1.0924945160105874E-3</c:v>
                </c:pt>
                <c:pt idx="8">
                  <c:v>2.5393928474440643E-3</c:v>
                </c:pt>
                <c:pt idx="9">
                  <c:v>1.4174003290508495E-2</c:v>
                </c:pt>
                <c:pt idx="10">
                  <c:v>2.068908048769726E-2</c:v>
                </c:pt>
                <c:pt idx="11">
                  <c:v>3.5570436433710433E-3</c:v>
                </c:pt>
                <c:pt idx="12">
                  <c:v>1.1883315424721888E-2</c:v>
                </c:pt>
                <c:pt idx="13">
                  <c:v>1.8657239072960097E-4</c:v>
                </c:pt>
                <c:pt idx="14">
                  <c:v>8.1357431152160056E-2</c:v>
                </c:pt>
                <c:pt idx="15">
                  <c:v>0.16443918772674995</c:v>
                </c:pt>
                <c:pt idx="16">
                  <c:v>0.11507007457361622</c:v>
                </c:pt>
                <c:pt idx="17">
                  <c:v>1.2441917269253951E-2</c:v>
                </c:pt>
                <c:pt idx="18">
                  <c:v>1.0524034858859198E-4</c:v>
                </c:pt>
                <c:pt idx="19">
                  <c:v>9.6563119118291043E-3</c:v>
                </c:pt>
                <c:pt idx="20">
                  <c:v>5.5046161700608877E-5</c:v>
                </c:pt>
              </c:numCache>
            </c:numRef>
          </c:yVal>
          <c:bubbleSize>
            <c:numRef>
              <c:f>'M graphs'!$C$52:$C$72</c:f>
              <c:numCache>
                <c:formatCode>General</c:formatCode>
                <c:ptCount val="21"/>
                <c:pt idx="0">
                  <c:v>183</c:v>
                </c:pt>
                <c:pt idx="1">
                  <c:v>252</c:v>
                </c:pt>
                <c:pt idx="2">
                  <c:v>44</c:v>
                </c:pt>
                <c:pt idx="3">
                  <c:v>189</c:v>
                </c:pt>
                <c:pt idx="4">
                  <c:v>138</c:v>
                </c:pt>
                <c:pt idx="5">
                  <c:v>724</c:v>
                </c:pt>
                <c:pt idx="6">
                  <c:v>210</c:v>
                </c:pt>
                <c:pt idx="7">
                  <c:v>55</c:v>
                </c:pt>
                <c:pt idx="8">
                  <c:v>74</c:v>
                </c:pt>
                <c:pt idx="9">
                  <c:v>143</c:v>
                </c:pt>
                <c:pt idx="10">
                  <c:v>731</c:v>
                </c:pt>
                <c:pt idx="11">
                  <c:v>49</c:v>
                </c:pt>
                <c:pt idx="12">
                  <c:v>137</c:v>
                </c:pt>
                <c:pt idx="13">
                  <c:v>43</c:v>
                </c:pt>
                <c:pt idx="14">
                  <c:v>540</c:v>
                </c:pt>
                <c:pt idx="15">
                  <c:v>742</c:v>
                </c:pt>
                <c:pt idx="16">
                  <c:v>128</c:v>
                </c:pt>
                <c:pt idx="17">
                  <c:v>214</c:v>
                </c:pt>
                <c:pt idx="18">
                  <c:v>19</c:v>
                </c:pt>
                <c:pt idx="19">
                  <c:v>116</c:v>
                </c:pt>
                <c:pt idx="20">
                  <c:v>7</c:v>
                </c:pt>
              </c:numCache>
            </c:numRef>
          </c:bubbleSize>
          <c:bubble3D val="1"/>
        </c:ser>
        <c:dLbls>
          <c:showLegendKey val="0"/>
          <c:showVal val="1"/>
          <c:showCatName val="0"/>
          <c:showSerName val="0"/>
          <c:showPercent val="0"/>
          <c:showBubbleSize val="0"/>
        </c:dLbls>
        <c:bubbleScale val="100"/>
        <c:showNegBubbles val="0"/>
        <c:axId val="106813312"/>
        <c:axId val="106972288"/>
      </c:bubbleChart>
      <c:valAx>
        <c:axId val="106813312"/>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6972288"/>
        <c:crosses val="autoZero"/>
        <c:crossBetween val="midCat"/>
        <c:majorUnit val="1"/>
      </c:valAx>
      <c:valAx>
        <c:axId val="106972288"/>
        <c:scaling>
          <c:orientation val="minMax"/>
          <c:max val="0.35000000000000003"/>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106813312"/>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'M graphs'!$D$104:$D$124</c:f>
              <c:numCache>
                <c:formatCode>0.0</c:formatCode>
                <c:ptCount val="21"/>
                <c:pt idx="0">
                  <c:v>7.0897644826126927E-2</c:v>
                </c:pt>
                <c:pt idx="1">
                  <c:v>1.9301498033016951E-3</c:v>
                </c:pt>
                <c:pt idx="2">
                  <c:v>-1.1657998602143425</c:v>
                </c:pt>
                <c:pt idx="3">
                  <c:v>0.38212954698129825</c:v>
                </c:pt>
                <c:pt idx="4">
                  <c:v>5.0414765849914724</c:v>
                </c:pt>
                <c:pt idx="5">
                  <c:v>-0.87417808866502855</c:v>
                </c:pt>
                <c:pt idx="6">
                  <c:v>5.0181956619041457E-2</c:v>
                </c:pt>
                <c:pt idx="7">
                  <c:v>-3.4727582550012612E-2</c:v>
                </c:pt>
                <c:pt idx="8">
                  <c:v>2.4126148009006143E-2</c:v>
                </c:pt>
                <c:pt idx="9">
                  <c:v>-0.38576548190832427</c:v>
                </c:pt>
                <c:pt idx="10">
                  <c:v>-0.28939684353914352</c:v>
                </c:pt>
                <c:pt idx="11">
                  <c:v>-3.9126619276105223E-2</c:v>
                </c:pt>
                <c:pt idx="12">
                  <c:v>-0.15057138956494787</c:v>
                </c:pt>
                <c:pt idx="13">
                  <c:v>-6.5961759313243129E-3</c:v>
                </c:pt>
                <c:pt idx="14">
                  <c:v>-0.70767512818549339</c:v>
                </c:pt>
                <c:pt idx="15">
                  <c:v>-2.7569306139769436</c:v>
                </c:pt>
                <c:pt idx="16">
                  <c:v>0.73157287074376987</c:v>
                </c:pt>
                <c:pt idx="17">
                  <c:v>0.1999469278793905</c:v>
                </c:pt>
                <c:pt idx="18">
                  <c:v>-4.9572775849908142E-5</c:v>
                </c:pt>
                <c:pt idx="19">
                  <c:v>-8.2625818992231564E-2</c:v>
                </c:pt>
                <c:pt idx="20">
                  <c:v>-8.8186542736758584E-3</c:v>
                </c:pt>
              </c:numCache>
            </c:numRef>
          </c:val>
        </c:ser>
        <c:dLbls>
          <c:showLegendKey val="0"/>
          <c:showVal val="0"/>
          <c:showCatName val="0"/>
          <c:showSerName val="0"/>
          <c:showPercent val="0"/>
          <c:showBubbleSize val="0"/>
        </c:dLbls>
        <c:gapWidth val="49"/>
        <c:axId val="106992384"/>
        <c:axId val="106994304"/>
      </c:barChart>
      <c:catAx>
        <c:axId val="106992384"/>
        <c:scaling>
          <c:orientation val="minMax"/>
        </c:scaling>
        <c:delete val="0"/>
        <c:axPos val="b"/>
        <c:title>
          <c:tx>
            <c:rich>
              <a:bodyPr/>
              <a:lstStyle/>
              <a:p>
                <a:pPr>
                  <a:defRPr b="0"/>
                </a:pPr>
                <a:r>
                  <a:rPr lang="en-US" b="0"/>
                  <a:t>HS Section</a:t>
                </a:r>
              </a:p>
            </c:rich>
          </c:tx>
          <c:overlay val="0"/>
        </c:title>
        <c:majorTickMark val="out"/>
        <c:minorTickMark val="none"/>
        <c:tickLblPos val="low"/>
        <c:crossAx val="106994304"/>
        <c:crosses val="autoZero"/>
        <c:auto val="1"/>
        <c:lblAlgn val="ctr"/>
        <c:lblOffset val="100"/>
        <c:noMultiLvlLbl val="0"/>
      </c:catAx>
      <c:valAx>
        <c:axId val="106994304"/>
        <c:scaling>
          <c:orientation val="minMax"/>
          <c:min val="-3"/>
        </c:scaling>
        <c:delete val="0"/>
        <c:axPos val="l"/>
        <c:majorGridlines/>
        <c:title>
          <c:tx>
            <c:rich>
              <a:bodyPr rot="-5400000" vert="horz"/>
              <a:lstStyle/>
              <a:p>
                <a:pPr>
                  <a:defRPr b="0"/>
                </a:pPr>
                <a:r>
                  <a:rPr lang="en-US" b="0"/>
                  <a:t>Percentage points</a:t>
                </a:r>
              </a:p>
            </c:rich>
          </c:tx>
          <c:overlay val="0"/>
        </c:title>
        <c:numFmt formatCode="0.0" sourceLinked="1"/>
        <c:majorTickMark val="out"/>
        <c:minorTickMark val="none"/>
        <c:tickLblPos val="nextTo"/>
        <c:crossAx val="106992384"/>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0"/>
        <c:ser>
          <c:idx val="2"/>
          <c:order val="0"/>
          <c:tx>
            <c:strRef>
              <c:f>'Diversification &amp; quality'!$F$8</c:f>
              <c:strCache>
                <c:ptCount val="1"/>
                <c:pt idx="0">
                  <c:v>Extensive margin</c:v>
                </c:pt>
              </c:strCache>
            </c:strRef>
          </c:tx>
          <c:spPr>
            <a:solidFill>
              <a:schemeClr val="accent6"/>
            </a:solidFill>
          </c:spPr>
          <c:invertIfNegative val="0"/>
          <c:cat>
            <c:numRef>
              <c:f>'Diversification &amp; quality'!$G$6:$L$6</c:f>
              <c:numCache>
                <c:formatCode>General</c:formatCode>
                <c:ptCount val="6"/>
                <c:pt idx="0">
                  <c:v>1965</c:v>
                </c:pt>
                <c:pt idx="1">
                  <c:v>1975</c:v>
                </c:pt>
                <c:pt idx="2">
                  <c:v>1990</c:v>
                </c:pt>
                <c:pt idx="3">
                  <c:v>2000</c:v>
                </c:pt>
                <c:pt idx="4">
                  <c:v>2005</c:v>
                </c:pt>
                <c:pt idx="5">
                  <c:v>2010</c:v>
                </c:pt>
              </c:numCache>
            </c:numRef>
          </c:cat>
          <c:val>
            <c:numRef>
              <c:f>'Diversification &amp; quality'!$G$8:$L$8</c:f>
              <c:numCache>
                <c:formatCode>General</c:formatCode>
                <c:ptCount val="6"/>
                <c:pt idx="0">
                  <c:v>1.56355</c:v>
                </c:pt>
                <c:pt idx="1">
                  <c:v>3.1120999999999999E-2</c:v>
                </c:pt>
                <c:pt idx="2">
                  <c:v>1.4452E-2</c:v>
                </c:pt>
                <c:pt idx="3">
                  <c:v>1.4481000000000001E-2</c:v>
                </c:pt>
                <c:pt idx="4">
                  <c:v>8.1349999999999999E-3</c:v>
                </c:pt>
              </c:numCache>
            </c:numRef>
          </c:val>
        </c:ser>
        <c:ser>
          <c:idx val="3"/>
          <c:order val="1"/>
          <c:tx>
            <c:strRef>
              <c:f>'Diversification &amp; quality'!$F$9</c:f>
              <c:strCache>
                <c:ptCount val="1"/>
                <c:pt idx="0">
                  <c:v>Intensive margin</c:v>
                </c:pt>
              </c:strCache>
            </c:strRef>
          </c:tx>
          <c:spPr>
            <a:solidFill>
              <a:schemeClr val="accent1"/>
            </a:solidFill>
          </c:spPr>
          <c:invertIfNegative val="0"/>
          <c:cat>
            <c:numRef>
              <c:f>'Diversification &amp; quality'!$G$6:$L$6</c:f>
              <c:numCache>
                <c:formatCode>General</c:formatCode>
                <c:ptCount val="6"/>
                <c:pt idx="0">
                  <c:v>1965</c:v>
                </c:pt>
                <c:pt idx="1">
                  <c:v>1975</c:v>
                </c:pt>
                <c:pt idx="2">
                  <c:v>1990</c:v>
                </c:pt>
                <c:pt idx="3">
                  <c:v>2000</c:v>
                </c:pt>
                <c:pt idx="4">
                  <c:v>2005</c:v>
                </c:pt>
                <c:pt idx="5">
                  <c:v>2010</c:v>
                </c:pt>
              </c:numCache>
            </c:numRef>
          </c:cat>
          <c:val>
            <c:numRef>
              <c:f>'Diversification &amp; quality'!$G$9:$L$9</c:f>
              <c:numCache>
                <c:formatCode>General</c:formatCode>
                <c:ptCount val="6"/>
                <c:pt idx="0">
                  <c:v>2.21957</c:v>
                </c:pt>
                <c:pt idx="1">
                  <c:v>3.5544199999999999</c:v>
                </c:pt>
                <c:pt idx="2">
                  <c:v>3.2086899999999998</c:v>
                </c:pt>
                <c:pt idx="3">
                  <c:v>3.1174599999999999</c:v>
                </c:pt>
                <c:pt idx="4">
                  <c:v>2.65666</c:v>
                </c:pt>
                <c:pt idx="5">
                  <c:v>2.55816</c:v>
                </c:pt>
              </c:numCache>
            </c:numRef>
          </c:val>
        </c:ser>
        <c:dLbls>
          <c:showLegendKey val="0"/>
          <c:showVal val="0"/>
          <c:showCatName val="0"/>
          <c:showSerName val="0"/>
          <c:showPercent val="0"/>
          <c:showBubbleSize val="0"/>
        </c:dLbls>
        <c:gapWidth val="150"/>
        <c:overlap val="100"/>
        <c:axId val="107088896"/>
        <c:axId val="107102976"/>
      </c:barChart>
      <c:catAx>
        <c:axId val="107088896"/>
        <c:scaling>
          <c:orientation val="minMax"/>
        </c:scaling>
        <c:delete val="0"/>
        <c:axPos val="b"/>
        <c:numFmt formatCode="General" sourceLinked="1"/>
        <c:majorTickMark val="out"/>
        <c:minorTickMark val="none"/>
        <c:tickLblPos val="nextTo"/>
        <c:crossAx val="107102976"/>
        <c:crosses val="autoZero"/>
        <c:auto val="1"/>
        <c:lblAlgn val="ctr"/>
        <c:lblOffset val="100"/>
        <c:noMultiLvlLbl val="0"/>
      </c:catAx>
      <c:valAx>
        <c:axId val="107102976"/>
        <c:scaling>
          <c:orientation val="minMax"/>
        </c:scaling>
        <c:delete val="0"/>
        <c:axPos val="l"/>
        <c:majorGridlines/>
        <c:title>
          <c:tx>
            <c:rich>
              <a:bodyPr rot="-5400000" vert="horz"/>
              <a:lstStyle/>
              <a:p>
                <a:pPr>
                  <a:defRPr b="0"/>
                </a:pPr>
                <a:r>
                  <a:rPr lang="en-US" b="0"/>
                  <a:t>Export diversification index</a:t>
                </a:r>
              </a:p>
            </c:rich>
          </c:tx>
          <c:overlay val="0"/>
        </c:title>
        <c:numFmt formatCode="General" sourceLinked="1"/>
        <c:majorTickMark val="out"/>
        <c:minorTickMark val="none"/>
        <c:tickLblPos val="nextTo"/>
        <c:crossAx val="107088896"/>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'Diversification &amp; quality'!$U$7</c:f>
              <c:strCache>
                <c:ptCount val="1"/>
                <c:pt idx="0">
                  <c:v>All commodities</c:v>
                </c:pt>
              </c:strCache>
            </c:strRef>
          </c:tx>
          <c:spPr>
            <a:solidFill>
              <a:schemeClr val="bg1">
                <a:lumMod val="75000"/>
              </a:schemeClr>
            </a:solidFill>
            <a:ln>
              <a:solidFill>
                <a:schemeClr val="bg1">
                  <a:lumMod val="75000"/>
                </a:schemeClr>
              </a:solidFill>
            </a:ln>
          </c:spPr>
          <c:invertIfNegative val="0"/>
          <c:cat>
            <c:numRef>
              <c:f>'Diversification &amp; quality'!$V$6:$AA$6</c:f>
              <c:numCache>
                <c:formatCode>General</c:formatCode>
                <c:ptCount val="6"/>
                <c:pt idx="0">
                  <c:v>1966</c:v>
                </c:pt>
                <c:pt idx="1">
                  <c:v>1975</c:v>
                </c:pt>
                <c:pt idx="2">
                  <c:v>1990</c:v>
                </c:pt>
                <c:pt idx="3">
                  <c:v>2000</c:v>
                </c:pt>
                <c:pt idx="4">
                  <c:v>2005</c:v>
                </c:pt>
                <c:pt idx="5">
                  <c:v>2010</c:v>
                </c:pt>
              </c:numCache>
            </c:numRef>
          </c:cat>
          <c:val>
            <c:numRef>
              <c:f>'Diversification &amp; quality'!$V$7:$AA$7</c:f>
              <c:numCache>
                <c:formatCode>General</c:formatCode>
                <c:ptCount val="6"/>
                <c:pt idx="0">
                  <c:v>0.65117780000000003</c:v>
                </c:pt>
                <c:pt idx="1">
                  <c:v>0.63827409999999996</c:v>
                </c:pt>
                <c:pt idx="2">
                  <c:v>0.6849537</c:v>
                </c:pt>
                <c:pt idx="3">
                  <c:v>0.54430369999999995</c:v>
                </c:pt>
                <c:pt idx="4">
                  <c:v>0.61270449999999999</c:v>
                </c:pt>
                <c:pt idx="5">
                  <c:v>0.54374319999999998</c:v>
                </c:pt>
              </c:numCache>
            </c:numRef>
          </c:val>
        </c:ser>
        <c:dLbls>
          <c:showLegendKey val="0"/>
          <c:showVal val="0"/>
          <c:showCatName val="0"/>
          <c:showSerName val="0"/>
          <c:showPercent val="0"/>
          <c:showBubbleSize val="0"/>
        </c:dLbls>
        <c:gapWidth val="150"/>
        <c:axId val="108216704"/>
        <c:axId val="108218624"/>
      </c:barChart>
      <c:lineChart>
        <c:grouping val="standard"/>
        <c:varyColors val="0"/>
        <c:ser>
          <c:idx val="1"/>
          <c:order val="1"/>
          <c:tx>
            <c:strRef>
              <c:f>'Diversification &amp; quality'!$U$8</c:f>
              <c:strCache>
                <c:ptCount val="1"/>
                <c:pt idx="0">
                  <c:v>Food/live animals</c:v>
                </c:pt>
              </c:strCache>
            </c:strRef>
          </c:tx>
          <c:spPr>
            <a:ln>
              <a:solidFill>
                <a:srgbClr val="0000FF"/>
              </a:solidFill>
            </a:ln>
          </c:spPr>
          <c:marker>
            <c:symbol val="square"/>
            <c:size val="5"/>
            <c:spPr>
              <a:solidFill>
                <a:srgbClr val="0000FF"/>
              </a:solidFill>
              <a:ln>
                <a:solidFill>
                  <a:srgbClr val="0000FF"/>
                </a:solidFill>
              </a:ln>
            </c:spPr>
          </c:marker>
          <c:val>
            <c:numRef>
              <c:f>'Diversification &amp; quality'!$V$8:$AA$8</c:f>
              <c:numCache>
                <c:formatCode>General</c:formatCode>
                <c:ptCount val="6"/>
                <c:pt idx="0">
                  <c:v>0.63743720000000004</c:v>
                </c:pt>
                <c:pt idx="1">
                  <c:v>0.61883560000000004</c:v>
                </c:pt>
                <c:pt idx="2">
                  <c:v>0.61484870000000003</c:v>
                </c:pt>
                <c:pt idx="3">
                  <c:v>0.46401019999999998</c:v>
                </c:pt>
                <c:pt idx="4">
                  <c:v>0.4722402</c:v>
                </c:pt>
                <c:pt idx="5">
                  <c:v>0.53489850000000005</c:v>
                </c:pt>
              </c:numCache>
            </c:numRef>
          </c:val>
          <c:smooth val="0"/>
        </c:ser>
        <c:ser>
          <c:idx val="2"/>
          <c:order val="2"/>
          <c:tx>
            <c:strRef>
              <c:f>'Diversification &amp; quality'!$U$9</c:f>
              <c:strCache>
                <c:ptCount val="1"/>
                <c:pt idx="0">
                  <c:v>Beverages/tobacco</c:v>
                </c:pt>
              </c:strCache>
            </c:strRef>
          </c:tx>
          <c:spPr>
            <a:ln>
              <a:solidFill>
                <a:srgbClr val="FF0000"/>
              </a:solidFill>
            </a:ln>
          </c:spPr>
          <c:marker>
            <c:symbol val="square"/>
            <c:size val="5"/>
            <c:spPr>
              <a:solidFill>
                <a:srgbClr val="FF0000"/>
              </a:solidFill>
              <a:ln>
                <a:solidFill>
                  <a:srgbClr val="FF0000"/>
                </a:solidFill>
              </a:ln>
            </c:spPr>
          </c:marker>
          <c:val>
            <c:numRef>
              <c:f>'Diversification &amp; quality'!$V$9:$AA$9</c:f>
              <c:numCache>
                <c:formatCode>General</c:formatCode>
                <c:ptCount val="6"/>
                <c:pt idx="0">
                  <c:v>0.78045120000000001</c:v>
                </c:pt>
                <c:pt idx="1">
                  <c:v>0.9028834</c:v>
                </c:pt>
                <c:pt idx="2">
                  <c:v>0.80510519999999997</c:v>
                </c:pt>
                <c:pt idx="3">
                  <c:v>0.82274899999999995</c:v>
                </c:pt>
                <c:pt idx="4">
                  <c:v>0.81924600000000003</c:v>
                </c:pt>
                <c:pt idx="5">
                  <c:v>0.85773189999999999</c:v>
                </c:pt>
              </c:numCache>
            </c:numRef>
          </c:val>
          <c:smooth val="0"/>
        </c:ser>
        <c:ser>
          <c:idx val="3"/>
          <c:order val="3"/>
          <c:tx>
            <c:strRef>
              <c:f>'Diversification &amp; quality'!$U$10</c:f>
              <c:strCache>
                <c:ptCount val="1"/>
                <c:pt idx="0">
                  <c:v>Crude materials, inedible, excl. fuels</c:v>
                </c:pt>
              </c:strCache>
            </c:strRef>
          </c:tx>
          <c:spPr>
            <a:ln>
              <a:solidFill>
                <a:srgbClr val="00B050"/>
              </a:solidFill>
            </a:ln>
          </c:spPr>
          <c:marker>
            <c:symbol val="square"/>
            <c:size val="5"/>
            <c:spPr>
              <a:solidFill>
                <a:srgbClr val="00B050"/>
              </a:solidFill>
              <a:ln>
                <a:solidFill>
                  <a:srgbClr val="00B050"/>
                </a:solidFill>
              </a:ln>
            </c:spPr>
          </c:marker>
          <c:val>
            <c:numRef>
              <c:f>'Diversification &amp; quality'!$V$10:$AA$10</c:f>
              <c:numCache>
                <c:formatCode>General</c:formatCode>
                <c:ptCount val="6"/>
                <c:pt idx="0">
                  <c:v>0.64750799999999997</c:v>
                </c:pt>
                <c:pt idx="1">
                  <c:v>0.62084309999999998</c:v>
                </c:pt>
                <c:pt idx="2">
                  <c:v>0.82441889999999995</c:v>
                </c:pt>
                <c:pt idx="3">
                  <c:v>0.63159719999999997</c:v>
                </c:pt>
                <c:pt idx="4">
                  <c:v>0.65006940000000002</c:v>
                </c:pt>
                <c:pt idx="5">
                  <c:v>0.36807089999999998</c:v>
                </c:pt>
              </c:numCache>
            </c:numRef>
          </c:val>
          <c:smooth val="0"/>
        </c:ser>
        <c:ser>
          <c:idx val="4"/>
          <c:order val="4"/>
          <c:tx>
            <c:strRef>
              <c:f>'Diversification &amp; quality'!$U$11</c:f>
              <c:strCache>
                <c:ptCount val="1"/>
                <c:pt idx="0">
                  <c:v>Mineral fuels/lubricants/related materials</c:v>
                </c:pt>
              </c:strCache>
            </c:strRef>
          </c:tx>
          <c:spPr>
            <a:ln>
              <a:solidFill>
                <a:srgbClr val="FFFF00"/>
              </a:solidFill>
            </a:ln>
          </c:spPr>
          <c:marker>
            <c:symbol val="square"/>
            <c:size val="5"/>
            <c:spPr>
              <a:solidFill>
                <a:srgbClr val="FFFF00"/>
              </a:solidFill>
              <a:ln>
                <a:solidFill>
                  <a:srgbClr val="FFFF00"/>
                </a:solidFill>
              </a:ln>
            </c:spPr>
          </c:marker>
          <c:val>
            <c:numRef>
              <c:f>'Diversification &amp; quality'!$V$11:$AA$11</c:f>
              <c:numCache>
                <c:formatCode>General</c:formatCode>
                <c:ptCount val="6"/>
                <c:pt idx="1">
                  <c:v>0.33272040000000003</c:v>
                </c:pt>
                <c:pt idx="3">
                  <c:v>0.79806869999999996</c:v>
                </c:pt>
                <c:pt idx="4">
                  <c:v>0.84954039999999997</c:v>
                </c:pt>
                <c:pt idx="5">
                  <c:v>0.74513209999999996</c:v>
                </c:pt>
              </c:numCache>
            </c:numRef>
          </c:val>
          <c:smooth val="0"/>
        </c:ser>
        <c:ser>
          <c:idx val="5"/>
          <c:order val="5"/>
          <c:tx>
            <c:strRef>
              <c:f>'Diversification &amp; quality'!$U$12</c:f>
              <c:strCache>
                <c:ptCount val="1"/>
                <c:pt idx="0">
                  <c:v>Animal/veg. oils/fats</c:v>
                </c:pt>
              </c:strCache>
            </c:strRef>
          </c:tx>
          <c:spPr>
            <a:ln>
              <a:solidFill>
                <a:srgbClr val="7030A0"/>
              </a:solidFill>
            </a:ln>
          </c:spPr>
          <c:marker>
            <c:symbol val="square"/>
            <c:size val="5"/>
            <c:spPr>
              <a:solidFill>
                <a:srgbClr val="7030A0"/>
              </a:solidFill>
              <a:ln>
                <a:solidFill>
                  <a:srgbClr val="7030A0"/>
                </a:solidFill>
              </a:ln>
            </c:spPr>
          </c:marker>
          <c:val>
            <c:numRef>
              <c:f>'Diversification &amp; quality'!$V$12:$AA$12</c:f>
              <c:numCache>
                <c:formatCode>General</c:formatCode>
                <c:ptCount val="6"/>
                <c:pt idx="0">
                  <c:v>0.90666899999999995</c:v>
                </c:pt>
                <c:pt idx="1">
                  <c:v>0.92816379999999998</c:v>
                </c:pt>
                <c:pt idx="2">
                  <c:v>0.91000599999999998</c:v>
                </c:pt>
                <c:pt idx="3">
                  <c:v>0.70889749999999996</c:v>
                </c:pt>
                <c:pt idx="4">
                  <c:v>0.66104560000000001</c:v>
                </c:pt>
                <c:pt idx="5">
                  <c:v>0.57410110000000003</c:v>
                </c:pt>
              </c:numCache>
            </c:numRef>
          </c:val>
          <c:smooth val="0"/>
        </c:ser>
        <c:ser>
          <c:idx val="6"/>
          <c:order val="6"/>
          <c:tx>
            <c:strRef>
              <c:f>'Diversification &amp; quality'!$U$13</c:f>
              <c:strCache>
                <c:ptCount val="1"/>
                <c:pt idx="0">
                  <c:v>Chemicals</c:v>
                </c:pt>
              </c:strCache>
            </c:strRef>
          </c:tx>
          <c:spPr>
            <a:ln>
              <a:solidFill>
                <a:srgbClr val="00B0F0"/>
              </a:solidFill>
            </a:ln>
          </c:spPr>
          <c:marker>
            <c:symbol val="square"/>
            <c:size val="5"/>
            <c:spPr>
              <a:solidFill>
                <a:srgbClr val="00B0F0"/>
              </a:solidFill>
              <a:ln>
                <a:solidFill>
                  <a:srgbClr val="00B0F0"/>
                </a:solidFill>
              </a:ln>
            </c:spPr>
          </c:marker>
          <c:val>
            <c:numRef>
              <c:f>'Diversification &amp; quality'!$V$13:$AA$13</c:f>
              <c:numCache>
                <c:formatCode>General</c:formatCode>
                <c:ptCount val="6"/>
                <c:pt idx="0">
                  <c:v>0.87594649999999996</c:v>
                </c:pt>
                <c:pt idx="1">
                  <c:v>0.85575049999999997</c:v>
                </c:pt>
                <c:pt idx="2">
                  <c:v>0.86113609999999996</c:v>
                </c:pt>
                <c:pt idx="3">
                  <c:v>0.76394680000000004</c:v>
                </c:pt>
                <c:pt idx="4">
                  <c:v>0.74056149999999998</c:v>
                </c:pt>
                <c:pt idx="5">
                  <c:v>0.66784390000000005</c:v>
                </c:pt>
              </c:numCache>
            </c:numRef>
          </c:val>
          <c:smooth val="0"/>
        </c:ser>
        <c:ser>
          <c:idx val="7"/>
          <c:order val="7"/>
          <c:tx>
            <c:strRef>
              <c:f>'Diversification &amp; quality'!$U$14</c:f>
              <c:strCache>
                <c:ptCount val="1"/>
                <c:pt idx="0">
                  <c:v>Manufactures class. chiefly by material</c:v>
                </c:pt>
              </c:strCache>
            </c:strRef>
          </c:tx>
          <c:spPr>
            <a:ln>
              <a:solidFill>
                <a:srgbClr val="FF00FF"/>
              </a:solidFill>
            </a:ln>
          </c:spPr>
          <c:marker>
            <c:symbol val="square"/>
            <c:size val="5"/>
            <c:spPr>
              <a:solidFill>
                <a:srgbClr val="FF00FF"/>
              </a:solidFill>
              <a:ln>
                <a:solidFill>
                  <a:srgbClr val="FF00FF"/>
                </a:solidFill>
              </a:ln>
            </c:spPr>
          </c:marker>
          <c:val>
            <c:numRef>
              <c:f>'Diversification &amp; quality'!$V$14:$AA$14</c:f>
              <c:numCache>
                <c:formatCode>General</c:formatCode>
                <c:ptCount val="6"/>
                <c:pt idx="0">
                  <c:v>0.34665610000000002</c:v>
                </c:pt>
                <c:pt idx="1">
                  <c:v>0.40339599999999998</c:v>
                </c:pt>
                <c:pt idx="2">
                  <c:v>0.5782543</c:v>
                </c:pt>
                <c:pt idx="3">
                  <c:v>0.51390899999999995</c:v>
                </c:pt>
                <c:pt idx="4">
                  <c:v>0.72108919999999999</c:v>
                </c:pt>
                <c:pt idx="5">
                  <c:v>0.51631490000000002</c:v>
                </c:pt>
              </c:numCache>
            </c:numRef>
          </c:val>
          <c:smooth val="0"/>
        </c:ser>
        <c:ser>
          <c:idx val="9"/>
          <c:order val="8"/>
          <c:tx>
            <c:strRef>
              <c:f>'Diversification &amp; quality'!$U$15</c:f>
              <c:strCache>
                <c:ptCount val="1"/>
                <c:pt idx="0">
                  <c:v>Machinery/transport equipment</c:v>
                </c:pt>
              </c:strCache>
            </c:strRef>
          </c:tx>
          <c:spPr>
            <a:ln>
              <a:solidFill>
                <a:srgbClr val="99FF66"/>
              </a:solidFill>
            </a:ln>
          </c:spPr>
          <c:marker>
            <c:symbol val="square"/>
            <c:size val="5"/>
            <c:spPr>
              <a:solidFill>
                <a:srgbClr val="99FF66"/>
              </a:solidFill>
              <a:ln>
                <a:solidFill>
                  <a:srgbClr val="99FF66"/>
                </a:solidFill>
              </a:ln>
            </c:spPr>
          </c:marker>
          <c:val>
            <c:numRef>
              <c:f>'Diversification &amp; quality'!$V$15:$AA$15</c:f>
              <c:numCache>
                <c:formatCode>General</c:formatCode>
                <c:ptCount val="6"/>
                <c:pt idx="0">
                  <c:v>0.77696810000000005</c:v>
                </c:pt>
                <c:pt idx="1">
                  <c:v>0.80503400000000003</c:v>
                </c:pt>
                <c:pt idx="2">
                  <c:v>0.77561310000000006</c:v>
                </c:pt>
                <c:pt idx="3">
                  <c:v>0.71099080000000003</c:v>
                </c:pt>
                <c:pt idx="4">
                  <c:v>0.7413476</c:v>
                </c:pt>
                <c:pt idx="5">
                  <c:v>0.7520078</c:v>
                </c:pt>
              </c:numCache>
            </c:numRef>
          </c:val>
          <c:smooth val="0"/>
        </c:ser>
        <c:ser>
          <c:idx val="10"/>
          <c:order val="9"/>
          <c:tx>
            <c:strRef>
              <c:f>'Diversification &amp; quality'!$U$16</c:f>
              <c:strCache>
                <c:ptCount val="1"/>
                <c:pt idx="0">
                  <c:v>Miscellaneous manufactured articles</c:v>
                </c:pt>
              </c:strCache>
            </c:strRef>
          </c:tx>
          <c:spPr>
            <a:ln>
              <a:solidFill>
                <a:schemeClr val="accent6">
                  <a:lumMod val="50000"/>
                </a:schemeClr>
              </a:solidFill>
            </a:ln>
          </c:spPr>
          <c:marker>
            <c:symbol val="square"/>
            <c:size val="5"/>
            <c:spPr>
              <a:solidFill>
                <a:schemeClr val="accent6">
                  <a:lumMod val="50000"/>
                </a:schemeClr>
              </a:solidFill>
              <a:ln>
                <a:solidFill>
                  <a:schemeClr val="accent6">
                    <a:lumMod val="50000"/>
                  </a:schemeClr>
                </a:solidFill>
              </a:ln>
            </c:spPr>
          </c:marker>
          <c:val>
            <c:numRef>
              <c:f>'Diversification &amp; quality'!$V$16:$AA$16</c:f>
              <c:numCache>
                <c:formatCode>General</c:formatCode>
                <c:ptCount val="6"/>
                <c:pt idx="0">
                  <c:v>0.84481759999999995</c:v>
                </c:pt>
                <c:pt idx="1">
                  <c:v>0.73644920000000003</c:v>
                </c:pt>
                <c:pt idx="2">
                  <c:v>0.77143640000000002</c:v>
                </c:pt>
                <c:pt idx="3">
                  <c:v>0.69876850000000001</c:v>
                </c:pt>
                <c:pt idx="4">
                  <c:v>0.76657310000000001</c:v>
                </c:pt>
                <c:pt idx="5">
                  <c:v>0.74947350000000001</c:v>
                </c:pt>
              </c:numCache>
            </c:numRef>
          </c:val>
          <c:smooth val="0"/>
        </c:ser>
        <c:ser>
          <c:idx val="8"/>
          <c:order val="10"/>
          <c:tx>
            <c:strRef>
              <c:f>'Diversification &amp; quality'!$U$17</c:f>
              <c:strCache>
                <c:ptCount val="1"/>
                <c:pt idx="0">
                  <c:v>Commods/transacts. not class. by kind</c:v>
                </c:pt>
              </c:strCache>
            </c:strRef>
          </c:tx>
          <c:spPr>
            <a:ln>
              <a:solidFill>
                <a:srgbClr val="9999FF"/>
              </a:solidFill>
            </a:ln>
          </c:spPr>
          <c:marker>
            <c:symbol val="square"/>
            <c:size val="5"/>
            <c:spPr>
              <a:solidFill>
                <a:srgbClr val="9999FF"/>
              </a:solidFill>
              <a:ln>
                <a:solidFill>
                  <a:srgbClr val="9999FF"/>
                </a:solidFill>
              </a:ln>
            </c:spPr>
          </c:marker>
          <c:val>
            <c:numRef>
              <c:f>'Diversification &amp; quality'!$V$17:$AA$17</c:f>
              <c:numCache>
                <c:formatCode>General</c:formatCode>
                <c:ptCount val="6"/>
                <c:pt idx="0">
                  <c:v>0.429894</c:v>
                </c:pt>
                <c:pt idx="1">
                  <c:v>0.33659860000000003</c:v>
                </c:pt>
                <c:pt idx="2">
                  <c:v>0.31696099999999999</c:v>
                </c:pt>
                <c:pt idx="3">
                  <c:v>0.165907</c:v>
                </c:pt>
                <c:pt idx="4">
                  <c:v>0.19828560000000001</c:v>
                </c:pt>
                <c:pt idx="5">
                  <c:v>0.19875399999999999</c:v>
                </c:pt>
              </c:numCache>
            </c:numRef>
          </c:val>
          <c:smooth val="0"/>
        </c:ser>
        <c:dLbls>
          <c:showLegendKey val="0"/>
          <c:showVal val="0"/>
          <c:showCatName val="0"/>
          <c:showSerName val="0"/>
          <c:showPercent val="0"/>
          <c:showBubbleSize val="0"/>
        </c:dLbls>
        <c:marker val="1"/>
        <c:smooth val="0"/>
        <c:axId val="108216704"/>
        <c:axId val="108218624"/>
      </c:lineChart>
      <c:catAx>
        <c:axId val="108216704"/>
        <c:scaling>
          <c:orientation val="minMax"/>
        </c:scaling>
        <c:delete val="0"/>
        <c:axPos val="b"/>
        <c:numFmt formatCode="General" sourceLinked="1"/>
        <c:majorTickMark val="out"/>
        <c:minorTickMark val="none"/>
        <c:tickLblPos val="nextTo"/>
        <c:crossAx val="108218624"/>
        <c:crosses val="autoZero"/>
        <c:auto val="1"/>
        <c:lblAlgn val="ctr"/>
        <c:lblOffset val="100"/>
        <c:noMultiLvlLbl val="0"/>
      </c:catAx>
      <c:valAx>
        <c:axId val="108218624"/>
        <c:scaling>
          <c:orientation val="minMax"/>
        </c:scaling>
        <c:delete val="0"/>
        <c:axPos val="l"/>
        <c:majorGridlines/>
        <c:title>
          <c:tx>
            <c:rich>
              <a:bodyPr rot="-5400000" vert="horz"/>
              <a:lstStyle/>
              <a:p>
                <a:pPr>
                  <a:defRPr b="0"/>
                </a:pPr>
                <a:r>
                  <a:rPr lang="en-US" b="0"/>
                  <a:t>Quality index (90th percentile = 1)</a:t>
                </a:r>
              </a:p>
            </c:rich>
          </c:tx>
          <c:overlay val="0"/>
        </c:title>
        <c:numFmt formatCode="General" sourceLinked="1"/>
        <c:majorTickMark val="out"/>
        <c:minorTickMark val="none"/>
        <c:tickLblPos val="nextTo"/>
        <c:crossAx val="108216704"/>
        <c:crosses val="autoZero"/>
        <c:crossBetween val="between"/>
      </c:valAx>
    </c:plotArea>
    <c:legend>
      <c:legendPos val="r"/>
      <c:overlay val="0"/>
      <c:txPr>
        <a:bodyPr/>
        <a:lstStyle/>
        <a:p>
          <a:pPr>
            <a:defRPr sz="650"/>
          </a:pPr>
          <a:endParaRPr lang="en-US"/>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'X graphs'!$A$75</c:f>
              <c:strCache>
                <c:ptCount val="1"/>
                <c:pt idx="0">
                  <c:v>No. HS 6-digit subheads exported (left axis)</c:v>
                </c:pt>
              </c:strCache>
            </c:strRef>
          </c:tx>
          <c:spPr>
            <a:ln>
              <a:solidFill>
                <a:schemeClr val="accent1"/>
              </a:solidFill>
            </a:ln>
          </c:spPr>
          <c:marker>
            <c:symbol val="none"/>
          </c:marker>
          <c:cat>
            <c:strRef>
              <c:f>'X graphs'!$E$73:$M$74</c:f>
              <c:strCache>
                <c:ptCount val="9"/>
                <c:pt idx="0">
                  <c:v>2005</c:v>
                </c:pt>
                <c:pt idx="1">
                  <c:v>2006</c:v>
                </c:pt>
                <c:pt idx="2">
                  <c:v>2007</c:v>
                </c:pt>
                <c:pt idx="3">
                  <c:v>2008</c:v>
                </c:pt>
                <c:pt idx="4">
                  <c:v>2009</c:v>
                </c:pt>
                <c:pt idx="5">
                  <c:v>2010</c:v>
                </c:pt>
                <c:pt idx="6">
                  <c:v>2011</c:v>
                </c:pt>
                <c:pt idx="7">
                  <c:v>2012</c:v>
                </c:pt>
                <c:pt idx="8">
                  <c:v>2013</c:v>
                </c:pt>
              </c:strCache>
            </c:strRef>
          </c:cat>
          <c:val>
            <c:numRef>
              <c:f>'X graphs'!$E$75:$M$75</c:f>
              <c:numCache>
                <c:formatCode>_-* #,##0_-;\-* #,##0_-;_-* "-"??_-;_-@_-</c:formatCode>
                <c:ptCount val="9"/>
                <c:pt idx="0">
                  <c:v>1542</c:v>
                </c:pt>
                <c:pt idx="1">
                  <c:v>1672</c:v>
                </c:pt>
                <c:pt idx="2">
                  <c:v>1792</c:v>
                </c:pt>
                <c:pt idx="3">
                  <c:v>2201</c:v>
                </c:pt>
                <c:pt idx="4">
                  <c:v>2183</c:v>
                </c:pt>
                <c:pt idx="5">
                  <c:v>2152</c:v>
                </c:pt>
                <c:pt idx="6">
                  <c:v>2393</c:v>
                </c:pt>
                <c:pt idx="7">
                  <c:v>2483</c:v>
                </c:pt>
                <c:pt idx="8">
                  <c:v>2381</c:v>
                </c:pt>
              </c:numCache>
            </c:numRef>
          </c:val>
          <c:smooth val="0"/>
        </c:ser>
        <c:dLbls>
          <c:showLegendKey val="0"/>
          <c:showVal val="0"/>
          <c:showCatName val="0"/>
          <c:showSerName val="0"/>
          <c:showPercent val="0"/>
          <c:showBubbleSize val="0"/>
        </c:dLbls>
        <c:marker val="1"/>
        <c:smooth val="0"/>
        <c:axId val="108253568"/>
        <c:axId val="108255104"/>
      </c:lineChart>
      <c:lineChart>
        <c:grouping val="standard"/>
        <c:varyColors val="0"/>
        <c:ser>
          <c:idx val="0"/>
          <c:order val="1"/>
          <c:tx>
            <c:strRef>
              <c:f>'X graphs'!$A$76</c:f>
              <c:strCache>
                <c:ptCount val="1"/>
                <c:pt idx="0">
                  <c:v>No. of markets (right axis)</c:v>
                </c:pt>
              </c:strCache>
            </c:strRef>
          </c:tx>
          <c:spPr>
            <a:ln>
              <a:solidFill>
                <a:schemeClr val="accent5"/>
              </a:solidFill>
            </a:ln>
          </c:spPr>
          <c:marker>
            <c:symbol val="none"/>
          </c:marker>
          <c:val>
            <c:numRef>
              <c:f>'X graphs'!$E$76:$M$76</c:f>
              <c:numCache>
                <c:formatCode>General</c:formatCode>
                <c:ptCount val="9"/>
                <c:pt idx="0">
                  <c:v>130</c:v>
                </c:pt>
                <c:pt idx="1">
                  <c:v>132</c:v>
                </c:pt>
                <c:pt idx="2">
                  <c:v>135</c:v>
                </c:pt>
                <c:pt idx="3">
                  <c:v>149</c:v>
                </c:pt>
                <c:pt idx="4">
                  <c:v>146</c:v>
                </c:pt>
                <c:pt idx="5">
                  <c:v>150</c:v>
                </c:pt>
                <c:pt idx="6">
                  <c:v>149</c:v>
                </c:pt>
                <c:pt idx="7">
                  <c:v>146</c:v>
                </c:pt>
                <c:pt idx="8">
                  <c:v>158</c:v>
                </c:pt>
              </c:numCache>
            </c:numRef>
          </c:val>
          <c:smooth val="0"/>
        </c:ser>
        <c:dLbls>
          <c:showLegendKey val="0"/>
          <c:showVal val="0"/>
          <c:showCatName val="0"/>
          <c:showSerName val="0"/>
          <c:showPercent val="0"/>
          <c:showBubbleSize val="0"/>
        </c:dLbls>
        <c:marker val="1"/>
        <c:smooth val="0"/>
        <c:axId val="108258432"/>
        <c:axId val="108256640"/>
      </c:lineChart>
      <c:catAx>
        <c:axId val="108253568"/>
        <c:scaling>
          <c:orientation val="minMax"/>
        </c:scaling>
        <c:delete val="0"/>
        <c:axPos val="b"/>
        <c:majorTickMark val="out"/>
        <c:minorTickMark val="none"/>
        <c:tickLblPos val="nextTo"/>
        <c:crossAx val="108255104"/>
        <c:crosses val="autoZero"/>
        <c:auto val="1"/>
        <c:lblAlgn val="ctr"/>
        <c:lblOffset val="100"/>
        <c:noMultiLvlLbl val="0"/>
      </c:catAx>
      <c:valAx>
        <c:axId val="108255104"/>
        <c:scaling>
          <c:orientation val="minMax"/>
        </c:scaling>
        <c:delete val="0"/>
        <c:axPos val="l"/>
        <c:majorGridlines/>
        <c:numFmt formatCode="_-* #,##0_-;\-* #,##0_-;_-* &quot;-&quot;??_-;_-@_-" sourceLinked="1"/>
        <c:majorTickMark val="out"/>
        <c:minorTickMark val="none"/>
        <c:tickLblPos val="nextTo"/>
        <c:crossAx val="108253568"/>
        <c:crosses val="autoZero"/>
        <c:crossBetween val="between"/>
      </c:valAx>
      <c:valAx>
        <c:axId val="108256640"/>
        <c:scaling>
          <c:orientation val="minMax"/>
          <c:max val="160"/>
          <c:min val="125"/>
        </c:scaling>
        <c:delete val="0"/>
        <c:axPos val="r"/>
        <c:numFmt formatCode="General" sourceLinked="1"/>
        <c:majorTickMark val="out"/>
        <c:minorTickMark val="none"/>
        <c:tickLblPos val="nextTo"/>
        <c:crossAx val="108258432"/>
        <c:crosses val="max"/>
        <c:crossBetween val="between"/>
        <c:majorUnit val="5"/>
      </c:valAx>
      <c:catAx>
        <c:axId val="108258432"/>
        <c:scaling>
          <c:orientation val="minMax"/>
        </c:scaling>
        <c:delete val="1"/>
        <c:axPos val="b"/>
        <c:majorTickMark val="out"/>
        <c:minorTickMark val="none"/>
        <c:tickLblPos val="nextTo"/>
        <c:crossAx val="108256640"/>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'M graphs'!$D$76</c:f>
              <c:strCache>
                <c:ptCount val="1"/>
                <c:pt idx="0">
                  <c:v>No. HS 6-digit subheads imported (left axis)</c:v>
                </c:pt>
              </c:strCache>
            </c:strRef>
          </c:tx>
          <c:spPr>
            <a:ln>
              <a:solidFill>
                <a:schemeClr val="accent1"/>
              </a:solidFill>
            </a:ln>
          </c:spPr>
          <c:marker>
            <c:symbol val="none"/>
          </c:marker>
          <c:cat>
            <c:strRef>
              <c:f>'M graphs'!$E$74:$M$75</c:f>
              <c:strCache>
                <c:ptCount val="9"/>
                <c:pt idx="0">
                  <c:v>2005</c:v>
                </c:pt>
                <c:pt idx="1">
                  <c:v>2006</c:v>
                </c:pt>
                <c:pt idx="2">
                  <c:v>2007</c:v>
                </c:pt>
                <c:pt idx="3">
                  <c:v>2008</c:v>
                </c:pt>
                <c:pt idx="4">
                  <c:v>2009</c:v>
                </c:pt>
                <c:pt idx="5">
                  <c:v>2010</c:v>
                </c:pt>
                <c:pt idx="6">
                  <c:v>2011</c:v>
                </c:pt>
                <c:pt idx="7">
                  <c:v>2012</c:v>
                </c:pt>
                <c:pt idx="8">
                  <c:v>2013</c:v>
                </c:pt>
              </c:strCache>
            </c:strRef>
          </c:cat>
          <c:val>
            <c:numRef>
              <c:f>'M graphs'!$E$76:$M$76</c:f>
              <c:numCache>
                <c:formatCode>_-* #,##0_-;\-* #,##0_-;_-* "-"??_-;_-@_-</c:formatCode>
                <c:ptCount val="9"/>
                <c:pt idx="0">
                  <c:v>4305</c:v>
                </c:pt>
                <c:pt idx="1">
                  <c:v>4357</c:v>
                </c:pt>
                <c:pt idx="2">
                  <c:v>4271</c:v>
                </c:pt>
                <c:pt idx="3">
                  <c:v>4139</c:v>
                </c:pt>
                <c:pt idx="4">
                  <c:v>4162</c:v>
                </c:pt>
                <c:pt idx="5">
                  <c:v>4195</c:v>
                </c:pt>
                <c:pt idx="6">
                  <c:v>4288</c:v>
                </c:pt>
                <c:pt idx="7">
                  <c:v>4253</c:v>
                </c:pt>
                <c:pt idx="8">
                  <c:v>4245</c:v>
                </c:pt>
              </c:numCache>
            </c:numRef>
          </c:val>
          <c:smooth val="0"/>
        </c:ser>
        <c:dLbls>
          <c:showLegendKey val="0"/>
          <c:showVal val="0"/>
          <c:showCatName val="0"/>
          <c:showSerName val="0"/>
          <c:showPercent val="0"/>
          <c:showBubbleSize val="0"/>
        </c:dLbls>
        <c:marker val="1"/>
        <c:smooth val="0"/>
        <c:axId val="120015488"/>
        <c:axId val="120025472"/>
      </c:lineChart>
      <c:lineChart>
        <c:grouping val="standard"/>
        <c:varyColors val="0"/>
        <c:ser>
          <c:idx val="0"/>
          <c:order val="1"/>
          <c:tx>
            <c:strRef>
              <c:f>'M graphs'!$D$77</c:f>
              <c:strCache>
                <c:ptCount val="1"/>
                <c:pt idx="0">
                  <c:v>No. of supplying countries (right axis)</c:v>
                </c:pt>
              </c:strCache>
            </c:strRef>
          </c:tx>
          <c:spPr>
            <a:ln>
              <a:solidFill>
                <a:schemeClr val="accent5"/>
              </a:solidFill>
            </a:ln>
          </c:spPr>
          <c:marker>
            <c:symbol val="none"/>
          </c:marker>
          <c:val>
            <c:numRef>
              <c:f>'M graphs'!$E$77:$M$77</c:f>
              <c:numCache>
                <c:formatCode>General</c:formatCode>
                <c:ptCount val="9"/>
                <c:pt idx="0">
                  <c:v>168</c:v>
                </c:pt>
                <c:pt idx="1">
                  <c:v>163</c:v>
                </c:pt>
                <c:pt idx="2">
                  <c:v>167</c:v>
                </c:pt>
                <c:pt idx="3">
                  <c:v>180</c:v>
                </c:pt>
                <c:pt idx="4">
                  <c:v>182</c:v>
                </c:pt>
                <c:pt idx="5">
                  <c:v>177</c:v>
                </c:pt>
                <c:pt idx="6">
                  <c:v>174</c:v>
                </c:pt>
                <c:pt idx="7">
                  <c:v>173</c:v>
                </c:pt>
                <c:pt idx="8">
                  <c:v>173</c:v>
                </c:pt>
              </c:numCache>
            </c:numRef>
          </c:val>
          <c:smooth val="0"/>
        </c:ser>
        <c:dLbls>
          <c:showLegendKey val="0"/>
          <c:showVal val="0"/>
          <c:showCatName val="0"/>
          <c:showSerName val="0"/>
          <c:showPercent val="0"/>
          <c:showBubbleSize val="0"/>
        </c:dLbls>
        <c:marker val="1"/>
        <c:smooth val="0"/>
        <c:axId val="120028544"/>
        <c:axId val="120027008"/>
      </c:lineChart>
      <c:catAx>
        <c:axId val="120015488"/>
        <c:scaling>
          <c:orientation val="minMax"/>
        </c:scaling>
        <c:delete val="0"/>
        <c:axPos val="b"/>
        <c:majorTickMark val="out"/>
        <c:minorTickMark val="none"/>
        <c:tickLblPos val="nextTo"/>
        <c:crossAx val="120025472"/>
        <c:crosses val="autoZero"/>
        <c:auto val="1"/>
        <c:lblAlgn val="ctr"/>
        <c:lblOffset val="100"/>
        <c:noMultiLvlLbl val="0"/>
      </c:catAx>
      <c:valAx>
        <c:axId val="120025472"/>
        <c:scaling>
          <c:orientation val="minMax"/>
        </c:scaling>
        <c:delete val="0"/>
        <c:axPos val="l"/>
        <c:majorGridlines/>
        <c:numFmt formatCode="_-* #,##0_-;\-* #,##0_-;_-* &quot;-&quot;??_-;_-@_-" sourceLinked="1"/>
        <c:majorTickMark val="out"/>
        <c:minorTickMark val="none"/>
        <c:tickLblPos val="nextTo"/>
        <c:crossAx val="120015488"/>
        <c:crosses val="autoZero"/>
        <c:crossBetween val="between"/>
      </c:valAx>
      <c:valAx>
        <c:axId val="120027008"/>
        <c:scaling>
          <c:orientation val="minMax"/>
          <c:min val="160"/>
        </c:scaling>
        <c:delete val="0"/>
        <c:axPos val="r"/>
        <c:numFmt formatCode="General" sourceLinked="1"/>
        <c:majorTickMark val="out"/>
        <c:minorTickMark val="none"/>
        <c:tickLblPos val="nextTo"/>
        <c:crossAx val="120028544"/>
        <c:crosses val="max"/>
        <c:crossBetween val="between"/>
      </c:valAx>
      <c:catAx>
        <c:axId val="120028544"/>
        <c:scaling>
          <c:orientation val="minMax"/>
        </c:scaling>
        <c:delete val="1"/>
        <c:axPos val="b"/>
        <c:majorTickMark val="out"/>
        <c:minorTickMark val="none"/>
        <c:tickLblPos val="nextTo"/>
        <c:crossAx val="120027008"/>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Tanzania!$B$3</c:f>
              <c:strCache>
                <c:ptCount val="1"/>
                <c:pt idx="0">
                  <c:v>1996-2011</c:v>
                </c:pt>
              </c:strCache>
            </c:strRef>
          </c:tx>
          <c:invertIfNegative val="0"/>
          <c:cat>
            <c:strRef>
              <c:f>Tanzania!$A$4:$A$6</c:f>
              <c:strCache>
                <c:ptCount val="3"/>
                <c:pt idx="0">
                  <c:v>DVA</c:v>
                </c:pt>
                <c:pt idx="1">
                  <c:v>FVA</c:v>
                </c:pt>
                <c:pt idx="2">
                  <c:v>Exports</c:v>
                </c:pt>
              </c:strCache>
            </c:strRef>
          </c:cat>
          <c:val>
            <c:numRef>
              <c:f>Tanzania!$B$4:$B$6</c:f>
              <c:numCache>
                <c:formatCode>0.0%</c:formatCode>
                <c:ptCount val="3"/>
                <c:pt idx="0">
                  <c:v>5.4065287897804293E-2</c:v>
                </c:pt>
                <c:pt idx="1">
                  <c:v>0.12712152127254273</c:v>
                </c:pt>
                <c:pt idx="2">
                  <c:v>5.9164466749686229E-2</c:v>
                </c:pt>
              </c:numCache>
            </c:numRef>
          </c:val>
        </c:ser>
        <c:ser>
          <c:idx val="1"/>
          <c:order val="1"/>
          <c:tx>
            <c:strRef>
              <c:f>Tanzania!$C$3</c:f>
              <c:strCache>
                <c:ptCount val="1"/>
                <c:pt idx="0">
                  <c:v>2006-2011</c:v>
                </c:pt>
              </c:strCache>
            </c:strRef>
          </c:tx>
          <c:spPr>
            <a:solidFill>
              <a:schemeClr val="accent6"/>
            </a:solidFill>
          </c:spPr>
          <c:invertIfNegative val="0"/>
          <c:cat>
            <c:strRef>
              <c:f>Tanzania!$A$4:$A$6</c:f>
              <c:strCache>
                <c:ptCount val="3"/>
                <c:pt idx="0">
                  <c:v>DVA</c:v>
                </c:pt>
                <c:pt idx="1">
                  <c:v>FVA</c:v>
                </c:pt>
                <c:pt idx="2">
                  <c:v>Exports</c:v>
                </c:pt>
              </c:strCache>
            </c:strRef>
          </c:cat>
          <c:val>
            <c:numRef>
              <c:f>Tanzania!$C$4:$C$6</c:f>
              <c:numCache>
                <c:formatCode>0.0%</c:formatCode>
                <c:ptCount val="3"/>
                <c:pt idx="0">
                  <c:v>8.6943388507915609E-2</c:v>
                </c:pt>
                <c:pt idx="1">
                  <c:v>0.20405288531799193</c:v>
                </c:pt>
                <c:pt idx="2">
                  <c:v>9.6153213183470365E-2</c:v>
                </c:pt>
              </c:numCache>
            </c:numRef>
          </c:val>
        </c:ser>
        <c:dLbls>
          <c:showLegendKey val="0"/>
          <c:showVal val="0"/>
          <c:showCatName val="0"/>
          <c:showSerName val="0"/>
          <c:showPercent val="0"/>
          <c:showBubbleSize val="0"/>
        </c:dLbls>
        <c:gapWidth val="150"/>
        <c:axId val="120057856"/>
        <c:axId val="120059392"/>
      </c:barChart>
      <c:catAx>
        <c:axId val="120057856"/>
        <c:scaling>
          <c:orientation val="minMax"/>
        </c:scaling>
        <c:delete val="0"/>
        <c:axPos val="b"/>
        <c:majorTickMark val="out"/>
        <c:minorTickMark val="none"/>
        <c:tickLblPos val="nextTo"/>
        <c:crossAx val="120059392"/>
        <c:crosses val="autoZero"/>
        <c:auto val="1"/>
        <c:lblAlgn val="ctr"/>
        <c:lblOffset val="100"/>
        <c:noMultiLvlLbl val="0"/>
      </c:catAx>
      <c:valAx>
        <c:axId val="120059392"/>
        <c:scaling>
          <c:orientation val="minMax"/>
        </c:scaling>
        <c:delete val="0"/>
        <c:axPos val="l"/>
        <c:majorGridlines/>
        <c:numFmt formatCode="0%" sourceLinked="0"/>
        <c:majorTickMark val="out"/>
        <c:minorTickMark val="none"/>
        <c:tickLblPos val="nextTo"/>
        <c:crossAx val="120057856"/>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1991-2000</a:t>
            </a:r>
          </a:p>
        </c:rich>
      </c:tx>
      <c:overlay val="0"/>
    </c:title>
    <c:autoTitleDeleted val="0"/>
    <c:plotArea>
      <c:layout/>
      <c:bubbleChart>
        <c:varyColors val="0"/>
        <c:ser>
          <c:idx val="0"/>
          <c:order val="0"/>
          <c:tx>
            <c:v>Agriculture</c:v>
          </c:tx>
          <c:spPr>
            <a:solidFill>
              <a:srgbClr val="13CF44"/>
            </a:solidFill>
          </c:spPr>
          <c:invertIfNegative val="0"/>
          <c:xVal>
            <c:numRef>
              <c:f>'Rel. prod. cf employment'!$B$6</c:f>
              <c:numCache>
                <c:formatCode>#,##0.0_ ;\-#,##0.0\ </c:formatCode>
                <c:ptCount val="1"/>
                <c:pt idx="0">
                  <c:v>0.70833803702399223</c:v>
                </c:pt>
              </c:numCache>
            </c:numRef>
          </c:xVal>
          <c:yVal>
            <c:numRef>
              <c:f>'Rel. prod. cf employment'!$C$6</c:f>
              <c:numCache>
                <c:formatCode>#,##0.0_ ;\-#,##0.0\ </c:formatCode>
                <c:ptCount val="1"/>
                <c:pt idx="0">
                  <c:v>0.42441331223034695</c:v>
                </c:pt>
              </c:numCache>
            </c:numRef>
          </c:yVal>
          <c:bubbleSize>
            <c:numRef>
              <c:f>'Rel. prod. cf employment'!$E$6</c:f>
              <c:numCache>
                <c:formatCode>#,##0_ ;\-#,##0\ </c:formatCode>
                <c:ptCount val="1"/>
                <c:pt idx="0">
                  <c:v>12572</c:v>
                </c:pt>
              </c:numCache>
            </c:numRef>
          </c:bubbleSize>
          <c:bubble3D val="1"/>
        </c:ser>
        <c:ser>
          <c:idx val="1"/>
          <c:order val="1"/>
          <c:tx>
            <c:v>Mining &amp; utilities</c:v>
          </c:tx>
          <c:spPr>
            <a:solidFill>
              <a:srgbClr val="000000"/>
            </a:solidFill>
            <a:ln w="25400">
              <a:noFill/>
            </a:ln>
          </c:spPr>
          <c:invertIfNegative val="0"/>
          <c:xVal>
            <c:numRef>
              <c:f>'Rel. prod. cf employment'!$B$7</c:f>
              <c:numCache>
                <c:formatCode>#,##0.0_ ;\-#,##0.0\ </c:formatCode>
                <c:ptCount val="1"/>
                <c:pt idx="0">
                  <c:v>-0.62809489243166794</c:v>
                </c:pt>
              </c:numCache>
            </c:numRef>
          </c:xVal>
          <c:yVal>
            <c:numRef>
              <c:f>'Rel. prod. cf employment'!$C$7</c:f>
              <c:numCache>
                <c:formatCode>#,##0.0_ ;\-#,##0.0\ </c:formatCode>
                <c:ptCount val="1"/>
                <c:pt idx="0">
                  <c:v>12.793562164000218</c:v>
                </c:pt>
              </c:numCache>
            </c:numRef>
          </c:yVal>
          <c:bubbleSize>
            <c:numRef>
              <c:f>'Rel. prod. cf employment'!$E$7</c:f>
              <c:numCache>
                <c:formatCode>#,##0_ ;\-#,##0\ </c:formatCode>
                <c:ptCount val="1"/>
                <c:pt idx="0">
                  <c:v>48</c:v>
                </c:pt>
              </c:numCache>
            </c:numRef>
          </c:bubbleSize>
          <c:bubble3D val="1"/>
        </c:ser>
        <c:ser>
          <c:idx val="2"/>
          <c:order val="2"/>
          <c:tx>
            <c:v>Manufacturing</c:v>
          </c:tx>
          <c:spPr>
            <a:solidFill>
              <a:srgbClr val="CC6600"/>
            </a:solidFill>
            <a:ln w="25400">
              <a:noFill/>
            </a:ln>
          </c:spPr>
          <c:invertIfNegative val="0"/>
          <c:xVal>
            <c:numRef>
              <c:f>'Rel. prod. cf employment'!$B$8</c:f>
              <c:numCache>
                <c:formatCode>#,##0.0_ ;\-#,##0.0\ </c:formatCode>
                <c:ptCount val="1"/>
                <c:pt idx="0">
                  <c:v>-0.54307186475574309</c:v>
                </c:pt>
              </c:numCache>
            </c:numRef>
          </c:xVal>
          <c:yVal>
            <c:numRef>
              <c:f>'Rel. prod. cf employment'!$C$8</c:f>
              <c:numCache>
                <c:formatCode>#,##0.0_ ;\-#,##0.0\ </c:formatCode>
                <c:ptCount val="1"/>
                <c:pt idx="0">
                  <c:v>4.7633023069320881</c:v>
                </c:pt>
              </c:numCache>
            </c:numRef>
          </c:yVal>
          <c:bubbleSize>
            <c:numRef>
              <c:f>'Rel. prod. cf employment'!$E$8</c:f>
              <c:numCache>
                <c:formatCode>#,##0_ ;\-#,##0\ </c:formatCode>
                <c:ptCount val="1"/>
                <c:pt idx="0">
                  <c:v>240</c:v>
                </c:pt>
              </c:numCache>
            </c:numRef>
          </c:bubbleSize>
          <c:bubble3D val="1"/>
        </c:ser>
        <c:ser>
          <c:idx val="3"/>
          <c:order val="3"/>
          <c:tx>
            <c:v>Construction</c:v>
          </c:tx>
          <c:spPr>
            <a:solidFill>
              <a:srgbClr val="FFFF00"/>
            </a:solidFill>
            <a:ln w="25400">
              <a:noFill/>
            </a:ln>
          </c:spPr>
          <c:invertIfNegative val="0"/>
          <c:xVal>
            <c:numRef>
              <c:f>'Rel. prod. cf employment'!$B$9</c:f>
              <c:numCache>
                <c:formatCode>#,##0.0_ ;\-#,##0.0\ </c:formatCode>
                <c:ptCount val="1"/>
                <c:pt idx="0">
                  <c:v>8.8249667923437136E-2</c:v>
                </c:pt>
              </c:numCache>
            </c:numRef>
          </c:xVal>
          <c:yVal>
            <c:numRef>
              <c:f>'Rel. prod. cf employment'!$C$9</c:f>
              <c:numCache>
                <c:formatCode>#,##0.0_ ;\-#,##0.0\ </c:formatCode>
                <c:ptCount val="1"/>
                <c:pt idx="0">
                  <c:v>8.0940887728023689</c:v>
                </c:pt>
              </c:numCache>
            </c:numRef>
          </c:yVal>
          <c:bubbleSize>
            <c:numRef>
              <c:f>'Rel. prod. cf employment'!$E$9</c:f>
              <c:numCache>
                <c:formatCode>#,##0_ ;\-#,##0\ </c:formatCode>
                <c:ptCount val="1"/>
                <c:pt idx="0">
                  <c:v>133</c:v>
                </c:pt>
              </c:numCache>
            </c:numRef>
          </c:bubbleSize>
          <c:bubble3D val="1"/>
        </c:ser>
        <c:ser>
          <c:idx val="4"/>
          <c:order val="4"/>
          <c:tx>
            <c:v>Wholesale, retail, hotels</c:v>
          </c:tx>
          <c:spPr>
            <a:solidFill>
              <a:srgbClr val="6666FF"/>
            </a:solidFill>
            <a:ln w="25400">
              <a:noFill/>
            </a:ln>
          </c:spPr>
          <c:invertIfNegative val="0"/>
          <c:xVal>
            <c:numRef>
              <c:f>'Rel. prod. cf employment'!$B$10</c:f>
              <c:numCache>
                <c:formatCode>#,##0.0_ ;\-#,##0.0\ </c:formatCode>
                <c:ptCount val="1"/>
                <c:pt idx="0">
                  <c:v>0.2882518575214057</c:v>
                </c:pt>
              </c:numCache>
            </c:numRef>
          </c:xVal>
          <c:yVal>
            <c:numRef>
              <c:f>'Rel. prod. cf employment'!$C$10</c:f>
              <c:numCache>
                <c:formatCode>#,##0.0_ ;\-#,##0.0\ </c:formatCode>
                <c:ptCount val="1"/>
                <c:pt idx="0">
                  <c:v>1.1770839304908742</c:v>
                </c:pt>
              </c:numCache>
            </c:numRef>
          </c:yVal>
          <c:bubbleSize>
            <c:numRef>
              <c:f>'Rel. prod. cf employment'!$E$10</c:f>
              <c:numCache>
                <c:formatCode>#,##0_ ;\-#,##0\ </c:formatCode>
                <c:ptCount val="1"/>
                <c:pt idx="0">
                  <c:v>1602</c:v>
                </c:pt>
              </c:numCache>
            </c:numRef>
          </c:bubbleSize>
          <c:bubble3D val="1"/>
        </c:ser>
        <c:ser>
          <c:idx val="5"/>
          <c:order val="5"/>
          <c:tx>
            <c:v>Transport, storage, comms</c:v>
          </c:tx>
          <c:spPr>
            <a:solidFill>
              <a:srgbClr val="66FFFF"/>
            </a:solidFill>
            <a:ln w="25400">
              <a:noFill/>
            </a:ln>
          </c:spPr>
          <c:invertIfNegative val="0"/>
          <c:xVal>
            <c:numRef>
              <c:f>'Rel. prod. cf employment'!$B$11</c:f>
              <c:numCache>
                <c:formatCode>#,##0.0_ ;\-#,##0.0\ </c:formatCode>
                <c:ptCount val="1"/>
                <c:pt idx="0">
                  <c:v>-0.24296956886326082</c:v>
                </c:pt>
              </c:numCache>
            </c:numRef>
          </c:xVal>
          <c:yVal>
            <c:numRef>
              <c:f>'Rel. prod. cf employment'!$C$11</c:f>
              <c:numCache>
                <c:formatCode>#,##0.0_ ;\-#,##0.0\ </c:formatCode>
                <c:ptCount val="1"/>
                <c:pt idx="0">
                  <c:v>11.294370620811256</c:v>
                </c:pt>
              </c:numCache>
            </c:numRef>
          </c:yVal>
          <c:bubbleSize>
            <c:numRef>
              <c:f>'Rel. prod. cf employment'!$E$11</c:f>
              <c:numCache>
                <c:formatCode>#,##0_ ;\-#,##0\ </c:formatCode>
                <c:ptCount val="1"/>
                <c:pt idx="0">
                  <c:v>109</c:v>
                </c:pt>
              </c:numCache>
            </c:numRef>
          </c:bubbleSize>
          <c:bubble3D val="1"/>
        </c:ser>
        <c:ser>
          <c:idx val="6"/>
          <c:order val="6"/>
          <c:tx>
            <c:v>Other</c:v>
          </c:tx>
          <c:spPr>
            <a:solidFill>
              <a:srgbClr val="FF00FF"/>
            </a:solidFill>
            <a:ln w="25400">
              <a:noFill/>
            </a:ln>
          </c:spPr>
          <c:invertIfNegative val="0"/>
          <c:xVal>
            <c:numRef>
              <c:f>'Rel. prod. cf employment'!$B$12</c:f>
              <c:numCache>
                <c:formatCode>#,##0.0_ ;\-#,##0.0\ </c:formatCode>
                <c:ptCount val="1"/>
                <c:pt idx="0">
                  <c:v>0.32929676358185223</c:v>
                </c:pt>
              </c:numCache>
            </c:numRef>
          </c:xVal>
          <c:yVal>
            <c:numRef>
              <c:f>'Rel. prod. cf employment'!$C$12</c:f>
              <c:numCache>
                <c:formatCode>#,##0.0_ ;\-#,##0.0\ </c:formatCode>
                <c:ptCount val="1"/>
                <c:pt idx="0">
                  <c:v>4.0111926343672639</c:v>
                </c:pt>
              </c:numCache>
            </c:numRef>
          </c:yVal>
          <c:bubbleSize>
            <c:numRef>
              <c:f>'Rel. prod. cf employment'!$E$12</c:f>
              <c:numCache>
                <c:formatCode>#,##0_ ;\-#,##0\ </c:formatCode>
                <c:ptCount val="1"/>
                <c:pt idx="0">
                  <c:v>1135</c:v>
                </c:pt>
              </c:numCache>
            </c:numRef>
          </c:bubbleSize>
          <c:bubble3D val="1"/>
        </c:ser>
        <c:dLbls>
          <c:showLegendKey val="0"/>
          <c:showVal val="0"/>
          <c:showCatName val="0"/>
          <c:showSerName val="0"/>
          <c:showPercent val="0"/>
          <c:showBubbleSize val="0"/>
        </c:dLbls>
        <c:bubbleScale val="100"/>
        <c:showNegBubbles val="0"/>
        <c:axId val="90104192"/>
        <c:axId val="90106112"/>
      </c:bubbleChart>
      <c:valAx>
        <c:axId val="90104192"/>
        <c:scaling>
          <c:orientation val="minMax"/>
        </c:scaling>
        <c:delete val="0"/>
        <c:axPos val="b"/>
        <c:title>
          <c:tx>
            <c:rich>
              <a:bodyPr/>
              <a:lstStyle/>
              <a:p>
                <a:pPr>
                  <a:defRPr sz="800" b="0"/>
                </a:pPr>
                <a:r>
                  <a:rPr lang="en-US" sz="800" b="0"/>
                  <a:t>Percentage point change in employment</a:t>
                </a:r>
                <a:r>
                  <a:rPr lang="en-US" sz="800" b="0" baseline="0"/>
                  <a:t> share</a:t>
                </a:r>
                <a:r>
                  <a:rPr lang="en-US" sz="800" b="0"/>
                  <a:t>, 1991-2000</a:t>
                </a:r>
              </a:p>
            </c:rich>
          </c:tx>
          <c:overlay val="0"/>
        </c:title>
        <c:numFmt formatCode="#,##0.0_ ;\-#,##0.0\ " sourceLinked="1"/>
        <c:majorTickMark val="out"/>
        <c:minorTickMark val="none"/>
        <c:tickLblPos val="low"/>
        <c:crossAx val="90106112"/>
        <c:crosses val="autoZero"/>
        <c:crossBetween val="midCat"/>
      </c:valAx>
      <c:valAx>
        <c:axId val="90106112"/>
        <c:scaling>
          <c:orientation val="minMax"/>
        </c:scaling>
        <c:delete val="0"/>
        <c:axPos val="l"/>
        <c:majorGridlines/>
        <c:title>
          <c:tx>
            <c:rich>
              <a:bodyPr rot="-5400000" vert="horz"/>
              <a:lstStyle/>
              <a:p>
                <a:pPr>
                  <a:defRPr sz="800" b="0"/>
                </a:pPr>
                <a:r>
                  <a:rPr lang="en-US" sz="800" b="0"/>
                  <a:t>Relative productivity level, 2000</a:t>
                </a:r>
              </a:p>
            </c:rich>
          </c:tx>
          <c:overlay val="0"/>
        </c:title>
        <c:numFmt formatCode="#,##0.0_ ;\-#,##0.0\ " sourceLinked="1"/>
        <c:majorTickMark val="out"/>
        <c:minorTickMark val="none"/>
        <c:tickLblPos val="low"/>
        <c:crossAx val="90104192"/>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graphs'!$A$25</c:f>
              <c:strCache>
                <c:ptCount val="1"/>
                <c:pt idx="0">
                  <c:v>DVA</c:v>
                </c:pt>
              </c:strCache>
            </c:strRef>
          </c:tx>
          <c:invertIfNegative val="0"/>
          <c:cat>
            <c:numRef>
              <c:f>'DVA-FVA graphs'!$B$24:$E$24</c:f>
              <c:numCache>
                <c:formatCode>General</c:formatCode>
                <c:ptCount val="4"/>
                <c:pt idx="0">
                  <c:v>1996</c:v>
                </c:pt>
                <c:pt idx="1">
                  <c:v>2000</c:v>
                </c:pt>
                <c:pt idx="2">
                  <c:v>2006</c:v>
                </c:pt>
                <c:pt idx="3">
                  <c:v>2011</c:v>
                </c:pt>
              </c:numCache>
            </c:numRef>
          </c:cat>
          <c:val>
            <c:numRef>
              <c:f>'DVA-FVA graphs'!$B$25:$E$25</c:f>
              <c:numCache>
                <c:formatCode>0.0%</c:formatCode>
                <c:ptCount val="4"/>
                <c:pt idx="0">
                  <c:v>0.87292274596121766</c:v>
                </c:pt>
                <c:pt idx="1">
                  <c:v>0.88190559158611959</c:v>
                </c:pt>
                <c:pt idx="2">
                  <c:v>0.80744305442124165</c:v>
                </c:pt>
                <c:pt idx="3">
                  <c:v>0.71542132444747009</c:v>
                </c:pt>
              </c:numCache>
            </c:numRef>
          </c:val>
        </c:ser>
        <c:ser>
          <c:idx val="1"/>
          <c:order val="1"/>
          <c:tx>
            <c:strRef>
              <c:f>'DVA-FVA graphs'!$A$26</c:f>
              <c:strCache>
                <c:ptCount val="1"/>
                <c:pt idx="0">
                  <c:v>FVA</c:v>
                </c:pt>
              </c:strCache>
            </c:strRef>
          </c:tx>
          <c:spPr>
            <a:solidFill>
              <a:schemeClr val="accent6"/>
            </a:solidFill>
          </c:spPr>
          <c:invertIfNegative val="0"/>
          <c:cat>
            <c:numRef>
              <c:f>'DVA-FVA graphs'!$B$24:$E$24</c:f>
              <c:numCache>
                <c:formatCode>General</c:formatCode>
                <c:ptCount val="4"/>
                <c:pt idx="0">
                  <c:v>1996</c:v>
                </c:pt>
                <c:pt idx="1">
                  <c:v>2000</c:v>
                </c:pt>
                <c:pt idx="2">
                  <c:v>2006</c:v>
                </c:pt>
                <c:pt idx="3">
                  <c:v>2011</c:v>
                </c:pt>
              </c:numCache>
            </c:numRef>
          </c:cat>
          <c:val>
            <c:numRef>
              <c:f>'DVA-FVA graphs'!$B$26:$E$26</c:f>
              <c:numCache>
                <c:formatCode>0.0%</c:formatCode>
                <c:ptCount val="4"/>
                <c:pt idx="0">
                  <c:v>0.12707725403878226</c:v>
                </c:pt>
                <c:pt idx="1">
                  <c:v>0.11809440841388044</c:v>
                </c:pt>
                <c:pt idx="2">
                  <c:v>0.19255694557875841</c:v>
                </c:pt>
                <c:pt idx="3">
                  <c:v>0.28457867555252991</c:v>
                </c:pt>
              </c:numCache>
            </c:numRef>
          </c:val>
        </c:ser>
        <c:dLbls>
          <c:showLegendKey val="0"/>
          <c:showVal val="0"/>
          <c:showCatName val="0"/>
          <c:showSerName val="0"/>
          <c:showPercent val="0"/>
          <c:showBubbleSize val="0"/>
        </c:dLbls>
        <c:gapWidth val="150"/>
        <c:axId val="120149888"/>
        <c:axId val="120151424"/>
      </c:barChart>
      <c:catAx>
        <c:axId val="120149888"/>
        <c:scaling>
          <c:orientation val="minMax"/>
        </c:scaling>
        <c:delete val="0"/>
        <c:axPos val="b"/>
        <c:numFmt formatCode="General" sourceLinked="1"/>
        <c:majorTickMark val="out"/>
        <c:minorTickMark val="none"/>
        <c:tickLblPos val="nextTo"/>
        <c:crossAx val="120151424"/>
        <c:crosses val="autoZero"/>
        <c:auto val="1"/>
        <c:lblAlgn val="ctr"/>
        <c:lblOffset val="100"/>
        <c:noMultiLvlLbl val="0"/>
      </c:catAx>
      <c:valAx>
        <c:axId val="120151424"/>
        <c:scaling>
          <c:orientation val="minMax"/>
        </c:scaling>
        <c:delete val="0"/>
        <c:axPos val="l"/>
        <c:majorGridlines/>
        <c:numFmt formatCode="0%" sourceLinked="0"/>
        <c:majorTickMark val="out"/>
        <c:minorTickMark val="none"/>
        <c:tickLblPos val="nextTo"/>
        <c:crossAx val="120149888"/>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Tanzania!$A$27</c:f>
              <c:strCache>
                <c:ptCount val="1"/>
                <c:pt idx="0">
                  <c:v>DVA</c:v>
                </c:pt>
              </c:strCache>
            </c:strRef>
          </c:tx>
          <c:invertIfNegative val="0"/>
          <c:cat>
            <c:numRef>
              <c:f>Tanzania!$B$26:$E$26</c:f>
              <c:numCache>
                <c:formatCode>General</c:formatCode>
                <c:ptCount val="4"/>
                <c:pt idx="0">
                  <c:v>1996</c:v>
                </c:pt>
                <c:pt idx="1">
                  <c:v>2000</c:v>
                </c:pt>
                <c:pt idx="2">
                  <c:v>2006</c:v>
                </c:pt>
                <c:pt idx="3">
                  <c:v>2011</c:v>
                </c:pt>
              </c:numCache>
            </c:numRef>
          </c:cat>
          <c:val>
            <c:numRef>
              <c:f>Tanzania!$B$27:$E$27</c:f>
              <c:numCache>
                <c:formatCode>_-* #,##0_-;\-* #,##0_-;_-* "-"??_-;_-@_-</c:formatCode>
                <c:ptCount val="4"/>
                <c:pt idx="0">
                  <c:v>690724.83735715703</c:v>
                </c:pt>
                <c:pt idx="1">
                  <c:v>756508.00224428799</c:v>
                </c:pt>
                <c:pt idx="2">
                  <c:v>1002958.86116995</c:v>
                </c:pt>
                <c:pt idx="3">
                  <c:v>1521660.4254781101</c:v>
                </c:pt>
              </c:numCache>
            </c:numRef>
          </c:val>
        </c:ser>
        <c:ser>
          <c:idx val="1"/>
          <c:order val="1"/>
          <c:tx>
            <c:strRef>
              <c:f>Tanzania!$A$28</c:f>
              <c:strCache>
                <c:ptCount val="1"/>
                <c:pt idx="0">
                  <c:v>FVA</c:v>
                </c:pt>
              </c:strCache>
            </c:strRef>
          </c:tx>
          <c:spPr>
            <a:solidFill>
              <a:schemeClr val="accent6"/>
            </a:solidFill>
          </c:spPr>
          <c:invertIfNegative val="0"/>
          <c:cat>
            <c:numRef>
              <c:f>Tanzania!$B$26:$E$26</c:f>
              <c:numCache>
                <c:formatCode>General</c:formatCode>
                <c:ptCount val="4"/>
                <c:pt idx="0">
                  <c:v>1996</c:v>
                </c:pt>
                <c:pt idx="1">
                  <c:v>2000</c:v>
                </c:pt>
                <c:pt idx="2">
                  <c:v>2006</c:v>
                </c:pt>
                <c:pt idx="3">
                  <c:v>2011</c:v>
                </c:pt>
              </c:numCache>
            </c:numRef>
          </c:cat>
          <c:val>
            <c:numRef>
              <c:f>Tanzania!$B$28:$E$28</c:f>
              <c:numCache>
                <c:formatCode>_-* #,##0_-;\-* #,##0_-;_-* "-"??_-;_-@_-</c:formatCode>
                <c:ptCount val="4"/>
                <c:pt idx="0">
                  <c:v>100553.4751315</c:v>
                </c:pt>
                <c:pt idx="1">
                  <c:v>101302.640370754</c:v>
                </c:pt>
                <c:pt idx="2">
                  <c:v>239183.052960267</c:v>
                </c:pt>
                <c:pt idx="3">
                  <c:v>605282.64076793694</c:v>
                </c:pt>
              </c:numCache>
            </c:numRef>
          </c:val>
        </c:ser>
        <c:dLbls>
          <c:showLegendKey val="0"/>
          <c:showVal val="0"/>
          <c:showCatName val="0"/>
          <c:showSerName val="0"/>
          <c:showPercent val="0"/>
          <c:showBubbleSize val="0"/>
        </c:dLbls>
        <c:gapWidth val="150"/>
        <c:axId val="120189312"/>
        <c:axId val="120190848"/>
      </c:barChart>
      <c:catAx>
        <c:axId val="120189312"/>
        <c:scaling>
          <c:orientation val="minMax"/>
        </c:scaling>
        <c:delete val="0"/>
        <c:axPos val="b"/>
        <c:numFmt formatCode="General" sourceLinked="1"/>
        <c:majorTickMark val="out"/>
        <c:minorTickMark val="none"/>
        <c:tickLblPos val="nextTo"/>
        <c:crossAx val="120190848"/>
        <c:crosses val="autoZero"/>
        <c:auto val="1"/>
        <c:lblAlgn val="ctr"/>
        <c:lblOffset val="100"/>
        <c:noMultiLvlLbl val="0"/>
      </c:catAx>
      <c:valAx>
        <c:axId val="120190848"/>
        <c:scaling>
          <c:orientation val="minMax"/>
        </c:scaling>
        <c:delete val="0"/>
        <c:axPos val="l"/>
        <c:majorGridlines/>
        <c:numFmt formatCode="_-* #,##0_-;\-* #,##0_-;_-* &quot;-&quot;??_-;_-@_-" sourceLinked="1"/>
        <c:majorTickMark val="out"/>
        <c:minorTickMark val="none"/>
        <c:tickLblPos val="nextTo"/>
        <c:crossAx val="120189312"/>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Tanzania!$B$34</c:f>
              <c:strCache>
                <c:ptCount val="1"/>
                <c:pt idx="0">
                  <c:v>1996-2011</c:v>
                </c:pt>
              </c:strCache>
            </c:strRef>
          </c:tx>
          <c:invertIfNegative val="0"/>
          <c:cat>
            <c:strRef>
              <c:f>Tanzania!$A$35:$A$49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Tanzania!$B$35:$B$49</c:f>
              <c:numCache>
                <c:formatCode>0.0%</c:formatCode>
                <c:ptCount val="15"/>
                <c:pt idx="0">
                  <c:v>2.8553983134171013E-2</c:v>
                </c:pt>
                <c:pt idx="1">
                  <c:v>9.4875812286772554E-2</c:v>
                </c:pt>
                <c:pt idx="2">
                  <c:v>6.4259543450233547E-2</c:v>
                </c:pt>
                <c:pt idx="3">
                  <c:v>6.4445703482753913E-2</c:v>
                </c:pt>
                <c:pt idx="4">
                  <c:v>3.5213802567547692E-2</c:v>
                </c:pt>
                <c:pt idx="5">
                  <c:v>8.1937056851839607E-2</c:v>
                </c:pt>
                <c:pt idx="6">
                  <c:v>8.0677806884100534E-2</c:v>
                </c:pt>
                <c:pt idx="7">
                  <c:v>5.3669491341664655E-2</c:v>
                </c:pt>
                <c:pt idx="8">
                  <c:v>4.3000849575025146E-2</c:v>
                </c:pt>
                <c:pt idx="9">
                  <c:v>9.2840095734222139E-2</c:v>
                </c:pt>
                <c:pt idx="10">
                  <c:v>0.10532037064836808</c:v>
                </c:pt>
                <c:pt idx="11">
                  <c:v>2.1736202600791454E-2</c:v>
                </c:pt>
                <c:pt idx="12">
                  <c:v>6.9924645909487104E-2</c:v>
                </c:pt>
                <c:pt idx="13">
                  <c:v>6.3130732827817004E-2</c:v>
                </c:pt>
                <c:pt idx="14">
                  <c:v>7.4843076860976909E-2</c:v>
                </c:pt>
              </c:numCache>
            </c:numRef>
          </c:val>
        </c:ser>
        <c:ser>
          <c:idx val="1"/>
          <c:order val="1"/>
          <c:tx>
            <c:strRef>
              <c:f>Tanzania!$C$34</c:f>
              <c:strCache>
                <c:ptCount val="1"/>
                <c:pt idx="0">
                  <c:v>2006-2011</c:v>
                </c:pt>
              </c:strCache>
            </c:strRef>
          </c:tx>
          <c:spPr>
            <a:solidFill>
              <a:schemeClr val="accent6"/>
            </a:solidFill>
          </c:spPr>
          <c:invertIfNegative val="0"/>
          <c:cat>
            <c:strRef>
              <c:f>Tanzania!$A$35:$A$49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Tanzania!$C$35:$C$49</c:f>
              <c:numCache>
                <c:formatCode>0.0%</c:formatCode>
                <c:ptCount val="15"/>
                <c:pt idx="0">
                  <c:v>3.9101255181905215E-2</c:v>
                </c:pt>
                <c:pt idx="1">
                  <c:v>0.16386142465500497</c:v>
                </c:pt>
                <c:pt idx="2">
                  <c:v>0.11604253258855213</c:v>
                </c:pt>
                <c:pt idx="3">
                  <c:v>0.12245490822337679</c:v>
                </c:pt>
                <c:pt idx="4">
                  <c:v>3.4870976589979508E-2</c:v>
                </c:pt>
                <c:pt idx="5">
                  <c:v>0.13233443801542233</c:v>
                </c:pt>
                <c:pt idx="6">
                  <c:v>0.14295407554271899</c:v>
                </c:pt>
                <c:pt idx="7">
                  <c:v>8.123282718188074E-2</c:v>
                </c:pt>
                <c:pt idx="8">
                  <c:v>2.2917565207664303E-2</c:v>
                </c:pt>
                <c:pt idx="9">
                  <c:v>0.17463209916126332</c:v>
                </c:pt>
                <c:pt idx="10">
                  <c:v>0.24568043103481396</c:v>
                </c:pt>
                <c:pt idx="11">
                  <c:v>2.4377439465859352E-2</c:v>
                </c:pt>
                <c:pt idx="12">
                  <c:v>0.10025158188473338</c:v>
                </c:pt>
                <c:pt idx="13">
                  <c:v>8.5333259102944981E-2</c:v>
                </c:pt>
                <c:pt idx="14">
                  <c:v>0.1464491134038024</c:v>
                </c:pt>
              </c:numCache>
            </c:numRef>
          </c:val>
        </c:ser>
        <c:dLbls>
          <c:showLegendKey val="0"/>
          <c:showVal val="0"/>
          <c:showCatName val="0"/>
          <c:showSerName val="0"/>
          <c:showPercent val="0"/>
          <c:showBubbleSize val="0"/>
        </c:dLbls>
        <c:gapWidth val="150"/>
        <c:axId val="120342784"/>
        <c:axId val="120352768"/>
      </c:barChart>
      <c:catAx>
        <c:axId val="120342784"/>
        <c:scaling>
          <c:orientation val="minMax"/>
        </c:scaling>
        <c:delete val="0"/>
        <c:axPos val="b"/>
        <c:majorTickMark val="out"/>
        <c:minorTickMark val="none"/>
        <c:tickLblPos val="nextTo"/>
        <c:spPr>
          <a:ln>
            <a:noFill/>
          </a:ln>
        </c:spPr>
        <c:txPr>
          <a:bodyPr rot="-5400000" vert="horz"/>
          <a:lstStyle/>
          <a:p>
            <a:pPr>
              <a:defRPr sz="700"/>
            </a:pPr>
            <a:endParaRPr lang="en-US"/>
          </a:p>
        </c:txPr>
        <c:crossAx val="120352768"/>
        <c:crosses val="autoZero"/>
        <c:auto val="1"/>
        <c:lblAlgn val="ctr"/>
        <c:lblOffset val="100"/>
        <c:noMultiLvlLbl val="0"/>
      </c:catAx>
      <c:valAx>
        <c:axId val="120352768"/>
        <c:scaling>
          <c:orientation val="minMax"/>
        </c:scaling>
        <c:delete val="0"/>
        <c:axPos val="l"/>
        <c:majorGridlines/>
        <c:numFmt formatCode="0%" sourceLinked="0"/>
        <c:majorTickMark val="out"/>
        <c:minorTickMark val="none"/>
        <c:tickLblPos val="nextTo"/>
        <c:crossAx val="120342784"/>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graphs'!$B$90</c:f>
              <c:strCache>
                <c:ptCount val="1"/>
                <c:pt idx="0">
                  <c:v>2000</c:v>
                </c:pt>
              </c:strCache>
            </c:strRef>
          </c:tx>
          <c:invertIfNegative val="0"/>
          <c:cat>
            <c:strRef>
              <c:f>'DVA-FVA graphs'!$A$91:$A$105</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graphs'!$B$91:$B$105</c:f>
              <c:numCache>
                <c:formatCode>0.0%</c:formatCode>
                <c:ptCount val="15"/>
                <c:pt idx="0">
                  <c:v>0.92532137094987976</c:v>
                </c:pt>
                <c:pt idx="1">
                  <c:v>0.80088674558397477</c:v>
                </c:pt>
                <c:pt idx="2">
                  <c:v>0.96466669793131976</c:v>
                </c:pt>
                <c:pt idx="3">
                  <c:v>0.86833677763500894</c:v>
                </c:pt>
                <c:pt idx="4">
                  <c:v>0.87143362734762098</c:v>
                </c:pt>
                <c:pt idx="5">
                  <c:v>0.9102948407155762</c:v>
                </c:pt>
                <c:pt idx="6">
                  <c:v>0.82720553195660207</c:v>
                </c:pt>
                <c:pt idx="7">
                  <c:v>0.90815458469325483</c:v>
                </c:pt>
                <c:pt idx="8">
                  <c:v>0.82066755319494145</c:v>
                </c:pt>
                <c:pt idx="9">
                  <c:v>0.81084972341486117</c:v>
                </c:pt>
                <c:pt idx="10">
                  <c:v>0.94283328140838563</c:v>
                </c:pt>
                <c:pt idx="11">
                  <c:v>0.82588080879906756</c:v>
                </c:pt>
                <c:pt idx="12">
                  <c:v>0.8951866594346215</c:v>
                </c:pt>
                <c:pt idx="13">
                  <c:v>0.75614260778406883</c:v>
                </c:pt>
                <c:pt idx="14">
                  <c:v>0.85082850643180463</c:v>
                </c:pt>
              </c:numCache>
            </c:numRef>
          </c:val>
        </c:ser>
        <c:ser>
          <c:idx val="1"/>
          <c:order val="1"/>
          <c:tx>
            <c:strRef>
              <c:f>'DVA-FVA graphs'!$C$90</c:f>
              <c:strCache>
                <c:ptCount val="1"/>
                <c:pt idx="0">
                  <c:v>2011</c:v>
                </c:pt>
              </c:strCache>
            </c:strRef>
          </c:tx>
          <c:spPr>
            <a:solidFill>
              <a:schemeClr val="accent6"/>
            </a:solidFill>
          </c:spPr>
          <c:invertIfNegative val="0"/>
          <c:cat>
            <c:strRef>
              <c:f>'DVA-FVA graphs'!$A$91:$A$105</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graphs'!$C$91:$C$105</c:f>
              <c:numCache>
                <c:formatCode>0.0%</c:formatCode>
                <c:ptCount val="15"/>
                <c:pt idx="0">
                  <c:v>0.87425198038483021</c:v>
                </c:pt>
                <c:pt idx="1">
                  <c:v>0.49488734363487774</c:v>
                </c:pt>
                <c:pt idx="2">
                  <c:v>0.91488145558668998</c:v>
                </c:pt>
                <c:pt idx="3">
                  <c:v>0.7479637305151412</c:v>
                </c:pt>
                <c:pt idx="4">
                  <c:v>0.70523776523640447</c:v>
                </c:pt>
                <c:pt idx="5">
                  <c:v>0.77606694309405333</c:v>
                </c:pt>
                <c:pt idx="6">
                  <c:v>0.52182777031542038</c:v>
                </c:pt>
                <c:pt idx="7">
                  <c:v>0.78092588037451638</c:v>
                </c:pt>
                <c:pt idx="8">
                  <c:v>0.55592957560844858</c:v>
                </c:pt>
                <c:pt idx="9">
                  <c:v>0.56914713837095621</c:v>
                </c:pt>
                <c:pt idx="10">
                  <c:v>0.84124340211072268</c:v>
                </c:pt>
                <c:pt idx="11">
                  <c:v>0.62194964192213886</c:v>
                </c:pt>
                <c:pt idx="12">
                  <c:v>0.68699403447428153</c:v>
                </c:pt>
                <c:pt idx="13">
                  <c:v>0.41778635418626309</c:v>
                </c:pt>
                <c:pt idx="14">
                  <c:v>0.60481528583328781</c:v>
                </c:pt>
              </c:numCache>
            </c:numRef>
          </c:val>
        </c:ser>
        <c:dLbls>
          <c:showLegendKey val="0"/>
          <c:showVal val="0"/>
          <c:showCatName val="0"/>
          <c:showSerName val="0"/>
          <c:showPercent val="0"/>
          <c:showBubbleSize val="0"/>
        </c:dLbls>
        <c:gapWidth val="150"/>
        <c:axId val="120369536"/>
        <c:axId val="120371072"/>
      </c:barChart>
      <c:catAx>
        <c:axId val="120369536"/>
        <c:scaling>
          <c:orientation val="minMax"/>
        </c:scaling>
        <c:delete val="0"/>
        <c:axPos val="b"/>
        <c:majorTickMark val="out"/>
        <c:minorTickMark val="none"/>
        <c:tickLblPos val="nextTo"/>
        <c:txPr>
          <a:bodyPr rot="-5400000" vert="horz"/>
          <a:lstStyle/>
          <a:p>
            <a:pPr>
              <a:defRPr sz="700"/>
            </a:pPr>
            <a:endParaRPr lang="en-US"/>
          </a:p>
        </c:txPr>
        <c:crossAx val="120371072"/>
        <c:crosses val="autoZero"/>
        <c:auto val="1"/>
        <c:lblAlgn val="ctr"/>
        <c:lblOffset val="100"/>
        <c:noMultiLvlLbl val="0"/>
      </c:catAx>
      <c:valAx>
        <c:axId val="120371072"/>
        <c:scaling>
          <c:orientation val="minMax"/>
          <c:max val="1"/>
        </c:scaling>
        <c:delete val="0"/>
        <c:axPos val="l"/>
        <c:majorGridlines/>
        <c:numFmt formatCode="0%" sourceLinked="0"/>
        <c:majorTickMark val="out"/>
        <c:minorTickMark val="none"/>
        <c:tickLblPos val="nextTo"/>
        <c:crossAx val="120369536"/>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2000</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explosion val="1"/>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Pos val="bestFit"/>
            <c:showLegendKey val="0"/>
            <c:showVal val="0"/>
            <c:showCatName val="1"/>
            <c:showSerName val="0"/>
            <c:showPercent val="1"/>
            <c:showBubbleSize val="0"/>
            <c:showLeaderLines val="1"/>
          </c:dLbls>
          <c:cat>
            <c:strRef>
              <c:f>Tanzania!$R$4:$R$19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Tanzania!$S$4:$S$19</c:f>
              <c:numCache>
                <c:formatCode>0.0%</c:formatCode>
                <c:ptCount val="16"/>
                <c:pt idx="0">
                  <c:v>0.29999274239729773</c:v>
                </c:pt>
                <c:pt idx="1">
                  <c:v>1.4517934408761406E-2</c:v>
                </c:pt>
                <c:pt idx="2">
                  <c:v>7.2553030014651271E-2</c:v>
                </c:pt>
                <c:pt idx="3">
                  <c:v>1.8264293067972667E-2</c:v>
                </c:pt>
                <c:pt idx="4">
                  <c:v>0.13895769519872747</c:v>
                </c:pt>
                <c:pt idx="5">
                  <c:v>1.8048825577985345E-2</c:v>
                </c:pt>
                <c:pt idx="6">
                  <c:v>8.7563874107102965E-3</c:v>
                </c:pt>
                <c:pt idx="7">
                  <c:v>7.6921691214817789E-2</c:v>
                </c:pt>
                <c:pt idx="8">
                  <c:v>9.017816949174115E-2</c:v>
                </c:pt>
                <c:pt idx="9">
                  <c:v>1.7489449399079506E-2</c:v>
                </c:pt>
                <c:pt idx="10">
                  <c:v>9.4416615228855912E-3</c:v>
                </c:pt>
                <c:pt idx="11">
                  <c:v>0.10557304453402605</c:v>
                </c:pt>
                <c:pt idx="12">
                  <c:v>3.9486847225771365E-2</c:v>
                </c:pt>
                <c:pt idx="13">
                  <c:v>1.4942902720263135E-2</c:v>
                </c:pt>
                <c:pt idx="14">
                  <c:v>1.3493209578674319E-2</c:v>
                </c:pt>
                <c:pt idx="15">
                  <c:v>6.138211623663492E-2</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GB"/>
              <a:t>2011</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Pos val="bestFit"/>
            <c:showLegendKey val="0"/>
            <c:showVal val="0"/>
            <c:showCatName val="1"/>
            <c:showSerName val="0"/>
            <c:showPercent val="1"/>
            <c:showBubbleSize val="0"/>
            <c:showLeaderLines val="1"/>
          </c:dLbls>
          <c:cat>
            <c:strRef>
              <c:f>Tanzania!$V$4:$V$19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Tanzania!$W$4:$W$19</c:f>
              <c:numCache>
                <c:formatCode>0.0%</c:formatCode>
                <c:ptCount val="16"/>
                <c:pt idx="0">
                  <c:v>0.22315308869280978</c:v>
                </c:pt>
                <c:pt idx="1">
                  <c:v>2.887938666847915E-2</c:v>
                </c:pt>
                <c:pt idx="2">
                  <c:v>8.4614441980130309E-2</c:v>
                </c:pt>
                <c:pt idx="3">
                  <c:v>2.0987308369962623E-2</c:v>
                </c:pt>
                <c:pt idx="4">
                  <c:v>0.10553451860504015</c:v>
                </c:pt>
                <c:pt idx="5">
                  <c:v>2.6988673790074309E-2</c:v>
                </c:pt>
                <c:pt idx="6">
                  <c:v>1.3054549255834587E-2</c:v>
                </c:pt>
                <c:pt idx="7">
                  <c:v>6.8748222421612215E-2</c:v>
                </c:pt>
                <c:pt idx="8">
                  <c:v>5.9395968717428027E-2</c:v>
                </c:pt>
                <c:pt idx="9">
                  <c:v>3.2878130719536047E-2</c:v>
                </c:pt>
                <c:pt idx="10">
                  <c:v>2.0701212940112849E-2</c:v>
                </c:pt>
                <c:pt idx="11">
                  <c:v>6.6356698602193995E-2</c:v>
                </c:pt>
                <c:pt idx="12">
                  <c:v>4.6623507470427233E-2</c:v>
                </c:pt>
                <c:pt idx="13">
                  <c:v>1.6845034082051617E-2</c:v>
                </c:pt>
                <c:pt idx="14">
                  <c:v>1.8559200607890767E-2</c:v>
                </c:pt>
                <c:pt idx="15">
                  <c:v>0.16668005707641653</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Tanzania!$S$22</c:f>
              <c:strCache>
                <c:ptCount val="1"/>
                <c:pt idx="0">
                  <c:v>1996-2011</c:v>
                </c:pt>
              </c:strCache>
            </c:strRef>
          </c:tx>
          <c:invertIfNegative val="0"/>
          <c:cat>
            <c:strRef>
              <c:f>Tanzania!$R$23:$R$37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Tanzania!$S$23:$S$37</c:f>
              <c:numCache>
                <c:formatCode>0.0%</c:formatCode>
                <c:ptCount val="15"/>
                <c:pt idx="0">
                  <c:v>8.0844661150811348E-2</c:v>
                </c:pt>
                <c:pt idx="1">
                  <c:v>0.18177453948884659</c:v>
                </c:pt>
                <c:pt idx="2">
                  <c:v>9.3587436224215725E-2</c:v>
                </c:pt>
                <c:pt idx="3">
                  <c:v>0.1250020927976081</c:v>
                </c:pt>
                <c:pt idx="4">
                  <c:v>0.10513886127755812</c:v>
                </c:pt>
                <c:pt idx="5">
                  <c:v>0.15013619541899947</c:v>
                </c:pt>
                <c:pt idx="6">
                  <c:v>0.17064499925668386</c:v>
                </c:pt>
                <c:pt idx="7">
                  <c:v>0.11839173561515448</c:v>
                </c:pt>
                <c:pt idx="8">
                  <c:v>0.12177139504609125</c:v>
                </c:pt>
                <c:pt idx="9">
                  <c:v>0.1715559636228321</c:v>
                </c:pt>
                <c:pt idx="10">
                  <c:v>0.16143588361313532</c:v>
                </c:pt>
                <c:pt idx="11">
                  <c:v>9.3570686608575038E-2</c:v>
                </c:pt>
                <c:pt idx="12">
                  <c:v>0.14467096680807745</c:v>
                </c:pt>
                <c:pt idx="13">
                  <c:v>0.14946481137365097</c:v>
                </c:pt>
                <c:pt idx="14">
                  <c:v>0.15566922866118915</c:v>
                </c:pt>
              </c:numCache>
            </c:numRef>
          </c:val>
        </c:ser>
        <c:ser>
          <c:idx val="1"/>
          <c:order val="1"/>
          <c:tx>
            <c:strRef>
              <c:f>Tanzania!$T$22</c:f>
              <c:strCache>
                <c:ptCount val="1"/>
                <c:pt idx="0">
                  <c:v>2006-2011</c:v>
                </c:pt>
              </c:strCache>
            </c:strRef>
          </c:tx>
          <c:spPr>
            <a:solidFill>
              <a:schemeClr val="accent6"/>
            </a:solidFill>
          </c:spPr>
          <c:invertIfNegative val="0"/>
          <c:cat>
            <c:strRef>
              <c:f>Tanzania!$R$23:$R$37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Tanzania!$T$23:$T$37</c:f>
              <c:numCache>
                <c:formatCode>0.0%</c:formatCode>
                <c:ptCount val="15"/>
                <c:pt idx="0">
                  <c:v>0.10890783903821455</c:v>
                </c:pt>
                <c:pt idx="1">
                  <c:v>0.30548976816338769</c:v>
                </c:pt>
                <c:pt idx="2">
                  <c:v>0.17184200311438591</c:v>
                </c:pt>
                <c:pt idx="3">
                  <c:v>0.20673173468756079</c:v>
                </c:pt>
                <c:pt idx="4">
                  <c:v>0.14612860909009484</c:v>
                </c:pt>
                <c:pt idx="5">
                  <c:v>0.24606998048845896</c:v>
                </c:pt>
                <c:pt idx="6">
                  <c:v>0.29135491265719171</c:v>
                </c:pt>
                <c:pt idx="7">
                  <c:v>0.19165845846336138</c:v>
                </c:pt>
                <c:pt idx="8">
                  <c:v>0.14971413048353899</c:v>
                </c:pt>
                <c:pt idx="9">
                  <c:v>0.31337397819784307</c:v>
                </c:pt>
                <c:pt idx="10">
                  <c:v>0.36048737781586282</c:v>
                </c:pt>
                <c:pt idx="11">
                  <c:v>0.14644708111443827</c:v>
                </c:pt>
                <c:pt idx="12">
                  <c:v>0.2209313314650081</c:v>
                </c:pt>
                <c:pt idx="13">
                  <c:v>0.22336723510080092</c:v>
                </c:pt>
                <c:pt idx="14">
                  <c:v>0.27970927051830863</c:v>
                </c:pt>
              </c:numCache>
            </c:numRef>
          </c:val>
        </c:ser>
        <c:dLbls>
          <c:showLegendKey val="0"/>
          <c:showVal val="0"/>
          <c:showCatName val="0"/>
          <c:showSerName val="0"/>
          <c:showPercent val="0"/>
          <c:showBubbleSize val="0"/>
        </c:dLbls>
        <c:gapWidth val="150"/>
        <c:axId val="120499584"/>
        <c:axId val="120501376"/>
      </c:barChart>
      <c:catAx>
        <c:axId val="120499584"/>
        <c:scaling>
          <c:orientation val="minMax"/>
        </c:scaling>
        <c:delete val="0"/>
        <c:axPos val="b"/>
        <c:majorTickMark val="out"/>
        <c:minorTickMark val="none"/>
        <c:tickLblPos val="nextTo"/>
        <c:spPr>
          <a:ln>
            <a:noFill/>
          </a:ln>
        </c:spPr>
        <c:txPr>
          <a:bodyPr rot="-5400000" vert="horz"/>
          <a:lstStyle/>
          <a:p>
            <a:pPr>
              <a:defRPr sz="700"/>
            </a:pPr>
            <a:endParaRPr lang="en-US"/>
          </a:p>
        </c:txPr>
        <c:crossAx val="120501376"/>
        <c:crosses val="autoZero"/>
        <c:auto val="1"/>
        <c:lblAlgn val="ctr"/>
        <c:lblOffset val="100"/>
        <c:noMultiLvlLbl val="0"/>
      </c:catAx>
      <c:valAx>
        <c:axId val="120501376"/>
        <c:scaling>
          <c:orientation val="minMax"/>
        </c:scaling>
        <c:delete val="0"/>
        <c:axPos val="l"/>
        <c:majorGridlines/>
        <c:numFmt formatCode="0%" sourceLinked="0"/>
        <c:majorTickMark val="out"/>
        <c:minorTickMark val="none"/>
        <c:tickLblPos val="nextTo"/>
        <c:crossAx val="120499584"/>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graphs'!$O$43</c:f>
              <c:strCache>
                <c:ptCount val="1"/>
                <c:pt idx="0">
                  <c:v>2000</c:v>
                </c:pt>
              </c:strCache>
            </c:strRef>
          </c:tx>
          <c:invertIfNegative val="0"/>
          <c:cat>
            <c:strRef>
              <c:f>'DVA-FVA graphs'!$N$44:$N$58</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graphs'!$O$44:$O$58</c:f>
              <c:numCache>
                <c:formatCode>0.0%</c:formatCode>
                <c:ptCount val="15"/>
                <c:pt idx="0">
                  <c:v>7.467862905012021E-2</c:v>
                </c:pt>
                <c:pt idx="1">
                  <c:v>0.19911325441602529</c:v>
                </c:pt>
                <c:pt idx="2">
                  <c:v>3.5333302068680253E-2</c:v>
                </c:pt>
                <c:pt idx="3">
                  <c:v>0.13166322236499112</c:v>
                </c:pt>
                <c:pt idx="4">
                  <c:v>0.12856637265237902</c:v>
                </c:pt>
                <c:pt idx="5">
                  <c:v>8.970515928442381E-2</c:v>
                </c:pt>
                <c:pt idx="6">
                  <c:v>0.17279446804339801</c:v>
                </c:pt>
                <c:pt idx="7">
                  <c:v>9.1845415306745282E-2</c:v>
                </c:pt>
                <c:pt idx="8">
                  <c:v>0.17933244680505858</c:v>
                </c:pt>
                <c:pt idx="9">
                  <c:v>0.18915027658513883</c:v>
                </c:pt>
                <c:pt idx="10">
                  <c:v>5.7166718591614429E-2</c:v>
                </c:pt>
                <c:pt idx="11">
                  <c:v>0.17411919120093242</c:v>
                </c:pt>
                <c:pt idx="12">
                  <c:v>0.10481334056537854</c:v>
                </c:pt>
                <c:pt idx="13">
                  <c:v>0.24385739221593117</c:v>
                </c:pt>
                <c:pt idx="14">
                  <c:v>0.14917149356819526</c:v>
                </c:pt>
              </c:numCache>
            </c:numRef>
          </c:val>
        </c:ser>
        <c:ser>
          <c:idx val="1"/>
          <c:order val="1"/>
          <c:tx>
            <c:strRef>
              <c:f>'DVA-FVA graphs'!$P$43</c:f>
              <c:strCache>
                <c:ptCount val="1"/>
                <c:pt idx="0">
                  <c:v>2011</c:v>
                </c:pt>
              </c:strCache>
            </c:strRef>
          </c:tx>
          <c:spPr>
            <a:solidFill>
              <a:schemeClr val="accent6"/>
            </a:solidFill>
          </c:spPr>
          <c:invertIfNegative val="0"/>
          <c:cat>
            <c:strRef>
              <c:f>'DVA-FVA graphs'!$N$44:$N$58</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graphs'!$P$44:$P$58</c:f>
              <c:numCache>
                <c:formatCode>0.0%</c:formatCode>
                <c:ptCount val="15"/>
                <c:pt idx="0">
                  <c:v>0.12574801961516976</c:v>
                </c:pt>
                <c:pt idx="1">
                  <c:v>0.50511265636512237</c:v>
                </c:pt>
                <c:pt idx="2">
                  <c:v>8.5118544413309918E-2</c:v>
                </c:pt>
                <c:pt idx="3">
                  <c:v>0.25203626948485885</c:v>
                </c:pt>
                <c:pt idx="4">
                  <c:v>0.29476223476359542</c:v>
                </c:pt>
                <c:pt idx="5">
                  <c:v>0.2239330569059467</c:v>
                </c:pt>
                <c:pt idx="6">
                  <c:v>0.47817222968457979</c:v>
                </c:pt>
                <c:pt idx="7">
                  <c:v>0.21907411962548368</c:v>
                </c:pt>
                <c:pt idx="8">
                  <c:v>0.44407042439155153</c:v>
                </c:pt>
                <c:pt idx="9">
                  <c:v>0.43085286162904368</c:v>
                </c:pt>
                <c:pt idx="10">
                  <c:v>0.15875659788927735</c:v>
                </c:pt>
                <c:pt idx="11">
                  <c:v>0.37805035807786119</c:v>
                </c:pt>
                <c:pt idx="12">
                  <c:v>0.31300596552571847</c:v>
                </c:pt>
                <c:pt idx="13">
                  <c:v>0.58221364581373691</c:v>
                </c:pt>
                <c:pt idx="14">
                  <c:v>0.39518471416671214</c:v>
                </c:pt>
              </c:numCache>
            </c:numRef>
          </c:val>
        </c:ser>
        <c:dLbls>
          <c:showLegendKey val="0"/>
          <c:showVal val="0"/>
          <c:showCatName val="0"/>
          <c:showSerName val="0"/>
          <c:showPercent val="0"/>
          <c:showBubbleSize val="0"/>
        </c:dLbls>
        <c:gapWidth val="150"/>
        <c:axId val="120518144"/>
        <c:axId val="120519680"/>
      </c:barChart>
      <c:catAx>
        <c:axId val="120518144"/>
        <c:scaling>
          <c:orientation val="minMax"/>
        </c:scaling>
        <c:delete val="0"/>
        <c:axPos val="b"/>
        <c:majorTickMark val="out"/>
        <c:minorTickMark val="none"/>
        <c:tickLblPos val="nextTo"/>
        <c:txPr>
          <a:bodyPr rot="-5400000" vert="horz"/>
          <a:lstStyle/>
          <a:p>
            <a:pPr>
              <a:defRPr sz="700"/>
            </a:pPr>
            <a:endParaRPr lang="en-US"/>
          </a:p>
        </c:txPr>
        <c:crossAx val="120519680"/>
        <c:crosses val="autoZero"/>
        <c:auto val="1"/>
        <c:lblAlgn val="ctr"/>
        <c:lblOffset val="100"/>
        <c:noMultiLvlLbl val="0"/>
      </c:catAx>
      <c:valAx>
        <c:axId val="120519680"/>
        <c:scaling>
          <c:orientation val="minMax"/>
        </c:scaling>
        <c:delete val="0"/>
        <c:axPos val="l"/>
        <c:majorGridlines/>
        <c:numFmt formatCode="0%" sourceLinked="0"/>
        <c:majorTickMark val="out"/>
        <c:minorTickMark val="none"/>
        <c:tickLblPos val="nextTo"/>
        <c:crossAx val="12051814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2000</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explosion val="1"/>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Pos val="bestFit"/>
            <c:showLegendKey val="0"/>
            <c:showVal val="0"/>
            <c:showCatName val="1"/>
            <c:showSerName val="0"/>
            <c:showPercent val="1"/>
            <c:showBubbleSize val="0"/>
            <c:showLeaderLines val="1"/>
          </c:dLbls>
          <c:cat>
            <c:strRef>
              <c:f>Tanzania!$R$64:$R$79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Tanzania!$S$64:$S$79</c:f>
              <c:numCache>
                <c:formatCode>0.0%</c:formatCode>
                <c:ptCount val="16"/>
                <c:pt idx="0">
                  <c:v>0.18080367486839546</c:v>
                </c:pt>
                <c:pt idx="1">
                  <c:v>2.6954212982530642E-2</c:v>
                </c:pt>
                <c:pt idx="2">
                  <c:v>1.9845189754107064E-2</c:v>
                </c:pt>
                <c:pt idx="3">
                  <c:v>2.068101801055609E-2</c:v>
                </c:pt>
                <c:pt idx="4">
                  <c:v>0.15309762010171152</c:v>
                </c:pt>
                <c:pt idx="5">
                  <c:v>1.3282415131212883E-2</c:v>
                </c:pt>
                <c:pt idx="6">
                  <c:v>1.3659478962970002E-2</c:v>
                </c:pt>
                <c:pt idx="7">
                  <c:v>5.8095071150850462E-2</c:v>
                </c:pt>
                <c:pt idx="8">
                  <c:v>0.14715864749229776</c:v>
                </c:pt>
                <c:pt idx="9">
                  <c:v>3.0467407853250483E-2</c:v>
                </c:pt>
                <c:pt idx="10">
                  <c:v>4.2751321920608352E-3</c:v>
                </c:pt>
                <c:pt idx="11">
                  <c:v>0.1662168600701999</c:v>
                </c:pt>
                <c:pt idx="12">
                  <c:v>3.4526152312197696E-2</c:v>
                </c:pt>
                <c:pt idx="13">
                  <c:v>3.5988185042849688E-2</c:v>
                </c:pt>
                <c:pt idx="14">
                  <c:v>1.7666553505868699E-2</c:v>
                </c:pt>
                <c:pt idx="15">
                  <c:v>7.7282380568940878E-2</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GB"/>
              <a:t>2011</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Pos val="bestFit"/>
            <c:showLegendKey val="0"/>
            <c:showVal val="0"/>
            <c:showCatName val="1"/>
            <c:showSerName val="0"/>
            <c:showPercent val="1"/>
            <c:showBubbleSize val="0"/>
            <c:showLeaderLines val="1"/>
          </c:dLbls>
          <c:cat>
            <c:strRef>
              <c:f>Tanzania!$V$64:$V$79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Tanzania!$W$64:$W$79</c:f>
              <c:numCache>
                <c:formatCode>0.0%</c:formatCode>
                <c:ptCount val="16"/>
                <c:pt idx="0">
                  <c:v>8.0658500907804534E-2</c:v>
                </c:pt>
                <c:pt idx="1">
                  <c:v>7.4071746246050507E-2</c:v>
                </c:pt>
                <c:pt idx="2">
                  <c:v>1.9782745897412576E-2</c:v>
                </c:pt>
                <c:pt idx="3">
                  <c:v>1.777141308340548E-2</c:v>
                </c:pt>
                <c:pt idx="4">
                  <c:v>0.11084434151320963</c:v>
                </c:pt>
                <c:pt idx="5">
                  <c:v>1.9569660084472598E-2</c:v>
                </c:pt>
                <c:pt idx="6">
                  <c:v>3.0060884752549789E-2</c:v>
                </c:pt>
                <c:pt idx="7">
                  <c:v>4.8464690872856313E-2</c:v>
                </c:pt>
                <c:pt idx="8">
                  <c:v>0.11922621436251897</c:v>
                </c:pt>
                <c:pt idx="9">
                  <c:v>6.2545239140421857E-2</c:v>
                </c:pt>
                <c:pt idx="10">
                  <c:v>9.8172221708682471E-3</c:v>
                </c:pt>
                <c:pt idx="11">
                  <c:v>0.10135890654015461</c:v>
                </c:pt>
                <c:pt idx="12">
                  <c:v>5.3381073774712101E-2</c:v>
                </c:pt>
                <c:pt idx="13">
                  <c:v>5.8990589701743423E-2</c:v>
                </c:pt>
                <c:pt idx="14">
                  <c:v>3.0473291027422265E-2</c:v>
                </c:pt>
                <c:pt idx="15">
                  <c:v>0.1629834799243971</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2000-05</a:t>
            </a:r>
          </a:p>
        </c:rich>
      </c:tx>
      <c:overlay val="0"/>
    </c:title>
    <c:autoTitleDeleted val="0"/>
    <c:plotArea>
      <c:layout/>
      <c:bubbleChart>
        <c:varyColors val="0"/>
        <c:ser>
          <c:idx val="0"/>
          <c:order val="0"/>
          <c:tx>
            <c:v>Agriculture</c:v>
          </c:tx>
          <c:spPr>
            <a:solidFill>
              <a:srgbClr val="13CF44"/>
            </a:solidFill>
          </c:spPr>
          <c:invertIfNegative val="0"/>
          <c:xVal>
            <c:numRef>
              <c:f>'Rel. prod. cf employment'!$B$23</c:f>
              <c:numCache>
                <c:formatCode>#,##0.0_ ;\-#,##0.0\ </c:formatCode>
                <c:ptCount val="1"/>
                <c:pt idx="0">
                  <c:v>-3.3690075029380893</c:v>
                </c:pt>
              </c:numCache>
            </c:numRef>
          </c:xVal>
          <c:yVal>
            <c:numRef>
              <c:f>'Rel. prod. cf employment'!$C$23</c:f>
              <c:numCache>
                <c:formatCode>#,##0.0_ ;\-#,##0.0\ </c:formatCode>
                <c:ptCount val="1"/>
                <c:pt idx="0">
                  <c:v>0.39526447515880014</c:v>
                </c:pt>
              </c:numCache>
            </c:numRef>
          </c:yVal>
          <c:bubbleSize>
            <c:numRef>
              <c:f>'Rel. prod. cf employment'!$E$23</c:f>
              <c:numCache>
                <c:formatCode>#,##0_ ;\-#,##0\ </c:formatCode>
                <c:ptCount val="1"/>
                <c:pt idx="0">
                  <c:v>14260</c:v>
                </c:pt>
              </c:numCache>
            </c:numRef>
          </c:bubbleSize>
          <c:bubble3D val="1"/>
        </c:ser>
        <c:ser>
          <c:idx val="1"/>
          <c:order val="1"/>
          <c:tx>
            <c:v>Mining &amp; utilities</c:v>
          </c:tx>
          <c:spPr>
            <a:solidFill>
              <a:srgbClr val="000000"/>
            </a:solidFill>
            <a:ln w="25400">
              <a:noFill/>
            </a:ln>
          </c:spPr>
          <c:invertIfNegative val="0"/>
          <c:xVal>
            <c:numRef>
              <c:f>'Rel. prod. cf employment'!$B$24</c:f>
              <c:numCache>
                <c:formatCode>#,##0.0_ ;\-#,##0.0\ </c:formatCode>
                <c:ptCount val="1"/>
                <c:pt idx="0">
                  <c:v>0.22994278337453822</c:v>
                </c:pt>
              </c:numCache>
            </c:numRef>
          </c:xVal>
          <c:yVal>
            <c:numRef>
              <c:f>'Rel. prod. cf employment'!$C$24</c:f>
              <c:numCache>
                <c:formatCode>#,##0.0_ ;\-#,##0.0\ </c:formatCode>
                <c:ptCount val="1"/>
                <c:pt idx="0">
                  <c:v>9.1757816278653301</c:v>
                </c:pt>
              </c:numCache>
            </c:numRef>
          </c:yVal>
          <c:bubbleSize>
            <c:numRef>
              <c:f>'Rel. prod. cf employment'!$E$24</c:f>
              <c:numCache>
                <c:formatCode>#,##0_ ;\-#,##0\ </c:formatCode>
                <c:ptCount val="1"/>
                <c:pt idx="0">
                  <c:v>100</c:v>
                </c:pt>
              </c:numCache>
            </c:numRef>
          </c:bubbleSize>
          <c:bubble3D val="1"/>
        </c:ser>
        <c:ser>
          <c:idx val="2"/>
          <c:order val="2"/>
          <c:tx>
            <c:v>Manufacturing</c:v>
          </c:tx>
          <c:spPr>
            <a:solidFill>
              <a:srgbClr val="CC6600"/>
            </a:solidFill>
            <a:ln w="25400">
              <a:noFill/>
            </a:ln>
          </c:spPr>
          <c:invertIfNegative val="0"/>
          <c:xVal>
            <c:numRef>
              <c:f>'Rel. prod. cf employment'!$B$25</c:f>
              <c:numCache>
                <c:formatCode>#,##0.0_ ;\-#,##0.0\ </c:formatCode>
                <c:ptCount val="1"/>
                <c:pt idx="0">
                  <c:v>1.0111359401111517</c:v>
                </c:pt>
              </c:numCache>
            </c:numRef>
          </c:xVal>
          <c:yVal>
            <c:numRef>
              <c:f>'Rel. prod. cf employment'!$C$25</c:f>
              <c:numCache>
                <c:formatCode>#,##0.0_ ;\-#,##0.0\ </c:formatCode>
                <c:ptCount val="1"/>
                <c:pt idx="0">
                  <c:v>2.973962483277889</c:v>
                </c:pt>
              </c:numCache>
            </c:numRef>
          </c:yVal>
          <c:bubbleSize>
            <c:numRef>
              <c:f>'Rel. prod. cf employment'!$E$25</c:f>
              <c:numCache>
                <c:formatCode>#,##0_ ;\-#,##0\ </c:formatCode>
                <c:ptCount val="1"/>
                <c:pt idx="0">
                  <c:v>474</c:v>
                </c:pt>
              </c:numCache>
            </c:numRef>
          </c:bubbleSize>
          <c:bubble3D val="1"/>
        </c:ser>
        <c:ser>
          <c:idx val="3"/>
          <c:order val="3"/>
          <c:tx>
            <c:v>Construction</c:v>
          </c:tx>
          <c:spPr>
            <a:solidFill>
              <a:srgbClr val="FFFF00"/>
            </a:solidFill>
            <a:ln w="25400">
              <a:noFill/>
            </a:ln>
          </c:spPr>
          <c:invertIfNegative val="0"/>
          <c:xVal>
            <c:numRef>
              <c:f>'Rel. prod. cf employment'!$B$26</c:f>
              <c:numCache>
                <c:formatCode>#,##0.0_ ;\-#,##0.0\ </c:formatCode>
                <c:ptCount val="1"/>
                <c:pt idx="0">
                  <c:v>0.30623379339724843</c:v>
                </c:pt>
              </c:numCache>
            </c:numRef>
          </c:xVal>
          <c:yVal>
            <c:numRef>
              <c:f>'Rel. prod. cf employment'!$C$26</c:f>
              <c:numCache>
                <c:formatCode>#,##0.0_ ;\-#,##0.0\ </c:formatCode>
                <c:ptCount val="1"/>
                <c:pt idx="0">
                  <c:v>7.2156542087612401</c:v>
                </c:pt>
              </c:numCache>
            </c:numRef>
          </c:yVal>
          <c:bubbleSize>
            <c:numRef>
              <c:f>'Rel. prod. cf employment'!$E$26</c:f>
              <c:numCache>
                <c:formatCode>#,##0_ ;\-#,##0\ </c:formatCode>
                <c:ptCount val="1"/>
                <c:pt idx="0">
                  <c:v>215</c:v>
                </c:pt>
              </c:numCache>
            </c:numRef>
          </c:bubbleSize>
          <c:bubble3D val="1"/>
        </c:ser>
        <c:ser>
          <c:idx val="4"/>
          <c:order val="4"/>
          <c:tx>
            <c:v>Wholesale, retail, hotels</c:v>
          </c:tx>
          <c:spPr>
            <a:solidFill>
              <a:srgbClr val="6666FF"/>
            </a:solidFill>
            <a:ln w="25400">
              <a:noFill/>
            </a:ln>
          </c:spPr>
          <c:invertIfNegative val="0"/>
          <c:xVal>
            <c:numRef>
              <c:f>'Rel. prod. cf employment'!$B$27</c:f>
              <c:numCache>
                <c:formatCode>#,##0.0_ ;\-#,##0.0\ </c:formatCode>
                <c:ptCount val="1"/>
                <c:pt idx="0">
                  <c:v>0.61485846356141316</c:v>
                </c:pt>
              </c:numCache>
            </c:numRef>
          </c:xVal>
          <c:yVal>
            <c:numRef>
              <c:f>'Rel. prod. cf employment'!$C$27</c:f>
              <c:numCache>
                <c:formatCode>#,##0.0_ ;\-#,##0.0\ </c:formatCode>
                <c:ptCount val="1"/>
                <c:pt idx="0">
                  <c:v>1.09933325868642</c:v>
                </c:pt>
              </c:numCache>
            </c:numRef>
          </c:yVal>
          <c:bubbleSize>
            <c:numRef>
              <c:f>'Rel. prod. cf employment'!$E$27</c:f>
              <c:numCache>
                <c:formatCode>#,##0_ ;\-#,##0\ </c:formatCode>
                <c:ptCount val="1"/>
                <c:pt idx="0">
                  <c:v>2013</c:v>
                </c:pt>
              </c:numCache>
            </c:numRef>
          </c:bubbleSize>
          <c:bubble3D val="1"/>
        </c:ser>
        <c:ser>
          <c:idx val="5"/>
          <c:order val="5"/>
          <c:tx>
            <c:v>Transport, storage, comms</c:v>
          </c:tx>
          <c:spPr>
            <a:solidFill>
              <a:srgbClr val="66FFFF"/>
            </a:solidFill>
            <a:ln w="25400">
              <a:noFill/>
            </a:ln>
          </c:spPr>
          <c:invertIfNegative val="0"/>
          <c:xVal>
            <c:numRef>
              <c:f>'Rel. prod. cf employment'!$B$28</c:f>
              <c:numCache>
                <c:formatCode>#,##0.0_ ;\-#,##0.0\ </c:formatCode>
                <c:ptCount val="1"/>
                <c:pt idx="0">
                  <c:v>0.47374827741619385</c:v>
                </c:pt>
              </c:numCache>
            </c:numRef>
          </c:xVal>
          <c:yVal>
            <c:numRef>
              <c:f>'Rel. prod. cf employment'!$C$28</c:f>
              <c:numCache>
                <c:formatCode>#,##0.0_ ;\-#,##0.0\ </c:formatCode>
                <c:ptCount val="1"/>
                <c:pt idx="0">
                  <c:v>6.9577998231713218</c:v>
                </c:pt>
              </c:numCache>
            </c:numRef>
          </c:yVal>
          <c:bubbleSize>
            <c:numRef>
              <c:f>'Rel. prod. cf employment'!$E$28</c:f>
              <c:numCache>
                <c:formatCode>#,##0_ ;\-#,##0\ </c:formatCode>
                <c:ptCount val="1"/>
                <c:pt idx="0">
                  <c:v>218</c:v>
                </c:pt>
              </c:numCache>
            </c:numRef>
          </c:bubbleSize>
          <c:bubble3D val="1"/>
        </c:ser>
        <c:ser>
          <c:idx val="6"/>
          <c:order val="6"/>
          <c:tx>
            <c:v>Other</c:v>
          </c:tx>
          <c:spPr>
            <a:solidFill>
              <a:srgbClr val="FF00FF"/>
            </a:solidFill>
            <a:ln w="25400">
              <a:noFill/>
            </a:ln>
          </c:spPr>
          <c:invertIfNegative val="0"/>
          <c:xVal>
            <c:numRef>
              <c:f>'Rel. prod. cf employment'!$B$29</c:f>
              <c:numCache>
                <c:formatCode>#,##0.0_ ;\-#,##0.0\ </c:formatCode>
                <c:ptCount val="1"/>
                <c:pt idx="0">
                  <c:v>0.73308824507754089</c:v>
                </c:pt>
              </c:numCache>
            </c:numRef>
          </c:xVal>
          <c:yVal>
            <c:numRef>
              <c:f>'Rel. prod. cf employment'!$C$29</c:f>
              <c:numCache>
                <c:formatCode>#,##0.0_ ;\-#,##0.0\ </c:formatCode>
                <c:ptCount val="1"/>
                <c:pt idx="0">
                  <c:v>3.7227856533768424</c:v>
                </c:pt>
              </c:numCache>
            </c:numRef>
          </c:yVal>
          <c:bubbleSize>
            <c:numRef>
              <c:f>'Rel. prod. cf employment'!$E$29</c:f>
              <c:numCache>
                <c:formatCode>#,##0_ ;\-#,##0\ </c:formatCode>
                <c:ptCount val="1"/>
                <c:pt idx="0">
                  <c:v>1482</c:v>
                </c:pt>
              </c:numCache>
            </c:numRef>
          </c:bubbleSize>
          <c:bubble3D val="1"/>
        </c:ser>
        <c:dLbls>
          <c:showLegendKey val="0"/>
          <c:showVal val="0"/>
          <c:showCatName val="0"/>
          <c:showSerName val="0"/>
          <c:showPercent val="0"/>
          <c:showBubbleSize val="0"/>
        </c:dLbls>
        <c:bubbleScale val="100"/>
        <c:showNegBubbles val="0"/>
        <c:axId val="91262976"/>
        <c:axId val="91264896"/>
      </c:bubbleChart>
      <c:valAx>
        <c:axId val="91262976"/>
        <c:scaling>
          <c:orientation val="minMax"/>
        </c:scaling>
        <c:delete val="0"/>
        <c:axPos val="b"/>
        <c:title>
          <c:tx>
            <c:rich>
              <a:bodyPr/>
              <a:lstStyle/>
              <a:p>
                <a:pPr>
                  <a:defRPr sz="800" b="0"/>
                </a:pPr>
                <a:r>
                  <a:rPr lang="en-US" sz="800" b="0"/>
                  <a:t>Percentage point change in employment share, 2000-05</a:t>
                </a:r>
              </a:p>
            </c:rich>
          </c:tx>
          <c:overlay val="0"/>
        </c:title>
        <c:numFmt formatCode="#,##0.0_ ;\-#,##0.0\ " sourceLinked="1"/>
        <c:majorTickMark val="out"/>
        <c:minorTickMark val="none"/>
        <c:tickLblPos val="low"/>
        <c:crossAx val="91264896"/>
        <c:crosses val="autoZero"/>
        <c:crossBetween val="midCat"/>
      </c:valAx>
      <c:valAx>
        <c:axId val="91264896"/>
        <c:scaling>
          <c:orientation val="minMax"/>
        </c:scaling>
        <c:delete val="0"/>
        <c:axPos val="l"/>
        <c:majorGridlines/>
        <c:title>
          <c:tx>
            <c:rich>
              <a:bodyPr rot="-5400000" vert="horz"/>
              <a:lstStyle/>
              <a:p>
                <a:pPr>
                  <a:defRPr sz="800" b="0"/>
                </a:pPr>
                <a:r>
                  <a:rPr lang="en-US" sz="800" b="0"/>
                  <a:t>Relative productivity level, 2005</a:t>
                </a:r>
              </a:p>
            </c:rich>
          </c:tx>
          <c:overlay val="0"/>
        </c:title>
        <c:numFmt formatCode="#,##0.0_ ;\-#,##0.0\ " sourceLinked="1"/>
        <c:majorTickMark val="out"/>
        <c:minorTickMark val="none"/>
        <c:tickLblPos val="low"/>
        <c:crossAx val="91262976"/>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v>Goods exports</c:v>
          </c:tx>
          <c:spPr>
            <a:solidFill>
              <a:schemeClr val="accent2"/>
            </a:solidFill>
          </c:spPr>
          <c:invertIfNegative val="0"/>
          <c:dLbls>
            <c:numFmt formatCode="#,##0.0" sourceLinked="0"/>
            <c:txPr>
              <a:bodyPr/>
              <a:lstStyle/>
              <a:p>
                <a:pPr>
                  <a:defRPr sz="700"/>
                </a:pPr>
                <a:endParaRPr lang="en-US"/>
              </a:p>
            </c:txPr>
            <c:dLblPos val="inBase"/>
            <c:showLegendKey val="0"/>
            <c:showVal val="1"/>
            <c:showCatName val="0"/>
            <c:showSerName val="0"/>
            <c:showPercent val="0"/>
            <c:showBubbleSize val="0"/>
            <c:showLeaderLines val="0"/>
          </c:dLbls>
          <c:cat>
            <c:strRef>
              <c:f>Tanzania!$A$6:$A$14</c:f>
              <c:strCache>
                <c:ptCount val="9"/>
                <c:pt idx="0">
                  <c:v>2005</c:v>
                </c:pt>
                <c:pt idx="1">
                  <c:v>2006</c:v>
                </c:pt>
                <c:pt idx="2">
                  <c:v>2007</c:v>
                </c:pt>
                <c:pt idx="3">
                  <c:v>2008</c:v>
                </c:pt>
                <c:pt idx="4">
                  <c:v>2009</c:v>
                </c:pt>
                <c:pt idx="5">
                  <c:v>2010</c:v>
                </c:pt>
                <c:pt idx="6">
                  <c:v>2011</c:v>
                </c:pt>
                <c:pt idx="7">
                  <c:v>2012</c:v>
                </c:pt>
                <c:pt idx="8">
                  <c:v>2013</c:v>
                </c:pt>
              </c:strCache>
            </c:strRef>
          </c:cat>
          <c:val>
            <c:numRef>
              <c:f>Tanzania!$B$6:$B$14</c:f>
              <c:numCache>
                <c:formatCode>_-* #,##0_-;\-* #,##0_-;_-* "-"??_-;_-@_-</c:formatCode>
                <c:ptCount val="9"/>
                <c:pt idx="0">
                  <c:v>1702496235.9960699</c:v>
                </c:pt>
                <c:pt idx="1">
                  <c:v>1917618836.3954101</c:v>
                </c:pt>
                <c:pt idx="2">
                  <c:v>2226557063.87117</c:v>
                </c:pt>
                <c:pt idx="3">
                  <c:v>3578801421.4000001</c:v>
                </c:pt>
                <c:pt idx="4">
                  <c:v>3298090283.9035001</c:v>
                </c:pt>
                <c:pt idx="5">
                  <c:v>4324280328.4735003</c:v>
                </c:pt>
                <c:pt idx="6">
                  <c:v>5097900544.5225401</c:v>
                </c:pt>
                <c:pt idx="7">
                  <c:v>5889215553.1939001</c:v>
                </c:pt>
                <c:pt idx="8">
                  <c:v>5258066449.5834904</c:v>
                </c:pt>
              </c:numCache>
            </c:numRef>
          </c:val>
        </c:ser>
        <c:ser>
          <c:idx val="1"/>
          <c:order val="1"/>
          <c:tx>
            <c:v>Services exports</c:v>
          </c:tx>
          <c:spPr>
            <a:solidFill>
              <a:schemeClr val="accent5"/>
            </a:solidFill>
          </c:spPr>
          <c:invertIfNegative val="0"/>
          <c:dLbls>
            <c:numFmt formatCode="#,##0.0" sourceLinked="0"/>
            <c:txPr>
              <a:bodyPr/>
              <a:lstStyle/>
              <a:p>
                <a:pPr>
                  <a:defRPr sz="700"/>
                </a:pPr>
                <a:endParaRPr lang="en-US"/>
              </a:p>
            </c:txPr>
            <c:dLblPos val="inBase"/>
            <c:showLegendKey val="0"/>
            <c:showVal val="1"/>
            <c:showCatName val="0"/>
            <c:showSerName val="0"/>
            <c:showPercent val="0"/>
            <c:showBubbleSize val="0"/>
            <c:showLeaderLines val="0"/>
          </c:dLbls>
          <c:cat>
            <c:strRef>
              <c:f>Tanzania!$A$6:$A$14</c:f>
              <c:strCache>
                <c:ptCount val="9"/>
                <c:pt idx="0">
                  <c:v>2005</c:v>
                </c:pt>
                <c:pt idx="1">
                  <c:v>2006</c:v>
                </c:pt>
                <c:pt idx="2">
                  <c:v>2007</c:v>
                </c:pt>
                <c:pt idx="3">
                  <c:v>2008</c:v>
                </c:pt>
                <c:pt idx="4">
                  <c:v>2009</c:v>
                </c:pt>
                <c:pt idx="5">
                  <c:v>2010</c:v>
                </c:pt>
                <c:pt idx="6">
                  <c:v>2011</c:v>
                </c:pt>
                <c:pt idx="7">
                  <c:v>2012</c:v>
                </c:pt>
                <c:pt idx="8">
                  <c:v>2013</c:v>
                </c:pt>
              </c:strCache>
            </c:strRef>
          </c:cat>
          <c:val>
            <c:numRef>
              <c:f>Tanzania!$C$6:$C$14</c:f>
              <c:numCache>
                <c:formatCode>_-* #,##0_-;\-* #,##0_-;_-* "-"??_-;_-@_-</c:formatCode>
                <c:ptCount val="9"/>
                <c:pt idx="0">
                  <c:v>1269160584.3952601</c:v>
                </c:pt>
                <c:pt idx="1">
                  <c:v>1528064026.4208901</c:v>
                </c:pt>
                <c:pt idx="2">
                  <c:v>1875737680.74526</c:v>
                </c:pt>
                <c:pt idx="3">
                  <c:v>1998763542.5148301</c:v>
                </c:pt>
                <c:pt idx="4">
                  <c:v>1854644152.77232</c:v>
                </c:pt>
                <c:pt idx="5">
                  <c:v>2045746902.70222</c:v>
                </c:pt>
                <c:pt idx="6">
                  <c:v>2300335000</c:v>
                </c:pt>
                <c:pt idx="7">
                  <c:v>2786413951.3073902</c:v>
                </c:pt>
                <c:pt idx="8">
                  <c:v>3192485315.0623899</c:v>
                </c:pt>
              </c:numCache>
            </c:numRef>
          </c:val>
        </c:ser>
        <c:dLbls>
          <c:showLegendKey val="0"/>
          <c:showVal val="0"/>
          <c:showCatName val="0"/>
          <c:showSerName val="0"/>
          <c:showPercent val="0"/>
          <c:showBubbleSize val="0"/>
        </c:dLbls>
        <c:gapWidth val="50"/>
        <c:overlap val="100"/>
        <c:axId val="120587008"/>
        <c:axId val="120588160"/>
      </c:barChart>
      <c:lineChart>
        <c:grouping val="standard"/>
        <c:varyColors val="0"/>
        <c:ser>
          <c:idx val="2"/>
          <c:order val="2"/>
          <c:tx>
            <c:v>Services share of total exports</c:v>
          </c:tx>
          <c:spPr>
            <a:ln w="28575">
              <a:solidFill>
                <a:sysClr val="windowText" lastClr="000000"/>
              </a:solidFill>
            </a:ln>
          </c:spPr>
          <c:marker>
            <c:symbol val="circle"/>
            <c:size val="3"/>
            <c:spPr>
              <a:solidFill>
                <a:schemeClr val="accent5"/>
              </a:solidFill>
              <a:ln>
                <a:solidFill>
                  <a:sysClr val="windowText" lastClr="000000"/>
                </a:solidFill>
              </a:ln>
            </c:spPr>
          </c:marker>
          <c:dLbls>
            <c:txPr>
              <a:bodyPr/>
              <a:lstStyle/>
              <a:p>
                <a:pPr>
                  <a:defRPr sz="700"/>
                </a:pPr>
                <a:endParaRPr lang="en-US"/>
              </a:p>
            </c:txPr>
            <c:dLblPos val="t"/>
            <c:showLegendKey val="0"/>
            <c:showVal val="1"/>
            <c:showCatName val="0"/>
            <c:showSerName val="0"/>
            <c:showPercent val="0"/>
            <c:showBubbleSize val="0"/>
            <c:showLeaderLines val="0"/>
          </c:dLbls>
          <c:cat>
            <c:strRef>
              <c:f>Tanzania!$A$6:$A$14</c:f>
              <c:strCache>
                <c:ptCount val="9"/>
                <c:pt idx="0">
                  <c:v>2005</c:v>
                </c:pt>
                <c:pt idx="1">
                  <c:v>2006</c:v>
                </c:pt>
                <c:pt idx="2">
                  <c:v>2007</c:v>
                </c:pt>
                <c:pt idx="3">
                  <c:v>2008</c:v>
                </c:pt>
                <c:pt idx="4">
                  <c:v>2009</c:v>
                </c:pt>
                <c:pt idx="5">
                  <c:v>2010</c:v>
                </c:pt>
                <c:pt idx="6">
                  <c:v>2011</c:v>
                </c:pt>
                <c:pt idx="7">
                  <c:v>2012</c:v>
                </c:pt>
                <c:pt idx="8">
                  <c:v>2013</c:v>
                </c:pt>
              </c:strCache>
            </c:strRef>
          </c:cat>
          <c:val>
            <c:numRef>
              <c:f>Tanzania!$E$6:$E$14</c:f>
              <c:numCache>
                <c:formatCode>0%</c:formatCode>
                <c:ptCount val="9"/>
                <c:pt idx="0">
                  <c:v>0.42708854390128659</c:v>
                </c:pt>
                <c:pt idx="1">
                  <c:v>0.44347204523980471</c:v>
                </c:pt>
                <c:pt idx="2">
                  <c:v>0.45724108030190891</c:v>
                </c:pt>
                <c:pt idx="3">
                  <c:v>0.35835773414495931</c:v>
                </c:pt>
                <c:pt idx="4">
                  <c:v>0.35993396818036</c:v>
                </c:pt>
                <c:pt idx="5">
                  <c:v>0.32115198702606412</c:v>
                </c:pt>
                <c:pt idx="6">
                  <c:v>0.31093021926060571</c:v>
                </c:pt>
                <c:pt idx="7">
                  <c:v>0.32117714914654655</c:v>
                </c:pt>
                <c:pt idx="8">
                  <c:v>0.37778424462395693</c:v>
                </c:pt>
              </c:numCache>
            </c:numRef>
          </c:val>
          <c:smooth val="0"/>
        </c:ser>
        <c:dLbls>
          <c:showLegendKey val="0"/>
          <c:showVal val="0"/>
          <c:showCatName val="0"/>
          <c:showSerName val="0"/>
          <c:showPercent val="0"/>
          <c:showBubbleSize val="0"/>
        </c:dLbls>
        <c:marker val="1"/>
        <c:smooth val="0"/>
        <c:axId val="120596352"/>
        <c:axId val="120594816"/>
      </c:lineChart>
      <c:catAx>
        <c:axId val="120587008"/>
        <c:scaling>
          <c:orientation val="minMax"/>
        </c:scaling>
        <c:delete val="0"/>
        <c:axPos val="b"/>
        <c:majorTickMark val="out"/>
        <c:minorTickMark val="none"/>
        <c:tickLblPos val="nextTo"/>
        <c:crossAx val="120588160"/>
        <c:crosses val="autoZero"/>
        <c:auto val="1"/>
        <c:lblAlgn val="ctr"/>
        <c:lblOffset val="100"/>
        <c:noMultiLvlLbl val="0"/>
      </c:catAx>
      <c:valAx>
        <c:axId val="120588160"/>
        <c:scaling>
          <c:orientation val="minMax"/>
        </c:scaling>
        <c:delete val="0"/>
        <c:axPos val="l"/>
        <c:majorGridlines/>
        <c:title>
          <c:tx>
            <c:rich>
              <a:bodyPr rot="-5400000" vert="horz"/>
              <a:lstStyle/>
              <a:p>
                <a:pPr>
                  <a:defRPr b="0"/>
                </a:pPr>
                <a:r>
                  <a:rPr lang="en-US" b="0"/>
                  <a:t>Current US$ billion</a:t>
                </a:r>
              </a:p>
            </c:rich>
          </c:tx>
          <c:overlay val="0"/>
        </c:title>
        <c:numFmt formatCode="#,##0.0" sourceLinked="0"/>
        <c:majorTickMark val="out"/>
        <c:minorTickMark val="none"/>
        <c:tickLblPos val="nextTo"/>
        <c:crossAx val="120587008"/>
        <c:crosses val="autoZero"/>
        <c:crossBetween val="between"/>
        <c:dispUnits>
          <c:builtInUnit val="billions"/>
        </c:dispUnits>
      </c:valAx>
      <c:valAx>
        <c:axId val="120594816"/>
        <c:scaling>
          <c:orientation val="minMax"/>
        </c:scaling>
        <c:delete val="0"/>
        <c:axPos val="r"/>
        <c:numFmt formatCode="0%" sourceLinked="1"/>
        <c:majorTickMark val="out"/>
        <c:minorTickMark val="none"/>
        <c:tickLblPos val="nextTo"/>
        <c:txPr>
          <a:bodyPr/>
          <a:lstStyle/>
          <a:p>
            <a:pPr>
              <a:defRPr>
                <a:solidFill>
                  <a:schemeClr val="bg1"/>
                </a:solidFill>
              </a:defRPr>
            </a:pPr>
            <a:endParaRPr lang="en-US"/>
          </a:p>
        </c:txPr>
        <c:crossAx val="120596352"/>
        <c:crosses val="max"/>
        <c:crossBetween val="between"/>
      </c:valAx>
      <c:catAx>
        <c:axId val="120596352"/>
        <c:scaling>
          <c:orientation val="minMax"/>
        </c:scaling>
        <c:delete val="1"/>
        <c:axPos val="b"/>
        <c:majorTickMark val="out"/>
        <c:minorTickMark val="none"/>
        <c:tickLblPos val="nextTo"/>
        <c:crossAx val="120594816"/>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lineChart>
        <c:grouping val="standard"/>
        <c:varyColors val="0"/>
        <c:ser>
          <c:idx val="0"/>
          <c:order val="0"/>
          <c:tx>
            <c:v>Communications, computer, etc.</c:v>
          </c:tx>
          <c:spPr>
            <a:ln w="28575"/>
          </c:spPr>
          <c:marker>
            <c:symbol val="none"/>
          </c:marker>
          <c:cat>
            <c:strRef>
              <c:f>Tanzania!$A$6:$A$14</c:f>
              <c:strCache>
                <c:ptCount val="9"/>
                <c:pt idx="0">
                  <c:v>2005</c:v>
                </c:pt>
                <c:pt idx="1">
                  <c:v>2006</c:v>
                </c:pt>
                <c:pt idx="2">
                  <c:v>2007</c:v>
                </c:pt>
                <c:pt idx="3">
                  <c:v>2008</c:v>
                </c:pt>
                <c:pt idx="4">
                  <c:v>2009</c:v>
                </c:pt>
                <c:pt idx="5">
                  <c:v>2010</c:v>
                </c:pt>
                <c:pt idx="6">
                  <c:v>2011</c:v>
                </c:pt>
                <c:pt idx="7">
                  <c:v>2012</c:v>
                </c:pt>
                <c:pt idx="8">
                  <c:v>2013</c:v>
                </c:pt>
              </c:strCache>
            </c:strRef>
          </c:cat>
          <c:val>
            <c:numRef>
              <c:f>Tanzania!$B$6:$B$14</c:f>
              <c:numCache>
                <c:formatCode>_-* #,##0_-;\-* #,##0_-;_-* "-"??_-;_-@_-</c:formatCode>
                <c:ptCount val="9"/>
                <c:pt idx="0">
                  <c:v>14.399484341619342</c:v>
                </c:pt>
                <c:pt idx="1">
                  <c:v>14.299137664080206</c:v>
                </c:pt>
                <c:pt idx="2">
                  <c:v>16.928875558112999</c:v>
                </c:pt>
                <c:pt idx="3">
                  <c:v>16.062296142146987</c:v>
                </c:pt>
                <c:pt idx="4">
                  <c:v>18.283211991590452</c:v>
                </c:pt>
                <c:pt idx="5">
                  <c:v>15.096656931463768</c:v>
                </c:pt>
                <c:pt idx="6">
                  <c:v>15.845518152790788</c:v>
                </c:pt>
                <c:pt idx="7">
                  <c:v>14.071251199163493</c:v>
                </c:pt>
                <c:pt idx="8">
                  <c:v>14.268819754339191</c:v>
                </c:pt>
              </c:numCache>
            </c:numRef>
          </c:val>
          <c:smooth val="0"/>
        </c:ser>
        <c:ser>
          <c:idx val="1"/>
          <c:order val="1"/>
          <c:tx>
            <c:v>Insurance &amp; financial</c:v>
          </c:tx>
          <c:spPr>
            <a:ln w="28575">
              <a:solidFill>
                <a:schemeClr val="accent5"/>
              </a:solidFill>
            </a:ln>
          </c:spPr>
          <c:marker>
            <c:symbol val="none"/>
          </c:marker>
          <c:cat>
            <c:strRef>
              <c:f>Tanzania!$A$6:$A$14</c:f>
              <c:strCache>
                <c:ptCount val="9"/>
                <c:pt idx="0">
                  <c:v>2005</c:v>
                </c:pt>
                <c:pt idx="1">
                  <c:v>2006</c:v>
                </c:pt>
                <c:pt idx="2">
                  <c:v>2007</c:v>
                </c:pt>
                <c:pt idx="3">
                  <c:v>2008</c:v>
                </c:pt>
                <c:pt idx="4">
                  <c:v>2009</c:v>
                </c:pt>
                <c:pt idx="5">
                  <c:v>2010</c:v>
                </c:pt>
                <c:pt idx="6">
                  <c:v>2011</c:v>
                </c:pt>
                <c:pt idx="7">
                  <c:v>2012</c:v>
                </c:pt>
                <c:pt idx="8">
                  <c:v>2013</c:v>
                </c:pt>
              </c:strCache>
            </c:strRef>
          </c:cat>
          <c:val>
            <c:numRef>
              <c:f>Tanzania!$C$6:$C$14</c:f>
              <c:numCache>
                <c:formatCode>_-* #,##0_-;\-* #,##0_-;_-* "-"??_-;_-@_-</c:formatCode>
                <c:ptCount val="9"/>
                <c:pt idx="0">
                  <c:v>3.1446111430427628</c:v>
                </c:pt>
                <c:pt idx="1">
                  <c:v>1.0235805083792904</c:v>
                </c:pt>
                <c:pt idx="2">
                  <c:v>1.462123220881471</c:v>
                </c:pt>
                <c:pt idx="3">
                  <c:v>1.2204356132245697</c:v>
                </c:pt>
                <c:pt idx="4">
                  <c:v>1.1504515919189024</c:v>
                </c:pt>
                <c:pt idx="5">
                  <c:v>1.8029400094058845</c:v>
                </c:pt>
                <c:pt idx="6">
                  <c:v>1.4693512031943172</c:v>
                </c:pt>
                <c:pt idx="7">
                  <c:v>1.772308873806385</c:v>
                </c:pt>
                <c:pt idx="8">
                  <c:v>2.0331382009420933</c:v>
                </c:pt>
              </c:numCache>
            </c:numRef>
          </c:val>
          <c:smooth val="0"/>
        </c:ser>
        <c:ser>
          <c:idx val="2"/>
          <c:order val="2"/>
          <c:tx>
            <c:v>Transport</c:v>
          </c:tx>
          <c:spPr>
            <a:ln w="28575"/>
          </c:spPr>
          <c:marker>
            <c:symbol val="none"/>
          </c:marker>
          <c:cat>
            <c:strRef>
              <c:f>Tanzania!$A$6:$A$14</c:f>
              <c:strCache>
                <c:ptCount val="9"/>
                <c:pt idx="0">
                  <c:v>2005</c:v>
                </c:pt>
                <c:pt idx="1">
                  <c:v>2006</c:v>
                </c:pt>
                <c:pt idx="2">
                  <c:v>2007</c:v>
                </c:pt>
                <c:pt idx="3">
                  <c:v>2008</c:v>
                </c:pt>
                <c:pt idx="4">
                  <c:v>2009</c:v>
                </c:pt>
                <c:pt idx="5">
                  <c:v>2010</c:v>
                </c:pt>
                <c:pt idx="6">
                  <c:v>2011</c:v>
                </c:pt>
                <c:pt idx="7">
                  <c:v>2012</c:v>
                </c:pt>
                <c:pt idx="8">
                  <c:v>2013</c:v>
                </c:pt>
              </c:strCache>
            </c:strRef>
          </c:cat>
          <c:val>
            <c:numRef>
              <c:f>Tanzania!$D$6:$D$14</c:f>
              <c:numCache>
                <c:formatCode>_-* #,##0_-;\-* #,##0_-;_-* "-"??_-;_-@_-</c:formatCode>
                <c:ptCount val="9"/>
                <c:pt idx="0">
                  <c:v>17.5634548803935</c:v>
                </c:pt>
                <c:pt idx="1">
                  <c:v>22.492995591621188</c:v>
                </c:pt>
                <c:pt idx="2">
                  <c:v>17.696611845432152</c:v>
                </c:pt>
                <c:pt idx="3">
                  <c:v>18.2429083452874</c:v>
                </c:pt>
                <c:pt idx="4">
                  <c:v>18.030135160976673</c:v>
                </c:pt>
                <c:pt idx="5">
                  <c:v>21.77784158497392</c:v>
                </c:pt>
                <c:pt idx="6">
                  <c:v>23.858916201335891</c:v>
                </c:pt>
                <c:pt idx="7">
                  <c:v>22.690339412898386</c:v>
                </c:pt>
                <c:pt idx="8">
                  <c:v>24.797069717594901</c:v>
                </c:pt>
              </c:numCache>
            </c:numRef>
          </c:val>
          <c:smooth val="0"/>
        </c:ser>
        <c:ser>
          <c:idx val="3"/>
          <c:order val="3"/>
          <c:tx>
            <c:v>Travel</c:v>
          </c:tx>
          <c:spPr>
            <a:ln w="28575">
              <a:solidFill>
                <a:schemeClr val="bg1">
                  <a:lumMod val="50000"/>
                </a:schemeClr>
              </a:solidFill>
            </a:ln>
          </c:spPr>
          <c:marker>
            <c:symbol val="none"/>
          </c:marker>
          <c:cat>
            <c:strRef>
              <c:f>Tanzania!$A$6:$A$14</c:f>
              <c:strCache>
                <c:ptCount val="9"/>
                <c:pt idx="0">
                  <c:v>2005</c:v>
                </c:pt>
                <c:pt idx="1">
                  <c:v>2006</c:v>
                </c:pt>
                <c:pt idx="2">
                  <c:v>2007</c:v>
                </c:pt>
                <c:pt idx="3">
                  <c:v>2008</c:v>
                </c:pt>
                <c:pt idx="4">
                  <c:v>2009</c:v>
                </c:pt>
                <c:pt idx="5">
                  <c:v>2010</c:v>
                </c:pt>
                <c:pt idx="6">
                  <c:v>2011</c:v>
                </c:pt>
                <c:pt idx="7">
                  <c:v>2012</c:v>
                </c:pt>
                <c:pt idx="8">
                  <c:v>2013</c:v>
                </c:pt>
              </c:strCache>
            </c:strRef>
          </c:cat>
          <c:val>
            <c:numRef>
              <c:f>Tanzania!$E$6:$E$14</c:f>
              <c:numCache>
                <c:formatCode>_-* #,##0_-;\-* #,##0_-;_-* "-"??_-;_-@_-</c:formatCode>
                <c:ptCount val="9"/>
                <c:pt idx="0">
                  <c:v>64.892449633742018</c:v>
                </c:pt>
                <c:pt idx="1">
                  <c:v>62.184286238688834</c:v>
                </c:pt>
                <c:pt idx="2">
                  <c:v>63.912389365856669</c:v>
                </c:pt>
                <c:pt idx="3">
                  <c:v>64.474359902451468</c:v>
                </c:pt>
                <c:pt idx="4">
                  <c:v>62.536201258138732</c:v>
                </c:pt>
                <c:pt idx="5">
                  <c:v>61.322561473412449</c:v>
                </c:pt>
                <c:pt idx="6">
                  <c:v>58.826214442679003</c:v>
                </c:pt>
                <c:pt idx="7">
                  <c:v>61.466100512323308</c:v>
                </c:pt>
                <c:pt idx="8">
                  <c:v>58.900972327988669</c:v>
                </c:pt>
              </c:numCache>
            </c:numRef>
          </c:val>
          <c:smooth val="0"/>
        </c:ser>
        <c:dLbls>
          <c:showLegendKey val="0"/>
          <c:showVal val="0"/>
          <c:showCatName val="0"/>
          <c:showSerName val="0"/>
          <c:showPercent val="0"/>
          <c:showBubbleSize val="0"/>
        </c:dLbls>
        <c:marker val="1"/>
        <c:smooth val="0"/>
        <c:axId val="120619392"/>
        <c:axId val="120620928"/>
      </c:lineChart>
      <c:catAx>
        <c:axId val="120619392"/>
        <c:scaling>
          <c:orientation val="minMax"/>
        </c:scaling>
        <c:delete val="0"/>
        <c:axPos val="b"/>
        <c:majorTickMark val="out"/>
        <c:minorTickMark val="none"/>
        <c:tickLblPos val="nextTo"/>
        <c:crossAx val="120620928"/>
        <c:crosses val="autoZero"/>
        <c:auto val="1"/>
        <c:lblAlgn val="ctr"/>
        <c:lblOffset val="100"/>
        <c:noMultiLvlLbl val="0"/>
      </c:catAx>
      <c:valAx>
        <c:axId val="120620928"/>
        <c:scaling>
          <c:orientation val="minMax"/>
          <c:max val="100"/>
        </c:scaling>
        <c:delete val="0"/>
        <c:axPos val="l"/>
        <c:majorGridlines/>
        <c:title>
          <c:tx>
            <c:rich>
              <a:bodyPr rot="-5400000" vert="horz"/>
              <a:lstStyle/>
              <a:p>
                <a:pPr>
                  <a:defRPr b="0"/>
                </a:pPr>
                <a:r>
                  <a:rPr lang="en-US" b="0"/>
                  <a:t>Percent</a:t>
                </a:r>
              </a:p>
            </c:rich>
          </c:tx>
          <c:overlay val="0"/>
        </c:title>
        <c:numFmt formatCode="#,##0" sourceLinked="0"/>
        <c:majorTickMark val="out"/>
        <c:minorTickMark val="none"/>
        <c:tickLblPos val="nextTo"/>
        <c:crossAx val="120619392"/>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2005-10</a:t>
            </a:r>
          </a:p>
        </c:rich>
      </c:tx>
      <c:overlay val="0"/>
    </c:title>
    <c:autoTitleDeleted val="0"/>
    <c:plotArea>
      <c:layout/>
      <c:bubbleChart>
        <c:varyColors val="0"/>
        <c:ser>
          <c:idx val="0"/>
          <c:order val="0"/>
          <c:tx>
            <c:v>Agriculture</c:v>
          </c:tx>
          <c:spPr>
            <a:solidFill>
              <a:srgbClr val="13CF44"/>
            </a:solidFill>
          </c:spPr>
          <c:invertIfNegative val="0"/>
          <c:xVal>
            <c:numRef>
              <c:f>'Rel. prod. cf employment'!$B$40</c:f>
              <c:numCache>
                <c:formatCode>#,##0.0_ ;\-#,##0.0\ </c:formatCode>
                <c:ptCount val="1"/>
                <c:pt idx="0">
                  <c:v>-3.0066911690810798</c:v>
                </c:pt>
              </c:numCache>
            </c:numRef>
          </c:xVal>
          <c:yVal>
            <c:numRef>
              <c:f>'Rel. prod. cf employment'!$C$40</c:f>
              <c:numCache>
                <c:formatCode>#,##0.0_ ;\-#,##0.0\ </c:formatCode>
                <c:ptCount val="1"/>
                <c:pt idx="0">
                  <c:v>0.38192642247146785</c:v>
                </c:pt>
              </c:numCache>
            </c:numRef>
          </c:yVal>
          <c:bubbleSize>
            <c:numRef>
              <c:f>'Rel. prod. cf employment'!$E$40</c:f>
              <c:numCache>
                <c:formatCode>#,##0_ ;\-#,##0\ </c:formatCode>
                <c:ptCount val="1"/>
                <c:pt idx="0">
                  <c:v>15688</c:v>
                </c:pt>
              </c:numCache>
            </c:numRef>
          </c:bubbleSize>
          <c:bubble3D val="1"/>
        </c:ser>
        <c:ser>
          <c:idx val="1"/>
          <c:order val="1"/>
          <c:tx>
            <c:v>Mining &amp; utilities</c:v>
          </c:tx>
          <c:spPr>
            <a:solidFill>
              <a:srgbClr val="000000"/>
            </a:solidFill>
            <a:ln w="25400">
              <a:noFill/>
            </a:ln>
          </c:spPr>
          <c:invertIfNegative val="0"/>
          <c:xVal>
            <c:numRef>
              <c:f>'Rel. prod. cf employment'!$B$41</c:f>
              <c:numCache>
                <c:formatCode>#,##0.0_ ;\-#,##0.0\ </c:formatCode>
                <c:ptCount val="1"/>
                <c:pt idx="0">
                  <c:v>0.20219925718776011</c:v>
                </c:pt>
              </c:numCache>
            </c:numRef>
          </c:xVal>
          <c:yVal>
            <c:numRef>
              <c:f>'Rel. prod. cf employment'!$C$41</c:f>
              <c:numCache>
                <c:formatCode>#,##0.0_ ;\-#,##0.0\ </c:formatCode>
                <c:ptCount val="1"/>
                <c:pt idx="0">
                  <c:v>6.8733761468469314</c:v>
                </c:pt>
              </c:numCache>
            </c:numRef>
          </c:yVal>
          <c:bubbleSize>
            <c:numRef>
              <c:f>'Rel. prod. cf employment'!$E$41</c:f>
              <c:numCache>
                <c:formatCode>#,##0_ ;\-#,##0\ </c:formatCode>
                <c:ptCount val="1"/>
                <c:pt idx="0">
                  <c:v>158</c:v>
                </c:pt>
              </c:numCache>
            </c:numRef>
          </c:bubbleSize>
          <c:bubble3D val="1"/>
        </c:ser>
        <c:ser>
          <c:idx val="2"/>
          <c:order val="2"/>
          <c:tx>
            <c:v>Manufacturing</c:v>
          </c:tx>
          <c:spPr>
            <a:solidFill>
              <a:srgbClr val="CC6600"/>
            </a:solidFill>
            <a:ln w="25400">
              <a:noFill/>
            </a:ln>
          </c:spPr>
          <c:invertIfNegative val="0"/>
          <c:xVal>
            <c:numRef>
              <c:f>'Rel. prod. cf employment'!$B$42</c:f>
              <c:numCache>
                <c:formatCode>#,##0.0_ ;\-#,##0.0\ </c:formatCode>
                <c:ptCount val="1"/>
                <c:pt idx="0">
                  <c:v>0.63773209621204208</c:v>
                </c:pt>
              </c:numCache>
            </c:numRef>
          </c:xVal>
          <c:yVal>
            <c:numRef>
              <c:f>'Rel. prod. cf employment'!$C$42</c:f>
              <c:numCache>
                <c:formatCode>#,##0.0_ ;\-#,##0.0\ </c:formatCode>
                <c:ptCount val="1"/>
                <c:pt idx="0">
                  <c:v>2.6183703211406817</c:v>
                </c:pt>
              </c:numCache>
            </c:numRef>
          </c:yVal>
          <c:bubbleSize>
            <c:numRef>
              <c:f>'Rel. prod. cf employment'!$E$42</c:f>
              <c:numCache>
                <c:formatCode>#,##0_ ;\-#,##0\ </c:formatCode>
                <c:ptCount val="1"/>
                <c:pt idx="0">
                  <c:v>680</c:v>
                </c:pt>
              </c:numCache>
            </c:numRef>
          </c:bubbleSize>
          <c:bubble3D val="1"/>
        </c:ser>
        <c:ser>
          <c:idx val="3"/>
          <c:order val="3"/>
          <c:tx>
            <c:v>Construction</c:v>
          </c:tx>
          <c:spPr>
            <a:solidFill>
              <a:srgbClr val="FFFF00"/>
            </a:solidFill>
            <a:ln w="25400">
              <a:noFill/>
            </a:ln>
          </c:spPr>
          <c:invertIfNegative val="0"/>
          <c:xVal>
            <c:numRef>
              <c:f>'Rel. prod. cf employment'!$B$43</c:f>
              <c:numCache>
                <c:formatCode>#,##0.0_ ;\-#,##0.0\ </c:formatCode>
                <c:ptCount val="1"/>
                <c:pt idx="0">
                  <c:v>0.16624392107754993</c:v>
                </c:pt>
              </c:numCache>
            </c:numRef>
          </c:xVal>
          <c:yVal>
            <c:numRef>
              <c:f>'Rel. prod. cf employment'!$C$43</c:f>
              <c:numCache>
                <c:formatCode>#,##0.0_ ;\-#,##0.0\ </c:formatCode>
                <c:ptCount val="1"/>
                <c:pt idx="0">
                  <c:v>6.5190525256220724</c:v>
                </c:pt>
              </c:numCache>
            </c:numRef>
          </c:yVal>
          <c:bubbleSize>
            <c:numRef>
              <c:f>'Rel. prod. cf employment'!$E$43</c:f>
              <c:numCache>
                <c:formatCode>#,##0_ ;\-#,##0\ </c:formatCode>
                <c:ptCount val="1"/>
                <c:pt idx="0">
                  <c:v>282</c:v>
                </c:pt>
              </c:numCache>
            </c:numRef>
          </c:bubbleSize>
          <c:bubble3D val="1"/>
        </c:ser>
        <c:ser>
          <c:idx val="4"/>
          <c:order val="4"/>
          <c:tx>
            <c:v>Wholesale, retail, hotels</c:v>
          </c:tx>
          <c:spPr>
            <a:solidFill>
              <a:srgbClr val="6666FF"/>
            </a:solidFill>
            <a:ln w="25400">
              <a:noFill/>
            </a:ln>
          </c:spPr>
          <c:invertIfNegative val="0"/>
          <c:xVal>
            <c:numRef>
              <c:f>'Rel. prod. cf employment'!$B$44</c:f>
              <c:numCache>
                <c:formatCode>#,##0.0_ ;\-#,##0.0\ </c:formatCode>
                <c:ptCount val="1"/>
                <c:pt idx="0">
                  <c:v>0.801274723146987</c:v>
                </c:pt>
              </c:numCache>
            </c:numRef>
          </c:xVal>
          <c:yVal>
            <c:numRef>
              <c:f>'Rel. prod. cf employment'!$C$44</c:f>
              <c:numCache>
                <c:formatCode>#,##0.0_ ;\-#,##0.0\ </c:formatCode>
                <c:ptCount val="1"/>
                <c:pt idx="0">
                  <c:v>1.0577722550386852</c:v>
                </c:pt>
              </c:numCache>
            </c:numRef>
          </c:yVal>
          <c:bubbleSize>
            <c:numRef>
              <c:f>'Rel. prod. cf employment'!$E$44</c:f>
              <c:numCache>
                <c:formatCode>#,##0_ ;\-#,##0\ </c:formatCode>
                <c:ptCount val="1"/>
                <c:pt idx="0">
                  <c:v>2478</c:v>
                </c:pt>
              </c:numCache>
            </c:numRef>
          </c:bubbleSize>
          <c:bubble3D val="1"/>
        </c:ser>
        <c:ser>
          <c:idx val="5"/>
          <c:order val="5"/>
          <c:tx>
            <c:v>Transport, storage, comms</c:v>
          </c:tx>
          <c:spPr>
            <a:solidFill>
              <a:srgbClr val="66FFFF"/>
            </a:solidFill>
            <a:ln w="25400">
              <a:noFill/>
            </a:ln>
          </c:spPr>
          <c:invertIfNegative val="0"/>
          <c:xVal>
            <c:numRef>
              <c:f>'Rel. prod. cf employment'!$B$45</c:f>
              <c:numCache>
                <c:formatCode>#,##0.0_ ;\-#,##0.0\ </c:formatCode>
                <c:ptCount val="1"/>
                <c:pt idx="0">
                  <c:v>0.36895035293677769</c:v>
                </c:pt>
              </c:numCache>
            </c:numRef>
          </c:xVal>
          <c:yVal>
            <c:numRef>
              <c:f>'Rel. prod. cf employment'!$C$45</c:f>
              <c:numCache>
                <c:formatCode>#,##0.0_ ;\-#,##0.0\ </c:formatCode>
                <c:ptCount val="1"/>
                <c:pt idx="0">
                  <c:v>6.4424166815762636</c:v>
                </c:pt>
              </c:numCache>
            </c:numRef>
          </c:yVal>
          <c:bubbleSize>
            <c:numRef>
              <c:f>'Rel. prod. cf employment'!$E$45</c:f>
              <c:numCache>
                <c:formatCode>#,##0_ ;\-#,##0\ </c:formatCode>
                <c:ptCount val="1"/>
                <c:pt idx="0">
                  <c:v>329</c:v>
                </c:pt>
              </c:numCache>
            </c:numRef>
          </c:bubbleSize>
          <c:bubble3D val="1"/>
        </c:ser>
        <c:ser>
          <c:idx val="6"/>
          <c:order val="6"/>
          <c:tx>
            <c:v>Other</c:v>
          </c:tx>
          <c:spPr>
            <a:solidFill>
              <a:srgbClr val="FF00FF"/>
            </a:solidFill>
            <a:ln w="25400">
              <a:noFill/>
            </a:ln>
          </c:spPr>
          <c:invertIfNegative val="0"/>
          <c:xVal>
            <c:numRef>
              <c:f>'Rel. prod. cf employment'!$B$46</c:f>
              <c:numCache>
                <c:formatCode>#,##0.0_ ;\-#,##0.0\ </c:formatCode>
                <c:ptCount val="1"/>
                <c:pt idx="0">
                  <c:v>0.83029081851995201</c:v>
                </c:pt>
              </c:numCache>
            </c:numRef>
          </c:xVal>
          <c:yVal>
            <c:numRef>
              <c:f>'Rel. prod. cf employment'!$C$46</c:f>
              <c:numCache>
                <c:formatCode>#,##0.0_ ;\-#,##0.0\ </c:formatCode>
                <c:ptCount val="1"/>
                <c:pt idx="0">
                  <c:v>3.2269538839233767</c:v>
                </c:pt>
              </c:numCache>
            </c:numRef>
          </c:yVal>
          <c:bubbleSize>
            <c:numRef>
              <c:f>'Rel. prod. cf employment'!$E$46</c:f>
              <c:numCache>
                <c:formatCode>#,##0_ ;\-#,##0\ </c:formatCode>
                <c:ptCount val="1"/>
                <c:pt idx="0">
                  <c:v>1876</c:v>
                </c:pt>
              </c:numCache>
            </c:numRef>
          </c:bubbleSize>
          <c:bubble3D val="1"/>
        </c:ser>
        <c:dLbls>
          <c:showLegendKey val="0"/>
          <c:showVal val="0"/>
          <c:showCatName val="0"/>
          <c:showSerName val="0"/>
          <c:showPercent val="0"/>
          <c:showBubbleSize val="0"/>
        </c:dLbls>
        <c:bubbleScale val="100"/>
        <c:showNegBubbles val="0"/>
        <c:axId val="88367104"/>
        <c:axId val="88369024"/>
      </c:bubbleChart>
      <c:valAx>
        <c:axId val="88367104"/>
        <c:scaling>
          <c:orientation val="minMax"/>
        </c:scaling>
        <c:delete val="0"/>
        <c:axPos val="b"/>
        <c:title>
          <c:tx>
            <c:rich>
              <a:bodyPr/>
              <a:lstStyle/>
              <a:p>
                <a:pPr>
                  <a:defRPr sz="800" b="0"/>
                </a:pPr>
                <a:r>
                  <a:rPr lang="en-US" sz="800" b="0"/>
                  <a:t>Percentage point change in employment share, 2005-10</a:t>
                </a:r>
              </a:p>
            </c:rich>
          </c:tx>
          <c:overlay val="0"/>
        </c:title>
        <c:numFmt formatCode="#,##0.0_ ;\-#,##0.0\ " sourceLinked="1"/>
        <c:majorTickMark val="out"/>
        <c:minorTickMark val="none"/>
        <c:tickLblPos val="low"/>
        <c:crossAx val="88369024"/>
        <c:crosses val="autoZero"/>
        <c:crossBetween val="midCat"/>
      </c:valAx>
      <c:valAx>
        <c:axId val="88369024"/>
        <c:scaling>
          <c:orientation val="minMax"/>
        </c:scaling>
        <c:delete val="0"/>
        <c:axPos val="l"/>
        <c:majorGridlines/>
        <c:title>
          <c:tx>
            <c:rich>
              <a:bodyPr rot="-5400000" vert="horz"/>
              <a:lstStyle/>
              <a:p>
                <a:pPr>
                  <a:defRPr sz="800" b="0"/>
                </a:pPr>
                <a:r>
                  <a:rPr lang="en-US" sz="800" b="0"/>
                  <a:t>Relative productivity level, 2010</a:t>
                </a:r>
              </a:p>
            </c:rich>
          </c:tx>
          <c:overlay val="0"/>
        </c:title>
        <c:numFmt formatCode="#,##0.0_ ;\-#,##0.0\ " sourceLinked="1"/>
        <c:majorTickMark val="out"/>
        <c:minorTickMark val="none"/>
        <c:tickLblPos val="low"/>
        <c:crossAx val="88367104"/>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2010-13</a:t>
            </a:r>
          </a:p>
        </c:rich>
      </c:tx>
      <c:overlay val="0"/>
    </c:title>
    <c:autoTitleDeleted val="0"/>
    <c:plotArea>
      <c:layout/>
      <c:bubbleChart>
        <c:varyColors val="0"/>
        <c:ser>
          <c:idx val="0"/>
          <c:order val="0"/>
          <c:tx>
            <c:v>Agriculture</c:v>
          </c:tx>
          <c:spPr>
            <a:solidFill>
              <a:srgbClr val="13CF44"/>
            </a:solidFill>
          </c:spPr>
          <c:invertIfNegative val="0"/>
          <c:xVal>
            <c:numRef>
              <c:f>'Rel. prod. cf employment'!$B$57</c:f>
              <c:numCache>
                <c:formatCode>#,##0.0_ ;\-#,##0.0\ </c:formatCode>
                <c:ptCount val="1"/>
                <c:pt idx="0">
                  <c:v>-1.7018997962398998</c:v>
                </c:pt>
              </c:numCache>
            </c:numRef>
          </c:xVal>
          <c:yVal>
            <c:numRef>
              <c:f>'Rel. prod. cf employment'!$C$57</c:f>
              <c:numCache>
                <c:formatCode>#,##0.0_ ;\-#,##0.0\ </c:formatCode>
                <c:ptCount val="1"/>
                <c:pt idx="0">
                  <c:v>0.35536354298737183</c:v>
                </c:pt>
              </c:numCache>
            </c:numRef>
          </c:yVal>
          <c:bubbleSize>
            <c:numRef>
              <c:f>'Rel. prod. cf employment'!$E$57</c:f>
              <c:numCache>
                <c:formatCode>#,##0_ ;\-#,##0\ </c:formatCode>
                <c:ptCount val="1"/>
                <c:pt idx="0">
                  <c:v>16761</c:v>
                </c:pt>
              </c:numCache>
            </c:numRef>
          </c:bubbleSize>
          <c:bubble3D val="1"/>
        </c:ser>
        <c:ser>
          <c:idx val="1"/>
          <c:order val="1"/>
          <c:tx>
            <c:v>Mining &amp; utilities</c:v>
          </c:tx>
          <c:spPr>
            <a:solidFill>
              <a:srgbClr val="000000"/>
            </a:solidFill>
            <a:ln w="25400">
              <a:noFill/>
            </a:ln>
          </c:spPr>
          <c:invertIfNegative val="0"/>
          <c:xVal>
            <c:numRef>
              <c:f>'Rel. prod. cf employment'!$B$58</c:f>
              <c:numCache>
                <c:formatCode>#,##0.0_ ;\-#,##0.0\ </c:formatCode>
                <c:ptCount val="1"/>
                <c:pt idx="0">
                  <c:v>1.3457977899452467E-2</c:v>
                </c:pt>
              </c:numCache>
            </c:numRef>
          </c:xVal>
          <c:yVal>
            <c:numRef>
              <c:f>'Rel. prod. cf employment'!$C$58</c:f>
              <c:numCache>
                <c:formatCode>#,##0.0_ ;\-#,##0.0\ </c:formatCode>
                <c:ptCount val="1"/>
                <c:pt idx="0">
                  <c:v>6.3752549781679386</c:v>
                </c:pt>
              </c:numCache>
            </c:numRef>
          </c:yVal>
          <c:bubbleSize>
            <c:numRef>
              <c:f>'Rel. prod. cf employment'!$E$58</c:f>
              <c:numCache>
                <c:formatCode>#,##0_ ;\-#,##0\ </c:formatCode>
                <c:ptCount val="1"/>
                <c:pt idx="0">
                  <c:v>176</c:v>
                </c:pt>
              </c:numCache>
            </c:numRef>
          </c:bubbleSize>
          <c:bubble3D val="1"/>
        </c:ser>
        <c:ser>
          <c:idx val="2"/>
          <c:order val="2"/>
          <c:tx>
            <c:v>Manufacturing</c:v>
          </c:tx>
          <c:spPr>
            <a:solidFill>
              <a:srgbClr val="CC6600"/>
            </a:solidFill>
            <a:ln w="25400">
              <a:noFill/>
            </a:ln>
          </c:spPr>
          <c:invertIfNegative val="0"/>
          <c:xVal>
            <c:numRef>
              <c:f>'Rel. prod. cf employment'!$B$59</c:f>
              <c:numCache>
                <c:formatCode>#,##0.0_ ;\-#,##0.0\ </c:formatCode>
                <c:ptCount val="1"/>
                <c:pt idx="0">
                  <c:v>9.4211387305480176E-2</c:v>
                </c:pt>
              </c:numCache>
            </c:numRef>
          </c:xVal>
          <c:yVal>
            <c:numRef>
              <c:f>'Rel. prod. cf employment'!$C$59</c:f>
              <c:numCache>
                <c:formatCode>#,##0.0_ ;\-#,##0.0\ </c:formatCode>
                <c:ptCount val="1"/>
                <c:pt idx="0">
                  <c:v>2.4846590100494717</c:v>
                </c:pt>
              </c:numCache>
            </c:numRef>
          </c:yVal>
          <c:bubbleSize>
            <c:numRef>
              <c:f>'Rel. prod. cf employment'!$E$59</c:f>
              <c:numCache>
                <c:formatCode>#,##0_ ;\-#,##0\ </c:formatCode>
                <c:ptCount val="1"/>
                <c:pt idx="0">
                  <c:v>766</c:v>
                </c:pt>
              </c:numCache>
            </c:numRef>
          </c:bubbleSize>
          <c:bubble3D val="1"/>
        </c:ser>
        <c:ser>
          <c:idx val="3"/>
          <c:order val="3"/>
          <c:tx>
            <c:v>Construction</c:v>
          </c:tx>
          <c:spPr>
            <a:solidFill>
              <a:srgbClr val="FFFF00"/>
            </a:solidFill>
            <a:ln w="25400">
              <a:noFill/>
            </a:ln>
          </c:spPr>
          <c:invertIfNegative val="0"/>
          <c:xVal>
            <c:numRef>
              <c:f>'Rel. prod. cf employment'!$B$60</c:f>
              <c:numCache>
                <c:formatCode>#,##0.0_ ;\-#,##0.0\ </c:formatCode>
                <c:ptCount val="1"/>
                <c:pt idx="0">
                  <c:v>0.10430160490315332</c:v>
                </c:pt>
              </c:numCache>
            </c:numRef>
          </c:xVal>
          <c:yVal>
            <c:numRef>
              <c:f>'Rel. prod. cf employment'!$C$60</c:f>
              <c:numCache>
                <c:formatCode>#,##0.0_ ;\-#,##0.0\ </c:formatCode>
                <c:ptCount val="1"/>
                <c:pt idx="0">
                  <c:v>7.4891440227304766</c:v>
                </c:pt>
              </c:numCache>
            </c:numRef>
          </c:yVal>
          <c:bubbleSize>
            <c:numRef>
              <c:f>'Rel. prod. cf employment'!$E$60</c:f>
              <c:numCache>
                <c:formatCode>#,##0_ ;\-#,##0\ </c:formatCode>
                <c:ptCount val="1"/>
                <c:pt idx="0">
                  <c:v>333</c:v>
                </c:pt>
              </c:numCache>
            </c:numRef>
          </c:bubbleSize>
          <c:bubble3D val="1"/>
        </c:ser>
        <c:ser>
          <c:idx val="4"/>
          <c:order val="4"/>
          <c:tx>
            <c:v>Wholesale, retail, hotels</c:v>
          </c:tx>
          <c:spPr>
            <a:solidFill>
              <a:srgbClr val="6666FF"/>
            </a:solidFill>
            <a:ln w="25400">
              <a:noFill/>
            </a:ln>
          </c:spPr>
          <c:invertIfNegative val="0"/>
          <c:xVal>
            <c:numRef>
              <c:f>'Rel. prod. cf employment'!$B$61</c:f>
              <c:numCache>
                <c:formatCode>#,##0.0_ ;\-#,##0.0\ </c:formatCode>
                <c:ptCount val="1"/>
                <c:pt idx="0">
                  <c:v>0.69044351095323364</c:v>
                </c:pt>
              </c:numCache>
            </c:numRef>
          </c:xVal>
          <c:yVal>
            <c:numRef>
              <c:f>'Rel. prod. cf employment'!$C$61</c:f>
              <c:numCache>
                <c:formatCode>#,##0.0_ ;\-#,##0.0\ </c:formatCode>
                <c:ptCount val="1"/>
                <c:pt idx="0">
                  <c:v>0.99700640259863005</c:v>
                </c:pt>
              </c:numCache>
            </c:numRef>
          </c:yVal>
          <c:bubbleSize>
            <c:numRef>
              <c:f>'Rel. prod. cf employment'!$E$61</c:f>
              <c:numCache>
                <c:formatCode>#,##0_ ;\-#,##0\ </c:formatCode>
                <c:ptCount val="1"/>
                <c:pt idx="0">
                  <c:v>2873</c:v>
                </c:pt>
              </c:numCache>
            </c:numRef>
          </c:bubbleSize>
          <c:bubble3D val="1"/>
        </c:ser>
        <c:ser>
          <c:idx val="5"/>
          <c:order val="5"/>
          <c:tx>
            <c:v>Transport, storage, comms</c:v>
          </c:tx>
          <c:spPr>
            <a:solidFill>
              <a:srgbClr val="66FFFF"/>
            </a:solidFill>
            <a:ln w="25400">
              <a:noFill/>
            </a:ln>
          </c:spPr>
          <c:invertIfNegative val="0"/>
          <c:xVal>
            <c:numRef>
              <c:f>'Rel. prod. cf employment'!$B$62</c:f>
              <c:numCache>
                <c:formatCode>#,##0.0_ ;\-#,##0.0\ </c:formatCode>
                <c:ptCount val="1"/>
                <c:pt idx="0">
                  <c:v>0.13231943091069831</c:v>
                </c:pt>
              </c:numCache>
            </c:numRef>
          </c:xVal>
          <c:yVal>
            <c:numRef>
              <c:f>'Rel. prod. cf employment'!$C$62</c:f>
              <c:numCache>
                <c:formatCode>#,##0.0_ ;\-#,##0.0\ </c:formatCode>
                <c:ptCount val="1"/>
                <c:pt idx="0">
                  <c:v>6.2894886338449272</c:v>
                </c:pt>
              </c:numCache>
            </c:numRef>
          </c:yVal>
          <c:bubbleSize>
            <c:numRef>
              <c:f>'Rel. prod. cf employment'!$E$62</c:f>
              <c:numCache>
                <c:formatCode>#,##0_ ;\-#,##0\ </c:formatCode>
                <c:ptCount val="1"/>
                <c:pt idx="0">
                  <c:v>391</c:v>
                </c:pt>
              </c:numCache>
            </c:numRef>
          </c:bubbleSize>
          <c:bubble3D val="1"/>
        </c:ser>
        <c:ser>
          <c:idx val="6"/>
          <c:order val="6"/>
          <c:tx>
            <c:v>Other</c:v>
          </c:tx>
          <c:spPr>
            <a:solidFill>
              <a:srgbClr val="FF00FF"/>
            </a:solidFill>
            <a:ln w="25400">
              <a:noFill/>
            </a:ln>
          </c:spPr>
          <c:invertIfNegative val="0"/>
          <c:xVal>
            <c:numRef>
              <c:f>'Rel. prod. cf employment'!$B$63</c:f>
              <c:numCache>
                <c:formatCode>#,##0.0_ ;\-#,##0.0\ </c:formatCode>
                <c:ptCount val="1"/>
                <c:pt idx="0">
                  <c:v>0.66716588426789336</c:v>
                </c:pt>
              </c:numCache>
            </c:numRef>
          </c:xVal>
          <c:yVal>
            <c:numRef>
              <c:f>'Rel. prod. cf employment'!$C$63</c:f>
              <c:numCache>
                <c:formatCode>#,##0.0_ ;\-#,##0.0\ </c:formatCode>
                <c:ptCount val="1"/>
                <c:pt idx="0">
                  <c:v>3.0375661240673266</c:v>
                </c:pt>
              </c:numCache>
            </c:numRef>
          </c:yVal>
          <c:bubbleSize>
            <c:numRef>
              <c:f>'Rel. prod. cf employment'!$E$63</c:f>
              <c:numCache>
                <c:formatCode>#,##0_ ;\-#,##0\ </c:formatCode>
                <c:ptCount val="1"/>
                <c:pt idx="0">
                  <c:v>2209</c:v>
                </c:pt>
              </c:numCache>
            </c:numRef>
          </c:bubbleSize>
          <c:bubble3D val="1"/>
        </c:ser>
        <c:dLbls>
          <c:showLegendKey val="0"/>
          <c:showVal val="0"/>
          <c:showCatName val="0"/>
          <c:showSerName val="0"/>
          <c:showPercent val="0"/>
          <c:showBubbleSize val="0"/>
        </c:dLbls>
        <c:bubbleScale val="100"/>
        <c:showNegBubbles val="0"/>
        <c:axId val="98901376"/>
        <c:axId val="98911744"/>
      </c:bubbleChart>
      <c:valAx>
        <c:axId val="98901376"/>
        <c:scaling>
          <c:orientation val="minMax"/>
        </c:scaling>
        <c:delete val="0"/>
        <c:axPos val="b"/>
        <c:title>
          <c:tx>
            <c:rich>
              <a:bodyPr/>
              <a:lstStyle/>
              <a:p>
                <a:pPr>
                  <a:defRPr sz="800" b="0"/>
                </a:pPr>
                <a:r>
                  <a:rPr lang="en-US" sz="800" b="0"/>
                  <a:t>Percentage point change in employment share, 2010-13</a:t>
                </a:r>
              </a:p>
            </c:rich>
          </c:tx>
          <c:overlay val="0"/>
        </c:title>
        <c:numFmt formatCode="#,##0.0_ ;\-#,##0.0\ " sourceLinked="1"/>
        <c:majorTickMark val="out"/>
        <c:minorTickMark val="none"/>
        <c:tickLblPos val="low"/>
        <c:crossAx val="98911744"/>
        <c:crosses val="autoZero"/>
        <c:crossBetween val="midCat"/>
      </c:valAx>
      <c:valAx>
        <c:axId val="98911744"/>
        <c:scaling>
          <c:orientation val="minMax"/>
        </c:scaling>
        <c:delete val="0"/>
        <c:axPos val="l"/>
        <c:majorGridlines/>
        <c:title>
          <c:tx>
            <c:rich>
              <a:bodyPr rot="-5400000" vert="horz"/>
              <a:lstStyle/>
              <a:p>
                <a:pPr>
                  <a:defRPr sz="800" b="0"/>
                </a:pPr>
                <a:r>
                  <a:rPr lang="en-US" sz="800" b="0"/>
                  <a:t>Relative productivity level, 2013</a:t>
                </a:r>
              </a:p>
            </c:rich>
          </c:tx>
          <c:overlay val="0"/>
        </c:title>
        <c:numFmt formatCode="#,##0.0_ ;\-#,##0.0\ " sourceLinked="1"/>
        <c:majorTickMark val="out"/>
        <c:minorTickMark val="none"/>
        <c:tickLblPos val="low"/>
        <c:crossAx val="98901376"/>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strRef>
              <c:f>'Decomposition of prod change'!$F$3</c:f>
              <c:strCache>
                <c:ptCount val="1"/>
                <c:pt idx="0">
                  <c:v>Within sector</c:v>
                </c:pt>
              </c:strCache>
            </c:strRef>
          </c:tx>
          <c:invertIfNegative val="0"/>
          <c:cat>
            <c:strRef>
              <c:f>'Decomposition of prod change'!$E$4:$E$6</c:f>
              <c:strCache>
                <c:ptCount val="3"/>
                <c:pt idx="0">
                  <c:v>1990-2000</c:v>
                </c:pt>
                <c:pt idx="1">
                  <c:v>2000-05</c:v>
                </c:pt>
                <c:pt idx="2">
                  <c:v>2005-10</c:v>
                </c:pt>
              </c:strCache>
            </c:strRef>
          </c:cat>
          <c:val>
            <c:numRef>
              <c:f>'Decomposition of prod change'!$F$4:$F$6</c:f>
              <c:numCache>
                <c:formatCode>0.00%</c:formatCode>
                <c:ptCount val="3"/>
                <c:pt idx="0">
                  <c:v>1.2582370910519622E-2</c:v>
                </c:pt>
                <c:pt idx="1">
                  <c:v>2.3760651913133399E-2</c:v>
                </c:pt>
                <c:pt idx="2">
                  <c:v>2.1384335217853198E-2</c:v>
                </c:pt>
              </c:numCache>
            </c:numRef>
          </c:val>
        </c:ser>
        <c:ser>
          <c:idx val="1"/>
          <c:order val="1"/>
          <c:tx>
            <c:strRef>
              <c:f>'Decomposition of prod change'!$G$3</c:f>
              <c:strCache>
                <c:ptCount val="1"/>
                <c:pt idx="0">
                  <c:v>Structural change</c:v>
                </c:pt>
              </c:strCache>
            </c:strRef>
          </c:tx>
          <c:spPr>
            <a:solidFill>
              <a:schemeClr val="accent6"/>
            </a:solidFill>
          </c:spPr>
          <c:invertIfNegative val="0"/>
          <c:cat>
            <c:strRef>
              <c:f>'Decomposition of prod change'!$E$4:$E$6</c:f>
              <c:strCache>
                <c:ptCount val="3"/>
                <c:pt idx="0">
                  <c:v>1990-2000</c:v>
                </c:pt>
                <c:pt idx="1">
                  <c:v>2000-05</c:v>
                </c:pt>
                <c:pt idx="2">
                  <c:v>2005-10</c:v>
                </c:pt>
              </c:strCache>
            </c:strRef>
          </c:cat>
          <c:val>
            <c:numRef>
              <c:f>'Decomposition of prod change'!$G$4:$G$6</c:f>
              <c:numCache>
                <c:formatCode>0.00%</c:formatCode>
                <c:ptCount val="3"/>
                <c:pt idx="0">
                  <c:v>-5.5810369849890271E-3</c:v>
                </c:pt>
                <c:pt idx="1">
                  <c:v>1.7326984535347947E-2</c:v>
                </c:pt>
                <c:pt idx="2">
                  <c:v>1.8210783314231219E-2</c:v>
                </c:pt>
              </c:numCache>
            </c:numRef>
          </c:val>
        </c:ser>
        <c:dLbls>
          <c:showLegendKey val="0"/>
          <c:showVal val="0"/>
          <c:showCatName val="0"/>
          <c:showSerName val="0"/>
          <c:showPercent val="0"/>
          <c:showBubbleSize val="0"/>
        </c:dLbls>
        <c:gapWidth val="150"/>
        <c:overlap val="100"/>
        <c:axId val="98937856"/>
        <c:axId val="98943744"/>
      </c:barChart>
      <c:catAx>
        <c:axId val="98937856"/>
        <c:scaling>
          <c:orientation val="minMax"/>
        </c:scaling>
        <c:delete val="0"/>
        <c:axPos val="b"/>
        <c:majorTickMark val="out"/>
        <c:minorTickMark val="none"/>
        <c:tickLblPos val="low"/>
        <c:crossAx val="98943744"/>
        <c:crosses val="autoZero"/>
        <c:auto val="1"/>
        <c:lblAlgn val="ctr"/>
        <c:lblOffset val="100"/>
        <c:noMultiLvlLbl val="0"/>
      </c:catAx>
      <c:valAx>
        <c:axId val="98943744"/>
        <c:scaling>
          <c:orientation val="minMax"/>
        </c:scaling>
        <c:delete val="0"/>
        <c:axPos val="l"/>
        <c:majorGridlines/>
        <c:title>
          <c:tx>
            <c:rich>
              <a:bodyPr rot="-5400000" vert="horz"/>
              <a:lstStyle/>
              <a:p>
                <a:pPr>
                  <a:defRPr b="0"/>
                </a:pPr>
                <a:r>
                  <a:rPr lang="en-US" b="0"/>
                  <a:t>Annualised labour productivity growth</a:t>
                </a:r>
              </a:p>
            </c:rich>
          </c:tx>
          <c:overlay val="0"/>
        </c:title>
        <c:numFmt formatCode="0.0%" sourceLinked="0"/>
        <c:majorTickMark val="out"/>
        <c:minorTickMark val="none"/>
        <c:tickLblPos val="nextTo"/>
        <c:crossAx val="98937856"/>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strRef>
              <c:f>'Decomposition of prod change'!$B$4</c:f>
              <c:strCache>
                <c:ptCount val="1"/>
                <c:pt idx="0">
                  <c:v>Within sector</c:v>
                </c:pt>
              </c:strCache>
            </c:strRef>
          </c:tx>
          <c:invertIfNegative val="0"/>
          <c:cat>
            <c:strRef>
              <c:f>'Decomposition of prod change'!$A$5:$A$8</c:f>
              <c:strCache>
                <c:ptCount val="4"/>
                <c:pt idx="0">
                  <c:v>1991-2000</c:v>
                </c:pt>
                <c:pt idx="1">
                  <c:v>2000-05</c:v>
                </c:pt>
                <c:pt idx="2">
                  <c:v>2005-10</c:v>
                </c:pt>
                <c:pt idx="3">
                  <c:v>2010-13</c:v>
                </c:pt>
              </c:strCache>
            </c:strRef>
          </c:cat>
          <c:val>
            <c:numRef>
              <c:f>'Decomposition of prod change'!$B$5:$B$8</c:f>
              <c:numCache>
                <c:formatCode>0.00%</c:formatCode>
                <c:ptCount val="4"/>
                <c:pt idx="0">
                  <c:v>8.1478747562835543E-3</c:v>
                </c:pt>
                <c:pt idx="1">
                  <c:v>1.8892633241556218E-2</c:v>
                </c:pt>
                <c:pt idx="2">
                  <c:v>2.3977585371266045E-2</c:v>
                </c:pt>
                <c:pt idx="3">
                  <c:v>1.272285417679209E-2</c:v>
                </c:pt>
              </c:numCache>
            </c:numRef>
          </c:val>
        </c:ser>
        <c:ser>
          <c:idx val="1"/>
          <c:order val="1"/>
          <c:tx>
            <c:strRef>
              <c:f>'Decomposition of prod change'!$C$4</c:f>
              <c:strCache>
                <c:ptCount val="1"/>
                <c:pt idx="0">
                  <c:v>Structural change</c:v>
                </c:pt>
              </c:strCache>
            </c:strRef>
          </c:tx>
          <c:spPr>
            <a:solidFill>
              <a:schemeClr val="accent6"/>
            </a:solidFill>
          </c:spPr>
          <c:invertIfNegative val="0"/>
          <c:cat>
            <c:strRef>
              <c:f>'Decomposition of prod change'!$A$5:$A$8</c:f>
              <c:strCache>
                <c:ptCount val="4"/>
                <c:pt idx="0">
                  <c:v>1991-2000</c:v>
                </c:pt>
                <c:pt idx="1">
                  <c:v>2000-05</c:v>
                </c:pt>
                <c:pt idx="2">
                  <c:v>2005-10</c:v>
                </c:pt>
                <c:pt idx="3">
                  <c:v>2010-13</c:v>
                </c:pt>
              </c:strCache>
            </c:strRef>
          </c:cat>
          <c:val>
            <c:numRef>
              <c:f>'Decomposition of prod change'!$C$5:$C$8</c:f>
              <c:numCache>
                <c:formatCode>0.00%</c:formatCode>
                <c:ptCount val="4"/>
                <c:pt idx="0">
                  <c:v>1.3958999054872554E-3</c:v>
                </c:pt>
                <c:pt idx="1">
                  <c:v>1.6602222045194008E-2</c:v>
                </c:pt>
                <c:pt idx="2">
                  <c:v>9.917548932012684E-3</c:v>
                </c:pt>
                <c:pt idx="3">
                  <c:v>2.231185679357028E-2</c:v>
                </c:pt>
              </c:numCache>
            </c:numRef>
          </c:val>
        </c:ser>
        <c:dLbls>
          <c:showLegendKey val="0"/>
          <c:showVal val="0"/>
          <c:showCatName val="0"/>
          <c:showSerName val="0"/>
          <c:showPercent val="0"/>
          <c:showBubbleSize val="0"/>
        </c:dLbls>
        <c:gapWidth val="150"/>
        <c:overlap val="100"/>
        <c:axId val="99296768"/>
        <c:axId val="99298304"/>
      </c:barChart>
      <c:catAx>
        <c:axId val="99296768"/>
        <c:scaling>
          <c:orientation val="minMax"/>
        </c:scaling>
        <c:delete val="0"/>
        <c:axPos val="b"/>
        <c:majorTickMark val="out"/>
        <c:minorTickMark val="none"/>
        <c:tickLblPos val="low"/>
        <c:crossAx val="99298304"/>
        <c:crosses val="autoZero"/>
        <c:auto val="1"/>
        <c:lblAlgn val="ctr"/>
        <c:lblOffset val="100"/>
        <c:noMultiLvlLbl val="0"/>
      </c:catAx>
      <c:valAx>
        <c:axId val="99298304"/>
        <c:scaling>
          <c:orientation val="minMax"/>
        </c:scaling>
        <c:delete val="0"/>
        <c:axPos val="l"/>
        <c:majorGridlines/>
        <c:title>
          <c:tx>
            <c:rich>
              <a:bodyPr rot="-5400000" vert="horz"/>
              <a:lstStyle/>
              <a:p>
                <a:pPr>
                  <a:defRPr b="0"/>
                </a:pPr>
                <a:r>
                  <a:rPr lang="en-US" b="0"/>
                  <a:t>Annualised labour productivity growth</a:t>
                </a:r>
              </a:p>
            </c:rich>
          </c:tx>
          <c:overlay val="0"/>
        </c:title>
        <c:numFmt formatCode="0.0%" sourceLinked="0"/>
        <c:majorTickMark val="out"/>
        <c:minorTickMark val="none"/>
        <c:tickLblPos val="nextTo"/>
        <c:crossAx val="99296768"/>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DI">
      <a:dk1>
        <a:sysClr val="windowText" lastClr="000000"/>
      </a:dk1>
      <a:lt1>
        <a:sysClr val="window" lastClr="FFFFFF"/>
      </a:lt1>
      <a:dk2>
        <a:srgbClr val="6D6E70"/>
      </a:dk2>
      <a:lt2>
        <a:srgbClr val="BCBEC0"/>
      </a:lt2>
      <a:accent1>
        <a:srgbClr val="006C67"/>
      </a:accent1>
      <a:accent2>
        <a:srgbClr val="62A5A2"/>
      </a:accent2>
      <a:accent3>
        <a:srgbClr val="C7DDDC"/>
      </a:accent3>
      <a:accent4>
        <a:srgbClr val="E0E0E0"/>
      </a:accent4>
      <a:accent5>
        <a:srgbClr val="F7941E"/>
      </a:accent5>
      <a:accent6>
        <a:srgbClr val="F9A64A"/>
      </a:accent6>
      <a:hlink>
        <a:srgbClr val="FCBB76"/>
      </a:hlink>
      <a:folHlink>
        <a:srgbClr val="FED09E"/>
      </a:folHlink>
    </a:clrScheme>
    <a:fontScheme name="ODI">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startFromScratch="false">
    <tabs>
      <tab id="tabODISimpleReport" label="ODI Simple Report" visible="true" insertBeforeMso="TabHome" keytip="UN">
        <group id="groupHeadings" label="Headings">
          <button id="rxbtnHeading1" label="H1" size="normal" screentip="Apply Heading 1 style (section heading) to selected paragraph/s" onAction="rxbtnApplyStyle_click"/>
          <button id="rxbtnHeading2" label="H2" size="normal" screentip="Apply Heading 2 style to selected paragraph/s" onAction="rxbtnApplyStyle_click"/>
          <button id="rxbtnHeading3" label="H3" size="normal" screentip="Apply Heading 3 style to selected paragraph/s" onAction="rxbtnApplyStyle_click"/>
          <button id="rxbtnHeading4" label="H4" size="normal" screentip="Apply Heading 4 style to selected paragraph/s" onAction="rxbtnApplyStyle_click"/>
        </group>
        <group id="groupBodyText" label="Body">
          <button id="rxbtnBodyText" label="Body Text" size="normal" screentip="Apply Body Text style to selected paragraph/s" onAction="rxbtnApplyStyle_click" imageMso="ContentControlText"/>
          <button id="rxbtnBullet" label="Bullet" size="normal" screentip="Apply List Bullet style to selected paragraph/s" onAction="rxbtnApplyStyle_click" imageMso="BulletsGalleryWord"/>
          <button id="rxbtnLastBullet" label="Last Bullet" size="normal" screentip="Apply Last Bullet style (with paragraph spacing) to selected paragraph/s" onAction="rxbtnApplyStyle_click" imageMso="BulletsGalleryWord"/>
          <button id="rxbtnNumber" label="Numbered List" size="normal" screentip="Apply List Number style to selected paragraph/s" onAction="rxbtnApplyStyle_click" imageMso="NumberingGalleryWord"/>
          <button id="rxbtnQuote" label="Quote" size="normal" screentip="Apply Quote style to selected paragraph/s" onAction="rxbtnApplyStyle_click" imageMso="AlignMiddleExcel"/>
          <menu id="rxmnuBodyTextStyles" label="Other Styles" imageMso="StylesPane" screentip="Apply other Body styles" size="normal">
            <button id="rxbtnBodyTextNoSpace" label="Body Text No Spacing" screentip="Apply Heading 2 style to selected paragraph/s" onAction="rxbtnApplyStyle_click"/>
            <button id="rxbtnRefText" label="Reference Text" screentip="Apply Reference Text style to selected paragraph/s" onAction="rxbtnApplyStyle_click"/>
            <button id="rxbtnFootnoteRef" label="Footnote Reference" screentip="Apply Footnote Reference style to selected paragraph/s" onAction="rxbtnApplyStyle_click"/>
            <button id="rxbtnFootnoteText" label="Footnote Text" screentip="Apply Footnote Text style to selected paragraph/s" onAction="rxbtnApplyStyle_click"/>
          </menu>
        </group>
        <group id="groupTables" label="Tables">
          <button id="rxbtnTableStyle" label="Table Style" imageMso="TableStylesGalleryWord" size="large" screentip="Apply ODI Table Style to selected table" onAction="rxbtnTableStyle_click"/>
          <button id="rxbtnTableHeading" label="Table Heading" size="normal" screentip="Apply Table Heading style to selected paragraph/s" onAction="rxbtnApplyStyle_click" imageMso="FontSizeIncrease"/>
          <menu id="rxmnuTableStyles" label="Other Styles" imageMso="StylesPane" screentip="Apply table text and heading styles" size="normal">
            <button id="rxbtnColumnHeading" label="Column Heading" screentip="Apply Column Heading style to selected paragraph/s" onAction="rxbtnApplyStyle_click"/>
            <button id="rxbtnTableText" label="Table Text" screentip="Apply Prelim Heading style to selected paragraph/s but don't include heading in TOC" onAction="rxbtnApplyStyle_click"/>
            <button id="rxbtnTableBullet" label="Table Bullet" screentip="Apply Table Bullet style to selected paragraph/s" onAction="rxbtnApplyStyle_click"/>
            <button id="rxbtnSource" label="Source" screentip="Apply Source style to selected paragraph/s" onAction="rxbtnApplyStyle_click"/>
          </menu>
        </group>
        <group id="groupFigures" label="Figures">
          <button id="rxbtnFigureHeading" label="Figure Heading" size="normal" screentip="Apply Figure Heading style to selected paragraph/s" onAction="rxbtnApplyStyle_click" imageMso="FontSizeIncrease"/>
          <button id="rxbtnSourceNoSpace" label="Source (no spacing)" size="normal" screentip="Apply Source style (with no paragraph spacing) to selected paragraph/s" onAction="rxbtnApplyStyle_click" imageMso="FontSizeDecrease"/>
        </group>
        <group id="groupTextBox" label="Text Boxes">
          <button id="rxbtnTextBox" label="Add Text Box" imageMso="TextBoxInsert" size="large" screentip="Add a text box" onAction="rxbtnTextBox_click"/>
          <separator id="rxsepTextBox1"/>
          <button id="rxbtnBoxHeading" label="Box Heading" size="normal" screentip="Apply Box Heading style to selected paragraph/s" onAction="rxbtnApplyStyle_click" imageMso="FontSizeIncrease"/>
          <button id="rxbtnBoxText" label="Box Text" size="normal" screentip="Apply Box Text style to selected paragraph/s" onAction="rxbtnApplyStyle_click" imageMso="ContentControlText"/>
          <button id="rxbtnBoxBullet" label="Box Bullet" size="normal" screentip="Apply Box Bullet style to selected paragraph/s" onAction="rxbtnApplyStyle_click" imageMso="BulletsGalleryWord"/>
        </group>
        <group id="groupOrientation" label="Orientation">
          <menu id="rxmnuLandscape" label="Landscape" imageMso="PageOrientationLandscape" screentip="Insert or change a section to landscape" size="large">
            <button id="rxbtnLandscapeNew" label="New landscape section" screentip="Add a new landscape section at the current selection point" onAction="rxbtnLandscapeNew_click"/>
            <button id="rxbtnLandscapeSwitch" label="Change to landscape" screentip="Change the current section to landscape" onAction="rxbtnLandscapeSwitch_click"/>
          </menu>
          <menu id="rxmnuPortrait" label="Portrait" imageMso="PageOrientationPortrait" screentip="Insert or change a section to portrait" size="large">
            <button id="rxbtnPortraitNew" label="New portrait section" screentip="Add a new portrait section at the current selection point" onAction="rxbtnPortraitNew_click"/>
            <button id="rxbtnPortraitSwitch" label="Change to portrait" screentip="Change the current section to portrait" onAction="rxbtnPortraitSwitch_click"/>
          </menu>
        </group>
        <group id="groupPaste" label="Custom Paste">
          <button id="rxbtnCustomPaste" label="Paste text" imageMso="Paste" size="normal" screentip="Paste text cleanly from other documents" onAction="rxbtnCustomPaste_click"/>
          <button id="rxbtnCustomPasteChart" label="Paste Excel chart" imageMso="PasteSpecialDialog" size="normal" screentip="Paste a chart copied from Excel" onAction="rxbtnCustomPasteChart_click"/>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7E7237B621B34D8633A963D5CBF9A3" ma:contentTypeVersion="" ma:contentTypeDescription="Create a new document." ma:contentTypeScope="" ma:versionID="86207b02e9d47f534844b5fb47386b69">
  <xsd:schema xmlns:xsd="http://www.w3.org/2001/XMLSchema" xmlns:xs="http://www.w3.org/2001/XMLSchema" xmlns:p="http://schemas.microsoft.com/office/2006/metadata/properties" xmlns:ns2="57b417f7-d786-4243-a30f-6aa963038fea" targetNamespace="http://schemas.microsoft.com/office/2006/metadata/properties" ma:root="true" ma:fieldsID="1959d539da99094eaa1c65296056aff2" ns2:_="">
    <xsd:import namespace="57b417f7-d786-4243-a30f-6aa963038fea"/>
    <xsd:element name="properties">
      <xsd:complexType>
        <xsd:sequence>
          <xsd:element name="documentManagement">
            <xsd:complexType>
              <xsd:all>
                <xsd:element ref="ns2:Summary" minOccurs="0"/>
                <xsd:element ref="ns2:Document_x0020_Type" minOccurs="0"/>
                <xsd:element ref="ns2:Status" minOccurs="0"/>
                <xsd:element ref="ns2:Ke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b417f7-d786-4243-a30f-6aa963038fea" elementFormDefault="qualified">
    <xsd:import namespace="http://schemas.microsoft.com/office/2006/documentManagement/types"/>
    <xsd:import namespace="http://schemas.microsoft.com/office/infopath/2007/PartnerControls"/>
    <xsd:element name="Summary" ma:index="8" nillable="true" ma:displayName="Summary" ma:description="A short description of what's in the document can help people to find it." ma:internalName="Summary">
      <xsd:simpleType>
        <xsd:restriction base="dms:Note">
          <xsd:maxLength value="255"/>
        </xsd:restriction>
      </xsd:simpleType>
    </xsd:element>
    <xsd:element name="Document_x0020_Type" ma:index="9" nillable="true" ma:displayName="Document Type" ma:default="General" ma:description="Leave as general unless this is a special type of document (eg PID, CV, Meeting Report etc)" ma:format="Dropdown" ma:internalName="Document_x0020_Type">
      <xsd:simpleType>
        <xsd:restriction base="dms:Choice">
          <xsd:enumeration value="Budget"/>
          <xsd:enumeration value="Business Plan"/>
          <xsd:enumeration value="Contract"/>
          <xsd:enumeration value="CV"/>
          <xsd:enumeration value="Expenses"/>
          <xsd:enumeration value="General"/>
          <xsd:enumeration value="How-to / Guideline"/>
          <xsd:enumeration value="Invoice"/>
          <xsd:enumeration value="M&amp;E"/>
          <xsd:enumeration value="Meeting Notes / Minutes"/>
          <xsd:enumeration value="PID"/>
          <xsd:enumeration value="Policy"/>
          <xsd:enumeration value="Proposal"/>
          <xsd:enumeration value="Publication"/>
          <xsd:enumeration value="Trip Report"/>
        </xsd:restriction>
      </xsd:simpleType>
    </xsd:element>
    <xsd:element name="Status" ma:index="10" nillable="true" ma:displayName="Status" ma:default="Active" ma:format="Dropdown" ma:internalName="Status">
      <xsd:simpleType>
        <xsd:restriction base="dms:Choice">
          <xsd:enumeration value="Active"/>
          <xsd:enumeration value="Closed"/>
          <xsd:enumeration value="Archived"/>
        </xsd:restriction>
      </xsd:simpleType>
    </xsd:element>
    <xsd:element name="Key" ma:index="11" nillable="true" ma:displayName="Key" ma:default="0" ma:description="Tick if this is a key document for this project." ma:internalName="Key">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ummary xmlns="57b417f7-d786-4243-a30f-6aa963038fea" xsi:nil="true"/>
    <Key xmlns="57b417f7-d786-4243-a30f-6aa963038fea">false</Key>
    <Document_x0020_Type xmlns="57b417f7-d786-4243-a30f-6aa963038fea">General</Document_x0020_Type>
    <Status xmlns="57b417f7-d786-4243-a30f-6aa963038fea">Active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7A843-1A3D-48E6-9CEB-BE9DC956227B}">
  <ds:schemaRefs>
    <ds:schemaRef ds:uri="http://schemas.microsoft.com/sharepoint/v3/contenttype/forms"/>
  </ds:schemaRefs>
</ds:datastoreItem>
</file>

<file path=customXml/itemProps2.xml><?xml version="1.0" encoding="utf-8"?>
<ds:datastoreItem xmlns:ds="http://schemas.openxmlformats.org/officeDocument/2006/customXml" ds:itemID="{B2808066-BBDA-4E54-818F-3081FF8B1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b417f7-d786-4243-a30f-6aa963038f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46B467-BBAA-4B3F-AFAF-DBD6B681CB41}">
  <ds:schemaRefs>
    <ds:schemaRef ds:uri="http://schemas.microsoft.com/office/2006/documentManagement/types"/>
    <ds:schemaRef ds:uri="57b417f7-d786-4243-a30f-6aa963038fea"/>
    <ds:schemaRef ds:uri="http://purl.org/dc/terms/"/>
    <ds:schemaRef ds:uri="http://www.w3.org/XML/1998/namespace"/>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E12B23EF-D591-494F-AA2C-209B07B1A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35</Pages>
  <Words>6059</Words>
  <Characters>34537</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ODI</Company>
  <LinksUpToDate>false</LinksUpToDate>
  <CharactersWithSpaces>40515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Francis</dc:creator>
  <cp:lastModifiedBy>jkennan</cp:lastModifiedBy>
  <cp:revision>20</cp:revision>
  <dcterms:created xsi:type="dcterms:W3CDTF">2015-01-06T12:44:00Z</dcterms:created>
  <dcterms:modified xsi:type="dcterms:W3CDTF">2015-08-31T10:28:00Z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0x0101000F7E7237B621B34D8633A963D5CBF9A3</vt:lpwstr>
  </property>
</Properties>
</file>